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Global Fuel Prices and Taxation Trends: Project Report</w:t>
      </w:r>
    </w:p>
    <w:p>
      <w:pPr/>
      <w:r>
        <w:t xml:space="preserve">Oct 28, 2026</w:t>
      </w:r>
      <w:r>
        <w:t xml:space="preserve"> · </w:t>
      </w:r>
      <w:r>
        <w:t xml:space="preserve">@Vidhi Sharma</w:t>
      </w:r>
    </w:p>
    <w:p>
      <w:pPr>
        <w:pStyle w:val="Heading2"/>
      </w:pPr>
      <w:r>
        <w:t xml:space="preserve">1. INTRODUCTION</w:t>
      </w:r>
    </w:p>
    <w:p>
      <w:pPr>
        <w:pStyle w:val="Heading3"/>
      </w:pPr>
      <w:r>
        <w:t xml:space="preserve">1.1 Project Overview</w:t>
      </w:r>
    </w:p>
    <w:p>
      <w:pPr/>
      <w:r>
        <w:t xml:space="preserve">Fuel prices differ greatly from one country to another, and so do the taxes and subsidies behind them. This project analyses weekly fuel price and tax data for 84 countries from January 2020 to April 2026, a total of 27,468 records. The data covers petrol, diesel and LPG prices in US dollars per litre, the Brent crude oil price, the tax percentage, and each country's region, income level and subsidy level.</w:t>
      </w:r>
    </w:p>
    <w:p>
      <w:pPr/>
      <w:r>
        <w:t xml:space="preserve">The analysis is built in Tableau and presented as one interactive dashboard of seven linked charts: a world map of average petrol prices, the top 10 most expensive countries, the price trend over time, a comparison of petrol with Brent crude, average tax share by region, and average prices by income level and by subsidy level.</w:t>
      </w:r>
    </w:p>
    <w:p>
      <w:pPr>
        <w:pStyle w:val="Heading3"/>
      </w:pPr>
      <w:r>
        <w:t xml:space="preserve">1.2 Purpose</w:t>
      </w:r>
    </w:p>
    <w:p>
      <w:pPr/>
      <w:r>
        <w:t xml:space="preserve">The purpose of the project is to turn a large weekly dataset into a clear, visual explanation of how fuel is priced and taxed around the world. The dashboard is designed to:</w:t>
      </w:r>
    </w:p>
    <w:p>
      <w:pPr>
        <w:pStyle w:val="ListParagraph"/>
        <w:numPr>
          <w:ilvl w:val="0"/>
          <w:numId w:val="2"/>
        </w:numPr>
      </w:pPr>
      <w:r>
        <w:t xml:space="preserve">show which countries pay the most and the least for petrol;</w:t>
      </w:r>
    </w:p>
    <w:p>
      <w:pPr>
        <w:pStyle w:val="ListParagraph"/>
        <w:numPr>
          <w:ilvl w:val="0"/>
          <w:numId w:val="2"/>
        </w:numPr>
      </w:pPr>
      <w:r>
        <w:t xml:space="preserve">show how income level and subsidies relate to the pump price;</w:t>
      </w:r>
    </w:p>
    <w:p>
      <w:pPr>
        <w:pStyle w:val="ListParagraph"/>
        <w:numPr>
          <w:ilvl w:val="0"/>
          <w:numId w:val="2"/>
        </w:numPr>
      </w:pPr>
      <w:r>
        <w:t xml:space="preserve">show how much tax is included in the fuel price in each region;</w:t>
      </w:r>
    </w:p>
    <w:p>
      <w:pPr>
        <w:pStyle w:val="ListParagraph"/>
        <w:numPr>
          <w:ilvl w:val="0"/>
          <w:numId w:val="2"/>
        </w:numPr>
      </w:pPr>
      <w:r>
        <w:t xml:space="preserve">show how petrol and diesel prices have moved with crude oil since 2020.</w:t>
      </w:r>
    </w:p>
    <w:p>
      <w:pPr>
        <w:pStyle w:val="Heading2"/>
      </w:pPr>
      <w:r>
        <w:t xml:space="preserve">2. IDEATION PHASE</w:t>
      </w:r>
    </w:p>
    <w:p>
      <w:pPr>
        <w:pStyle w:val="Heading3"/>
      </w:pPr>
      <w:r>
        <w:t xml:space="preserve">2.1 Problem Statement</w:t>
      </w:r>
    </w:p>
    <w:p>
      <w:pPr/>
      <w:r>
        <w:t xml:space="preserve">The raw dataset is a CSV file with more than 27,000 weekly rows. It is hard to read in a spreadsheet, and the patterns that matter (price gaps between countries, the effect of subsidies, the link to crude oil) cannot be seen without summarising and visualising the data.</w:t>
      </w:r>
    </w:p>
    <w:tbl>
      <w:tblPr>
        <w:tblStyle w:val="TableGrid"/>
        <w:tblW w:w="0" w:type="auto"/>
        <w:tblLayout w:type="fixed"/>
        <w:tblLook w:val="04A0" w:firstRow="1" w:lastRow="0" w:firstColumn="0" w:lastColumn="0" w:noHBand="0" w:noVBand="1"/>
      </w:tblPr>
      <w:tblGrid>
        <w:gridCol w:w="3164"/>
        <w:gridCol w:w="6195"/>
      </w:tblGrid>
      <w:tr>
        <w:trPr>
          <w:tblHeader/>
        </w:trPr>
        <w:tc>
          <w:tcPr>
            <w:tcW w:w="3164" w:type="dxa"/>
            <w:shd w:val="clear" w:color="auto" w:fill="F2F2F2"/>
          </w:tcPr>
          <w:p>
            <w:pPr/>
          </w:p>
        </w:tc>
        <w:tc>
          <w:tcPr>
            <w:tcW w:w="6195" w:type="dxa"/>
            <w:shd w:val="clear" w:color="auto" w:fill="F2F2F2"/>
          </w:tcPr>
          <w:p>
            <w:pPr/>
          </w:p>
        </w:tc>
      </w:tr>
      <w:tr>
        <w:tc>
          <w:tcPr>
            <w:tcW w:w="3164" w:type="dxa"/>
          </w:tcPr>
          <w:p>
            <w:pPr/>
            <w:r>
              <w:t xml:space="preserve">I am</w:t>
            </w:r>
          </w:p>
        </w:tc>
        <w:tc>
          <w:tcPr>
            <w:tcW w:w="6195" w:type="dxa"/>
          </w:tcPr>
          <w:p>
            <w:pPr/>
            <w:r>
              <w:t xml:space="preserve">A student or analyst who compares fuel costs across countries</w:t>
            </w:r>
          </w:p>
        </w:tc>
      </w:tr>
      <w:tr>
        <w:tc>
          <w:tcPr>
            <w:tcW w:w="3164" w:type="dxa"/>
          </w:tcPr>
          <w:p>
            <w:pPr/>
            <w:r>
              <w:t xml:space="preserve">I am trying to</w:t>
            </w:r>
          </w:p>
        </w:tc>
        <w:tc>
          <w:tcPr>
            <w:tcW w:w="6195" w:type="dxa"/>
          </w:tcPr>
          <w:p>
            <w:pPr/>
            <w:r>
              <w:t xml:space="preserve">Understand why fuel prices differ and how they change over time</w:t>
            </w:r>
          </w:p>
        </w:tc>
      </w:tr>
      <w:tr>
        <w:tc>
          <w:tcPr>
            <w:tcW w:w="3164" w:type="dxa"/>
          </w:tcPr>
          <w:p>
            <w:pPr/>
            <w:r>
              <w:t xml:space="preserve">But</w:t>
            </w:r>
          </w:p>
        </w:tc>
        <w:tc>
          <w:tcPr>
            <w:tcW w:w="6195" w:type="dxa"/>
          </w:tcPr>
          <w:p>
            <w:pPr/>
            <w:r>
              <w:t xml:space="preserve">The data is a long weekly table, with noisy tax values, that I cannot read at a glance</w:t>
            </w:r>
          </w:p>
        </w:tc>
      </w:tr>
      <w:tr>
        <w:tc>
          <w:tcPr>
            <w:tcW w:w="3164" w:type="dxa"/>
          </w:tcPr>
          <w:p>
            <w:pPr/>
            <w:r>
              <w:t xml:space="preserve">Because</w:t>
            </w:r>
          </w:p>
        </w:tc>
        <w:tc>
          <w:tcPr>
            <w:tcW w:w="6195" w:type="dxa"/>
          </w:tcPr>
          <w:p>
            <w:pPr/>
            <w:r>
              <w:t xml:space="preserve">There is no single view that combines prices, tax, income, subsidy and crude oil</w:t>
            </w:r>
          </w:p>
        </w:tc>
      </w:tr>
      <w:tr>
        <w:tc>
          <w:tcPr>
            <w:tcW w:w="3164" w:type="dxa"/>
          </w:tcPr>
          <w:p>
            <w:pPr/>
            <w:r>
              <w:t xml:space="preserve">Which makes me feel</w:t>
            </w:r>
          </w:p>
        </w:tc>
        <w:tc>
          <w:tcPr>
            <w:tcW w:w="6195" w:type="dxa"/>
          </w:tcPr>
          <w:p>
            <w:pPr/>
            <w:r>
              <w:t xml:space="preserve">Unsure which factors really drive the pump price</w:t>
            </w:r>
          </w:p>
        </w:tc>
      </w:tr>
    </w:tbl>
    <w:p>
      <w:pPr>
        <w:pStyle w:val="Heading3"/>
      </w:pPr>
      <w:r>
        <w:t xml:space="preserve">2.2 Empathy Map Canvas</w:t>
      </w:r>
    </w:p>
    <w:p>
      <w:pPr/>
      <w:r>
        <w:t xml:space="preserve">The empathy map describes the main user of the dashboard: a student, analyst or policy reader who wants quick answers about fuel prices.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Says</w:t>
            </w:r>
          </w:p>
        </w:tc>
        <w:tc>
          <w:tcPr>
            <w:tcW w:w="4920" w:type="dxa"/>
            <w:shd w:val="clear" w:color="auto" w:fill="F2F2F2"/>
          </w:tcPr>
          <w:p>
            <w:pPr/>
            <w:r>
              <w:t xml:space="preserve">Thinks</w:t>
            </w:r>
          </w:p>
        </w:tc>
      </w:tr>
      <w:tr>
        <w:tc>
          <w:tcPr>
            <w:tcW w:w="4440" w:type="dxa"/>
          </w:tcPr>
          <w:p>
            <w:pPr/>
            <w:r>
              <w:t xml:space="preserve">"Which countries pay the most for petrol?" "Is it tax or subsidy that makes the difference?" "Do prices follow oil?"</w:t>
            </w:r>
          </w:p>
        </w:tc>
        <w:tc>
          <w:tcPr>
            <w:tcW w:w="4920" w:type="dxa"/>
          </w:tcPr>
          <w:p>
            <w:pPr/>
            <w:r>
              <w:t xml:space="preserve">The data is too big to scan by hand. A picture will show the pattern faster than a table. The averages must be trustworthy.</w:t>
            </w:r>
          </w:p>
        </w:tc>
      </w:tr>
      <w:tr>
        <w:tc>
          <w:tcPr>
            <w:tcW w:w="4440" w:type="dxa"/>
          </w:tcPr>
          <w:p>
            <w:pPr/>
            <w:r>
              <w:rPr>
                <w:b/>
              </w:rPr>
              <w:t xml:space="preserve">Does</w:t>
            </w:r>
          </w:p>
        </w:tc>
        <w:tc>
          <w:tcPr>
            <w:tcW w:w="4920" w:type="dxa"/>
          </w:tcPr>
          <w:p>
            <w:pPr/>
            <w:r>
              <w:rPr>
                <w:b/>
              </w:rPr>
              <w:t xml:space="preserve">Feels</w:t>
            </w:r>
          </w:p>
        </w:tc>
      </w:tr>
      <w:tr>
        <w:tc>
          <w:tcPr>
            <w:tcW w:w="4440" w:type="dxa"/>
          </w:tcPr>
          <w:p>
            <w:pPr/>
            <w:r>
              <w:t xml:space="preserve">Filters the data by region and income level. Compares countries and years. Looks for the highest and lowest values.</w:t>
            </w:r>
          </w:p>
        </w:tc>
        <w:tc>
          <w:tcPr>
            <w:tcW w:w="4920" w:type="dxa"/>
          </w:tcPr>
          <w:p>
            <w:pPr/>
            <w:r>
              <w:t xml:space="preserve">Confused by weekly ups and downs. Confident when the charts agree with the numbers. Interested when clicking a chart updates the rest.</w:t>
            </w:r>
          </w:p>
        </w:tc>
      </w:tr>
    </w:tbl>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Pains</w:t>
            </w:r>
          </w:p>
        </w:tc>
        <w:tc>
          <w:tcPr>
            <w:tcW w:w="4920" w:type="dxa"/>
            <w:shd w:val="clear" w:color="auto" w:fill="F2F2F2"/>
          </w:tcPr>
          <w:p>
            <w:pPr/>
            <w:r>
              <w:t xml:space="preserve">Gains</w:t>
            </w:r>
          </w:p>
        </w:tc>
      </w:tr>
      <w:tr>
        <w:tc>
          <w:tcPr>
            <w:tcW w:w="4439" w:type="dxa"/>
          </w:tcPr>
          <w:p>
            <w:pPr/>
            <w:r>
              <w:t xml:space="preserve">Large raw data, noisy weekly tax values, no single overview</w:t>
            </w:r>
          </w:p>
        </w:tc>
        <w:tc>
          <w:tcPr>
            <w:tcW w:w="4920" w:type="dxa"/>
          </w:tcPr>
          <w:p>
            <w:pPr/>
            <w:r>
              <w:t xml:space="preserve">One dashboard, clear comparisons, filters and click-to-filter, headline numbers on top</w:t>
            </w:r>
          </w:p>
        </w:tc>
      </w:tr>
    </w:tbl>
    <w:p>
      <w:pPr>
        <w:pStyle w:val="Heading3"/>
      </w:pPr>
      <w:r>
        <w:t xml:space="preserve">2.3 Brainstorming</w:t>
      </w:r>
    </w:p>
    <w:p>
      <w:pPr/>
      <w:r>
        <w:t xml:space="preserve">Several ideas were considered for the dashboard. Each was rated on value to the user and effort to build, and the ideas with high value and reasonable effort were selected.</w:t>
      </w:r>
    </w:p>
    <w:tbl>
      <w:tblPr>
        <w:tblStyle w:val="TableGrid"/>
        <w:tblW w:w="0" w:type="auto"/>
        <w:tblLayout w:type="fixed"/>
        <w:tblLook w:val="04A0" w:firstRow="1" w:lastRow="0" w:firstColumn="0" w:lastColumn="0" w:noHBand="0" w:noVBand="1"/>
      </w:tblPr>
      <w:tblGrid>
        <w:gridCol w:w="5138"/>
        <w:gridCol w:w="1218"/>
        <w:gridCol w:w="1218"/>
        <w:gridCol w:w="1783"/>
      </w:tblGrid>
      <w:tr>
        <w:trPr>
          <w:tblHeader/>
        </w:trPr>
        <w:tc>
          <w:tcPr>
            <w:tcW w:w="5138" w:type="dxa"/>
            <w:shd w:val="clear" w:color="auto" w:fill="F2F2F2"/>
          </w:tcPr>
          <w:p>
            <w:pPr/>
            <w:r>
              <w:t xml:space="preserve">Idea</w:t>
            </w:r>
          </w:p>
        </w:tc>
        <w:tc>
          <w:tcPr>
            <w:tcW w:w="1218" w:type="dxa"/>
            <w:shd w:val="clear" w:color="auto" w:fill="F2F2F2"/>
          </w:tcPr>
          <w:p>
            <w:pPr/>
            <w:r>
              <w:t xml:space="preserve">Value</w:t>
            </w:r>
          </w:p>
        </w:tc>
        <w:tc>
          <w:tcPr>
            <w:tcW w:w="1218" w:type="dxa"/>
            <w:shd w:val="clear" w:color="auto" w:fill="F2F2F2"/>
          </w:tcPr>
          <w:p>
            <w:pPr/>
            <w:r>
              <w:t xml:space="preserve">Effort</w:t>
            </w:r>
          </w:p>
        </w:tc>
        <w:tc>
          <w:tcPr>
            <w:tcW w:w="1783" w:type="dxa"/>
            <w:shd w:val="clear" w:color="auto" w:fill="F2F2F2"/>
          </w:tcPr>
          <w:p>
            <w:pPr/>
            <w:r>
              <w:t xml:space="preserve">Decision</w:t>
            </w:r>
          </w:p>
        </w:tc>
      </w:tr>
      <w:tr>
        <w:tc>
          <w:tcPr>
            <w:tcW w:w="5138" w:type="dxa"/>
          </w:tcPr>
          <w:p>
            <w:pPr/>
            <w:r>
              <w:t xml:space="preserve">World map of average petrol price</w:t>
            </w:r>
          </w:p>
        </w:tc>
        <w:tc>
          <w:tcPr>
            <w:tcW w:w="1218" w:type="dxa"/>
          </w:tcPr>
          <w:p>
            <w:pPr/>
            <w:r>
              <w:t xml:space="preserve">High</w:t>
            </w:r>
          </w:p>
        </w:tc>
        <w:tc>
          <w:tcPr>
            <w:tcW w:w="1218" w:type="dxa"/>
          </w:tcPr>
          <w:p>
            <w:pPr/>
            <w:r>
              <w:t xml:space="preserve">Low</w:t>
            </w:r>
          </w:p>
        </w:tc>
        <w:tc>
          <w:tcPr>
            <w:tcW w:w="1783" w:type="dxa"/>
          </w:tcPr>
          <w:p>
            <w:pPr/>
            <w:r>
              <w:t xml:space="preserve">Selected</w:t>
            </w:r>
          </w:p>
        </w:tc>
      </w:tr>
      <w:tr>
        <w:tc>
          <w:tcPr>
            <w:tcW w:w="5138" w:type="dxa"/>
          </w:tcPr>
          <w:p>
            <w:pPr/>
            <w:r>
              <w:t xml:space="preserve">Top 10 most expensive countries</w:t>
            </w:r>
          </w:p>
        </w:tc>
        <w:tc>
          <w:tcPr>
            <w:tcW w:w="1218" w:type="dxa"/>
          </w:tcPr>
          <w:p>
            <w:pPr/>
            <w:r>
              <w:t xml:space="preserve">High</w:t>
            </w:r>
          </w:p>
        </w:tc>
        <w:tc>
          <w:tcPr>
            <w:tcW w:w="1218" w:type="dxa"/>
          </w:tcPr>
          <w:p>
            <w:pPr/>
            <w:r>
              <w:t xml:space="preserve">Low</w:t>
            </w:r>
          </w:p>
        </w:tc>
        <w:tc>
          <w:tcPr>
            <w:tcW w:w="1783" w:type="dxa"/>
          </w:tcPr>
          <w:p>
            <w:pPr/>
            <w:r>
              <w:t xml:space="preserve">Selected</w:t>
            </w:r>
          </w:p>
        </w:tc>
      </w:tr>
      <w:tr>
        <w:tc>
          <w:tcPr>
            <w:tcW w:w="5138" w:type="dxa"/>
          </w:tcPr>
          <w:p>
            <w:pPr/>
            <w:r>
              <w:t xml:space="preserve">Price trend for petrol and diesel</w:t>
            </w:r>
          </w:p>
        </w:tc>
        <w:tc>
          <w:tcPr>
            <w:tcW w:w="1218" w:type="dxa"/>
          </w:tcPr>
          <w:p>
            <w:pPr/>
            <w:r>
              <w:t xml:space="preserve">High</w:t>
            </w:r>
          </w:p>
        </w:tc>
        <w:tc>
          <w:tcPr>
            <w:tcW w:w="1218" w:type="dxa"/>
          </w:tcPr>
          <w:p>
            <w:pPr/>
            <w:r>
              <w:t xml:space="preserve">Low</w:t>
            </w:r>
          </w:p>
        </w:tc>
        <w:tc>
          <w:tcPr>
            <w:tcW w:w="1783" w:type="dxa"/>
          </w:tcPr>
          <w:p>
            <w:pPr/>
            <w:r>
              <w:t xml:space="preserve">Selected</w:t>
            </w:r>
          </w:p>
        </w:tc>
      </w:tr>
      <w:tr>
        <w:tc>
          <w:tcPr>
            <w:tcW w:w="5138" w:type="dxa"/>
          </w:tcPr>
          <w:p>
            <w:pPr/>
            <w:r>
              <w:t xml:space="preserve">Petrol against Brent crude (dual axis)</w:t>
            </w:r>
          </w:p>
        </w:tc>
        <w:tc>
          <w:tcPr>
            <w:tcW w:w="1218" w:type="dxa"/>
          </w:tcPr>
          <w:p>
            <w:pPr/>
            <w:r>
              <w:t xml:space="preserve">High</w:t>
            </w:r>
          </w:p>
        </w:tc>
        <w:tc>
          <w:tcPr>
            <w:tcW w:w="1218" w:type="dxa"/>
          </w:tcPr>
          <w:p>
            <w:pPr/>
            <w:r>
              <w:t xml:space="preserve">Medium</w:t>
            </w:r>
          </w:p>
        </w:tc>
        <w:tc>
          <w:tcPr>
            <w:tcW w:w="1783" w:type="dxa"/>
          </w:tcPr>
          <w:p>
            <w:pPr/>
            <w:r>
              <w:t xml:space="preserve">Selected</w:t>
            </w:r>
          </w:p>
        </w:tc>
      </w:tr>
      <w:tr>
        <w:tc>
          <w:tcPr>
            <w:tcW w:w="5138" w:type="dxa"/>
          </w:tcPr>
          <w:p>
            <w:pPr/>
            <w:r>
              <w:t xml:space="preserve">Average tax share by region</w:t>
            </w:r>
          </w:p>
        </w:tc>
        <w:tc>
          <w:tcPr>
            <w:tcW w:w="1218" w:type="dxa"/>
          </w:tcPr>
          <w:p>
            <w:pPr/>
            <w:r>
              <w:t xml:space="preserve">High</w:t>
            </w:r>
          </w:p>
        </w:tc>
        <w:tc>
          <w:tcPr>
            <w:tcW w:w="1218" w:type="dxa"/>
          </w:tcPr>
          <w:p>
            <w:pPr/>
            <w:r>
              <w:t xml:space="preserve">Low</w:t>
            </w:r>
          </w:p>
        </w:tc>
        <w:tc>
          <w:tcPr>
            <w:tcW w:w="1783" w:type="dxa"/>
          </w:tcPr>
          <w:p>
            <w:pPr/>
            <w:r>
              <w:t xml:space="preserve">Selected</w:t>
            </w:r>
          </w:p>
        </w:tc>
      </w:tr>
      <w:tr>
        <w:tc>
          <w:tcPr>
            <w:tcW w:w="5138" w:type="dxa"/>
          </w:tcPr>
          <w:p>
            <w:pPr/>
            <w:r>
              <w:t xml:space="preserve">Prices by income level and subsidy level</w:t>
            </w:r>
          </w:p>
        </w:tc>
        <w:tc>
          <w:tcPr>
            <w:tcW w:w="1218" w:type="dxa"/>
          </w:tcPr>
          <w:p>
            <w:pPr/>
            <w:r>
              <w:t xml:space="preserve">High</w:t>
            </w:r>
          </w:p>
        </w:tc>
        <w:tc>
          <w:tcPr>
            <w:tcW w:w="1218" w:type="dxa"/>
          </w:tcPr>
          <w:p>
            <w:pPr/>
            <w:r>
              <w:t xml:space="preserve">Low</w:t>
            </w:r>
          </w:p>
        </w:tc>
        <w:tc>
          <w:tcPr>
            <w:tcW w:w="1783" w:type="dxa"/>
          </w:tcPr>
          <w:p>
            <w:pPr/>
            <w:r>
              <w:t xml:space="preserve">Selected</w:t>
            </w:r>
          </w:p>
        </w:tc>
      </w:tr>
      <w:tr>
        <w:tc>
          <w:tcPr>
            <w:tcW w:w="5138" w:type="dxa"/>
          </w:tcPr>
          <w:p>
            <w:pPr/>
            <w:r>
              <w:t xml:space="preserve">Forecasting future prices</w:t>
            </w:r>
          </w:p>
        </w:tc>
        <w:tc>
          <w:tcPr>
            <w:tcW w:w="1218" w:type="dxa"/>
          </w:tcPr>
          <w:p>
            <w:pPr/>
            <w:r>
              <w:t xml:space="preserve">Medium</w:t>
            </w:r>
          </w:p>
        </w:tc>
        <w:tc>
          <w:tcPr>
            <w:tcW w:w="1218" w:type="dxa"/>
          </w:tcPr>
          <w:p>
            <w:pPr/>
            <w:r>
              <w:t xml:space="preserve">High</w:t>
            </w:r>
          </w:p>
        </w:tc>
        <w:tc>
          <w:tcPr>
            <w:tcW w:w="1783" w:type="dxa"/>
          </w:tcPr>
          <w:p>
            <w:pPr/>
            <w:r>
              <w:t xml:space="preserve">Future scope</w:t>
            </w:r>
          </w:p>
        </w:tc>
      </w:tr>
      <w:tr>
        <w:tc>
          <w:tcPr>
            <w:tcW w:w="5138" w:type="dxa"/>
          </w:tcPr>
          <w:p>
            <w:pPr/>
            <w:r>
              <w:t xml:space="preserve">Prices in local currency</w:t>
            </w:r>
          </w:p>
        </w:tc>
        <w:tc>
          <w:tcPr>
            <w:tcW w:w="1218" w:type="dxa"/>
          </w:tcPr>
          <w:p>
            <w:pPr/>
            <w:r>
              <w:t xml:space="preserve">Low</w:t>
            </w:r>
          </w:p>
        </w:tc>
        <w:tc>
          <w:tcPr>
            <w:tcW w:w="1218" w:type="dxa"/>
          </w:tcPr>
          <w:p>
            <w:pPr/>
            <w:r>
              <w:t xml:space="preserve">High</w:t>
            </w:r>
          </w:p>
        </w:tc>
        <w:tc>
          <w:tcPr>
            <w:tcW w:w="1783" w:type="dxa"/>
          </w:tcPr>
          <w:p>
            <w:pPr/>
            <w:r>
              <w:t xml:space="preserve">Not selected</w:t>
            </w:r>
          </w:p>
        </w:tc>
      </w:tr>
      <w:tr>
        <w:tc>
          <w:tcPr>
            <w:tcW w:w="5138" w:type="dxa"/>
          </w:tcPr>
          <w:p>
            <w:pPr/>
            <w:r>
              <w:t xml:space="preserve">Live price feed</w:t>
            </w:r>
          </w:p>
        </w:tc>
        <w:tc>
          <w:tcPr>
            <w:tcW w:w="1218" w:type="dxa"/>
          </w:tcPr>
          <w:p>
            <w:pPr/>
            <w:r>
              <w:t xml:space="preserve">Medium</w:t>
            </w:r>
          </w:p>
        </w:tc>
        <w:tc>
          <w:tcPr>
            <w:tcW w:w="1218" w:type="dxa"/>
          </w:tcPr>
          <w:p>
            <w:pPr/>
            <w:r>
              <w:t xml:space="preserve">High</w:t>
            </w:r>
          </w:p>
        </w:tc>
        <w:tc>
          <w:tcPr>
            <w:tcW w:w="1783" w:type="dxa"/>
          </w:tcPr>
          <w:p>
            <w:pPr/>
            <w:r>
              <w:t xml:space="preserve">Future scope</w:t>
            </w:r>
          </w:p>
        </w:tc>
      </w:tr>
    </w:tbl>
    <w:p>
      <w:pPr>
        <w:pStyle w:val="Heading2"/>
      </w:pPr>
      <w:r>
        <w:t xml:space="preserve">3. REQUIREMENT ANALYSIS</w:t>
      </w:r>
    </w:p>
    <w:p>
      <w:pPr>
        <w:pStyle w:val="Heading3"/>
      </w:pPr>
      <w:r>
        <w:t xml:space="preserve">3.1 Customer Journey map</w:t>
      </w:r>
    </w:p>
    <w:p>
      <w:pPr/>
      <w:r>
        <w:t xml:space="preserve">The journey follows a user from first opening the dashboard to sharing what they learned.</w:t>
      </w:r>
    </w:p>
    <w:tbl>
      <w:tblPr>
        <w:tblStyle w:val="TableGrid"/>
        <w:tblW w:w="0" w:type="auto"/>
        <w:tblLayout w:type="fixed"/>
        <w:tblLook w:val="04A0" w:firstRow="1" w:lastRow="0" w:firstColumn="0" w:lastColumn="0" w:noHBand="0" w:noVBand="1"/>
      </w:tblPr>
      <w:tblGrid>
        <w:gridCol w:w="1146"/>
        <w:gridCol w:w="1811"/>
        <w:gridCol w:w="2394"/>
        <w:gridCol w:w="2078"/>
        <w:gridCol w:w="1930"/>
      </w:tblGrid>
      <w:tr>
        <w:trPr>
          <w:tblHeader/>
        </w:trPr>
        <w:tc>
          <w:tcPr>
            <w:tcW w:w="1146" w:type="dxa"/>
            <w:shd w:val="clear" w:color="auto" w:fill="F2F2F2"/>
          </w:tcPr>
          <w:p>
            <w:pPr/>
            <w:r>
              <w:t xml:space="preserve">Stage</w:t>
            </w:r>
          </w:p>
        </w:tc>
        <w:tc>
          <w:tcPr>
            <w:tcW w:w="1811" w:type="dxa"/>
            <w:shd w:val="clear" w:color="auto" w:fill="F2F2F2"/>
          </w:tcPr>
          <w:p>
            <w:pPr/>
            <w:r>
              <w:t xml:space="preserve">Goal</w:t>
            </w:r>
          </w:p>
        </w:tc>
        <w:tc>
          <w:tcPr>
            <w:tcW w:w="2394" w:type="dxa"/>
            <w:shd w:val="clear" w:color="auto" w:fill="F2F2F2"/>
          </w:tcPr>
          <w:p>
            <w:pPr/>
            <w:r>
              <w:t xml:space="preserve">Action</w:t>
            </w:r>
          </w:p>
        </w:tc>
        <w:tc>
          <w:tcPr>
            <w:tcW w:w="2078" w:type="dxa"/>
            <w:shd w:val="clear" w:color="auto" w:fill="F2F2F2"/>
          </w:tcPr>
          <w:p>
            <w:pPr/>
            <w:r>
              <w:t xml:space="preserve">Experience</w:t>
            </w:r>
          </w:p>
        </w:tc>
        <w:tc>
          <w:tcPr>
            <w:tcW w:w="1930" w:type="dxa"/>
            <w:shd w:val="clear" w:color="auto" w:fill="F2F2F2"/>
          </w:tcPr>
          <w:p>
            <w:pPr/>
            <w:r>
              <w:t xml:space="preserve">Opportunity</w:t>
            </w:r>
          </w:p>
        </w:tc>
      </w:tr>
      <w:tr>
        <w:tc>
          <w:tcPr>
            <w:tcW w:w="1146" w:type="dxa"/>
          </w:tcPr>
          <w:p>
            <w:pPr/>
            <w:r>
              <w:t xml:space="preserve">Discover</w:t>
            </w:r>
          </w:p>
        </w:tc>
        <w:tc>
          <w:tcPr>
            <w:tcW w:w="1811" w:type="dxa"/>
          </w:tcPr>
          <w:p>
            <w:pPr/>
            <w:r>
              <w:t xml:space="preserve">Know what the dashboard covers</w:t>
            </w:r>
          </w:p>
        </w:tc>
        <w:tc>
          <w:tcPr>
            <w:tcW w:w="2394" w:type="dxa"/>
          </w:tcPr>
          <w:p>
            <w:pPr/>
            <w:r>
              <w:t xml:space="preserve">Reads the title and the headline numbers</w:t>
            </w:r>
          </w:p>
        </w:tc>
        <w:tc>
          <w:tcPr>
            <w:tcW w:w="2078" w:type="dxa"/>
          </w:tcPr>
          <w:p>
            <w:pPr/>
            <w:r>
              <w:t xml:space="preserve">Clear scope: 84 countries, 2020 to 2026</w:t>
            </w:r>
          </w:p>
        </w:tc>
        <w:tc>
          <w:tcPr>
            <w:tcW w:w="1930" w:type="dxa"/>
          </w:tcPr>
          <w:p>
            <w:pPr/>
            <w:r>
              <w:t xml:space="preserve">Short KPI row at the top</w:t>
            </w:r>
          </w:p>
        </w:tc>
      </w:tr>
      <w:tr>
        <w:tc>
          <w:tcPr>
            <w:tcW w:w="1146" w:type="dxa"/>
          </w:tcPr>
          <w:p>
            <w:pPr/>
            <w:r>
              <w:t xml:space="preserve">Explore</w:t>
            </w:r>
          </w:p>
        </w:tc>
        <w:tc>
          <w:tcPr>
            <w:tcW w:w="1811" w:type="dxa"/>
          </w:tcPr>
          <w:p>
            <w:pPr/>
            <w:r>
              <w:t xml:space="preserve">Find the most and least expensive countries</w:t>
            </w:r>
          </w:p>
        </w:tc>
        <w:tc>
          <w:tcPr>
            <w:tcW w:w="2394" w:type="dxa"/>
          </w:tcPr>
          <w:p>
            <w:pPr/>
            <w:r>
              <w:t xml:space="preserve">Looks at the map and the top 10 chart</w:t>
            </w:r>
          </w:p>
        </w:tc>
        <w:tc>
          <w:tcPr>
            <w:tcW w:w="2078" w:type="dxa"/>
          </w:tcPr>
          <w:p>
            <w:pPr/>
            <w:r>
              <w:t xml:space="preserve">Patterns are visible at once</w:t>
            </w:r>
          </w:p>
        </w:tc>
        <w:tc>
          <w:tcPr>
            <w:tcW w:w="1930" w:type="dxa"/>
          </w:tcPr>
          <w:p>
            <w:pPr/>
            <w:r>
              <w:t xml:space="preserve">Tooltips with exact values</w:t>
            </w:r>
          </w:p>
        </w:tc>
      </w:tr>
      <w:tr>
        <w:tc>
          <w:tcPr>
            <w:tcW w:w="1146" w:type="dxa"/>
          </w:tcPr>
          <w:p>
            <w:pPr/>
            <w:r>
              <w:t xml:space="preserve">Analyze</w:t>
            </w:r>
          </w:p>
        </w:tc>
        <w:tc>
          <w:tcPr>
            <w:tcW w:w="1811" w:type="dxa"/>
          </w:tcPr>
          <w:p>
            <w:pPr/>
            <w:r>
              <w:t xml:space="preserve">Understand why prices differ</w:t>
            </w:r>
          </w:p>
        </w:tc>
        <w:tc>
          <w:tcPr>
            <w:tcW w:w="2394" w:type="dxa"/>
          </w:tcPr>
          <w:p>
            <w:pPr/>
            <w:r>
              <w:t xml:space="preserve">Compares income, subsidy and tax charts</w:t>
            </w:r>
          </w:p>
        </w:tc>
        <w:tc>
          <w:tcPr>
            <w:tcW w:w="2078" w:type="dxa"/>
          </w:tcPr>
          <w:p>
            <w:pPr/>
            <w:r>
              <w:t xml:space="preserve">Subsidy stands out as the main driver</w:t>
            </w:r>
          </w:p>
        </w:tc>
        <w:tc>
          <w:tcPr>
            <w:tcW w:w="1930" w:type="dxa"/>
          </w:tcPr>
          <w:p>
            <w:pPr/>
            <w:r>
              <w:t xml:space="preserve">Filters by region, income and subsidy</w:t>
            </w:r>
          </w:p>
        </w:tc>
      </w:tr>
      <w:tr>
        <w:tc>
          <w:tcPr>
            <w:tcW w:w="1146" w:type="dxa"/>
          </w:tcPr>
          <w:p>
            <w:pPr/>
            <w:r>
              <w:t xml:space="preserve">Decide</w:t>
            </w:r>
          </w:p>
        </w:tc>
        <w:tc>
          <w:tcPr>
            <w:tcW w:w="1811" w:type="dxa"/>
          </w:tcPr>
          <w:p>
            <w:pPr/>
            <w:r>
              <w:t xml:space="preserve">Draw a conclusion</w:t>
            </w:r>
          </w:p>
        </w:tc>
        <w:tc>
          <w:tcPr>
            <w:tcW w:w="2394" w:type="dxa"/>
          </w:tcPr>
          <w:p>
            <w:pPr/>
            <w:r>
              <w:t xml:space="preserve">Checks the trend and the Brent comparison</w:t>
            </w:r>
          </w:p>
        </w:tc>
        <w:tc>
          <w:tcPr>
            <w:tcW w:w="2078" w:type="dxa"/>
          </w:tcPr>
          <w:p>
            <w:pPr/>
            <w:r>
              <w:t xml:space="preserve">Petrol follows crude oil closely</w:t>
            </w:r>
          </w:p>
        </w:tc>
        <w:tc>
          <w:tcPr>
            <w:tcW w:w="1930" w:type="dxa"/>
          </w:tcPr>
          <w:p>
            <w:pPr/>
            <w:r>
              <w:t xml:space="preserve">Notes that explain the data limits</w:t>
            </w:r>
          </w:p>
        </w:tc>
      </w:tr>
      <w:tr>
        <w:tc>
          <w:tcPr>
            <w:tcW w:w="1146" w:type="dxa"/>
          </w:tcPr>
          <w:p>
            <w:pPr/>
            <w:r>
              <w:t xml:space="preserve">Share</w:t>
            </w:r>
          </w:p>
        </w:tc>
        <w:tc>
          <w:tcPr>
            <w:tcW w:w="1811" w:type="dxa"/>
          </w:tcPr>
          <w:p>
            <w:pPr/>
            <w:r>
              <w:t xml:space="preserve">Present the findings</w:t>
            </w:r>
          </w:p>
        </w:tc>
        <w:tc>
          <w:tcPr>
            <w:tcW w:w="2394" w:type="dxa"/>
          </w:tcPr>
          <w:p>
            <w:pPr/>
            <w:r>
              <w:t xml:space="preserve">Exports or publishes the dashboard</w:t>
            </w:r>
          </w:p>
        </w:tc>
        <w:tc>
          <w:tcPr>
            <w:tcW w:w="2078" w:type="dxa"/>
          </w:tcPr>
          <w:p>
            <w:pPr/>
            <w:r>
              <w:t xml:space="preserve">Easy to show in a meeting</w:t>
            </w:r>
          </w:p>
        </w:tc>
        <w:tc>
          <w:tcPr>
            <w:tcW w:w="1930" w:type="dxa"/>
          </w:tcPr>
          <w:p>
            <w:pPr/>
            <w:r>
              <w:t xml:space="preserve">Publish to Tableau Public</w:t>
            </w:r>
          </w:p>
        </w:tc>
      </w:tr>
    </w:tbl>
    <w:p>
      <w:pPr>
        <w:pStyle w:val="Heading3"/>
      </w:pPr>
      <w:r>
        <w:t xml:space="preserve">3.2 Solution Requirement</w:t>
      </w:r>
    </w:p>
    <w:p>
      <w:pPr/>
      <w:r>
        <w:rPr>
          <w:b/>
        </w:rPr>
        <w:t xml:space="preserve">Functional requirements</w:t>
      </w:r>
    </w:p>
    <w:tbl>
      <w:tblPr>
        <w:tblStyle w:val="TableGrid"/>
        <w:tblW w:w="0" w:type="auto"/>
        <w:tblLayout w:type="fixed"/>
        <w:tblLook w:val="04A0" w:firstRow="1" w:lastRow="0" w:firstColumn="0" w:lastColumn="0" w:noHBand="0" w:noVBand="1"/>
      </w:tblPr>
      <w:tblGrid>
        <w:gridCol w:w="1236"/>
        <w:gridCol w:w="8123"/>
      </w:tblGrid>
      <w:tr>
        <w:trPr>
          <w:tblHeader/>
        </w:trPr>
        <w:tc>
          <w:tcPr>
            <w:tcW w:w="1236" w:type="dxa"/>
            <w:shd w:val="clear" w:color="auto" w:fill="F2F2F2"/>
          </w:tcPr>
          <w:p>
            <w:pPr/>
            <w:r>
              <w:t xml:space="preserve">ID</w:t>
            </w:r>
          </w:p>
        </w:tc>
        <w:tc>
          <w:tcPr>
            <w:tcW w:w="8123" w:type="dxa"/>
            <w:shd w:val="clear" w:color="auto" w:fill="F2F2F2"/>
          </w:tcPr>
          <w:p>
            <w:pPr/>
            <w:r>
              <w:t xml:space="preserve">Requirement</w:t>
            </w:r>
          </w:p>
        </w:tc>
      </w:tr>
      <w:tr>
        <w:tc>
          <w:tcPr>
            <w:tcW w:w="1236" w:type="dxa"/>
          </w:tcPr>
          <w:p>
            <w:pPr/>
            <w:r>
              <w:t xml:space="preserve">FR-1</w:t>
            </w:r>
          </w:p>
        </w:tc>
        <w:tc>
          <w:tcPr>
            <w:tcW w:w="8123" w:type="dxa"/>
          </w:tcPr>
          <w:p>
            <w:pPr/>
            <w:r>
              <w:t xml:space="preserve">Load the weekly fuel price CSV into Tableau and recognise Country as a geographic field</w:t>
            </w:r>
          </w:p>
        </w:tc>
      </w:tr>
      <w:tr>
        <w:tc>
          <w:tcPr>
            <w:tcW w:w="1236" w:type="dxa"/>
          </w:tcPr>
          <w:p>
            <w:pPr/>
            <w:r>
              <w:t xml:space="preserve">FR-2</w:t>
            </w:r>
          </w:p>
        </w:tc>
        <w:tc>
          <w:tcPr>
            <w:tcW w:w="8123" w:type="dxa"/>
          </w:tcPr>
          <w:p>
            <w:pPr/>
            <w:r>
              <w:t xml:space="preserve">Show average petrol price by country on a world map</w:t>
            </w:r>
          </w:p>
        </w:tc>
      </w:tr>
      <w:tr>
        <w:tc>
          <w:tcPr>
            <w:tcW w:w="1236" w:type="dxa"/>
          </w:tcPr>
          <w:p>
            <w:pPr/>
            <w:r>
              <w:t xml:space="preserve">FR-3</w:t>
            </w:r>
          </w:p>
        </w:tc>
        <w:tc>
          <w:tcPr>
            <w:tcW w:w="8123" w:type="dxa"/>
          </w:tcPr>
          <w:p>
            <w:pPr/>
            <w:r>
              <w:t xml:space="preserve">Rank the 10 most expensive countries</w:t>
            </w:r>
          </w:p>
        </w:tc>
      </w:tr>
      <w:tr>
        <w:tc>
          <w:tcPr>
            <w:tcW w:w="1236" w:type="dxa"/>
          </w:tcPr>
          <w:p>
            <w:pPr/>
            <w:r>
              <w:t xml:space="preserve">FR-4</w:t>
            </w:r>
          </w:p>
        </w:tc>
        <w:tc>
          <w:tcPr>
            <w:tcW w:w="8123" w:type="dxa"/>
          </w:tcPr>
          <w:p>
            <w:pPr/>
            <w:r>
              <w:t xml:space="preserve">Show petrol and diesel price trends by quarter</w:t>
            </w:r>
          </w:p>
        </w:tc>
      </w:tr>
      <w:tr>
        <w:tc>
          <w:tcPr>
            <w:tcW w:w="1236" w:type="dxa"/>
          </w:tcPr>
          <w:p>
            <w:pPr/>
            <w:r>
              <w:t xml:space="preserve">FR-5</w:t>
            </w:r>
          </w:p>
        </w:tc>
        <w:tc>
          <w:tcPr>
            <w:tcW w:w="8123" w:type="dxa"/>
          </w:tcPr>
          <w:p>
            <w:pPr/>
            <w:r>
              <w:t xml:space="preserve">Compare petrol price with Brent crude on a dual-axis chart</w:t>
            </w:r>
          </w:p>
        </w:tc>
      </w:tr>
      <w:tr>
        <w:tc>
          <w:tcPr>
            <w:tcW w:w="1236" w:type="dxa"/>
          </w:tcPr>
          <w:p>
            <w:pPr/>
            <w:r>
              <w:t xml:space="preserve">FR-6</w:t>
            </w:r>
          </w:p>
        </w:tc>
        <w:tc>
          <w:tcPr>
            <w:tcW w:w="8123" w:type="dxa"/>
          </w:tcPr>
          <w:p>
            <w:pPr/>
            <w:r>
              <w:t xml:space="preserve">Show average tax share by region and average price by income and subsidy level</w:t>
            </w:r>
          </w:p>
        </w:tc>
      </w:tr>
      <w:tr>
        <w:tc>
          <w:tcPr>
            <w:tcW w:w="1236" w:type="dxa"/>
          </w:tcPr>
          <w:p>
            <w:pPr/>
            <w:r>
              <w:t xml:space="preserve">FR-7</w:t>
            </w:r>
          </w:p>
        </w:tc>
        <w:tc>
          <w:tcPr>
            <w:tcW w:w="8123" w:type="dxa"/>
          </w:tcPr>
          <w:p>
            <w:pPr/>
            <w:r>
              <w:t xml:space="preserve">Provide filters (region, income, subsidy) and click-to-filter between charts</w:t>
            </w:r>
          </w:p>
        </w:tc>
      </w:tr>
    </w:tbl>
    <w:p>
      <w:pPr/>
      <w:r>
        <w:rPr>
          <w:b/>
        </w:rPr>
        <w:t xml:space="preserve">Non-functional requirements</w:t>
      </w:r>
    </w:p>
    <w:tbl>
      <w:tblPr>
        <w:tblStyle w:val="TableGrid"/>
        <w:tblW w:w="0" w:type="auto"/>
        <w:tblLayout w:type="fixed"/>
        <w:tblLook w:val="04A0" w:firstRow="1" w:lastRow="0" w:firstColumn="0" w:lastColumn="0" w:noHBand="0" w:noVBand="1"/>
      </w:tblPr>
      <w:tblGrid>
        <w:gridCol w:w="1455"/>
        <w:gridCol w:w="7904"/>
      </w:tblGrid>
      <w:tr>
        <w:trPr>
          <w:tblHeader/>
        </w:trPr>
        <w:tc>
          <w:tcPr>
            <w:tcW w:w="1455" w:type="dxa"/>
            <w:shd w:val="clear" w:color="auto" w:fill="F2F2F2"/>
          </w:tcPr>
          <w:p>
            <w:pPr/>
            <w:r>
              <w:t xml:space="preserve">ID</w:t>
            </w:r>
          </w:p>
        </w:tc>
        <w:tc>
          <w:tcPr>
            <w:tcW w:w="7904" w:type="dxa"/>
            <w:shd w:val="clear" w:color="auto" w:fill="F2F2F2"/>
          </w:tcPr>
          <w:p>
            <w:pPr/>
            <w:r>
              <w:t xml:space="preserve">Requirement</w:t>
            </w:r>
          </w:p>
        </w:tc>
      </w:tr>
      <w:tr>
        <w:tc>
          <w:tcPr>
            <w:tcW w:w="1455" w:type="dxa"/>
          </w:tcPr>
          <w:p>
            <w:pPr/>
            <w:r>
              <w:t xml:space="preserve">NFR-1</w:t>
            </w:r>
          </w:p>
        </w:tc>
        <w:tc>
          <w:tcPr>
            <w:tcW w:w="7904" w:type="dxa"/>
          </w:tcPr>
          <w:p>
            <w:pPr/>
            <w:r>
              <w:t xml:space="preserve">Accuracy: every chart must use averages, and the values must match an independent calculation</w:t>
            </w:r>
          </w:p>
        </w:tc>
      </w:tr>
      <w:tr>
        <w:tc>
          <w:tcPr>
            <w:tcW w:w="1455" w:type="dxa"/>
          </w:tcPr>
          <w:p>
            <w:pPr/>
            <w:r>
              <w:t xml:space="preserve">NFR-2</w:t>
            </w:r>
          </w:p>
        </w:tc>
        <w:tc>
          <w:tcPr>
            <w:tcW w:w="7904" w:type="dxa"/>
          </w:tcPr>
          <w:p>
            <w:pPr/>
            <w:r>
              <w:t xml:space="preserve">Readability: consistent colours, titles and labels across all charts</w:t>
            </w:r>
          </w:p>
        </w:tc>
      </w:tr>
      <w:tr>
        <w:tc>
          <w:tcPr>
            <w:tcW w:w="1455" w:type="dxa"/>
          </w:tcPr>
          <w:p>
            <w:pPr/>
            <w:r>
              <w:t xml:space="preserve">NFR-3</w:t>
            </w:r>
          </w:p>
        </w:tc>
        <w:tc>
          <w:tcPr>
            <w:tcW w:w="7904" w:type="dxa"/>
          </w:tcPr>
          <w:p>
            <w:pPr/>
            <w:r>
              <w:t xml:space="preserve">Usability: a beginner can use the filters without instructions</w:t>
            </w:r>
          </w:p>
        </w:tc>
      </w:tr>
      <w:tr>
        <w:tc>
          <w:tcPr>
            <w:tcW w:w="1455" w:type="dxa"/>
          </w:tcPr>
          <w:p>
            <w:pPr/>
            <w:r>
              <w:t xml:space="preserve">NFR-4</w:t>
            </w:r>
          </w:p>
        </w:tc>
        <w:tc>
          <w:tcPr>
            <w:tcW w:w="7904" w:type="dxa"/>
          </w:tcPr>
          <w:p>
            <w:pPr/>
            <w:r>
              <w:t xml:space="preserve">Honesty: data limits are stated on the dashboard and in the report</w:t>
            </w:r>
          </w:p>
        </w:tc>
      </w:tr>
    </w:tbl>
    <w:p>
      <w:pPr>
        <w:pStyle w:val="Heading3"/>
      </w:pPr>
      <w:r>
        <w:t xml:space="preserve">3.3 Data Flow Diagram</w:t>
      </w:r>
    </w:p>
    <w:p>
      <w:pPr/>
      <w:r>
        <w:t xml:space="preserve">Data moves from the CSV file through a data check and the Tableau data source, is aggregated into averages, feeds the seven worksheets, and is combined into the dashboard that the user views.</w:t>
      </w:r>
    </w:p>
    <w:p>
      <w:pPr/>
      <w:r>
        <w:drawing>
          <wp:inline distT="0" distB="0" distL="0" distR="0">
            <wp:extent cx="5486400" cy="2560320"/>
            <wp:docPr id="1" name="image1" descr="Figure 1: Data flow diagram"/>
            <a:graphic xmlns:a="http://schemas.openxmlformats.org/drawingml/2006/main">
              <a:graphicData uri="http://schemas.openxmlformats.org/drawingml/2006/picture">
                <pic:pic xmlns:pic="http://schemas.openxmlformats.org/drawingml/2006/picture">
                  <pic:nvPicPr>
                    <pic:cNvPr id="1" name="image1" descr="Figure 1: Data flow diagram"/>
                    <pic:cNvPicPr/>
                  </pic:nvPicPr>
                  <pic:blipFill>
                    <a:blip r:embed="rId3"/>
                    <a:stretch>
                      <a:fillRect/>
                    </a:stretch>
                  </pic:blipFill>
                  <pic:spPr>
                    <a:xfrm>
                      <a:off x="0" y="0"/>
                      <a:ext cx="5486400" cy="2560320"/>
                    </a:xfrm>
                    <a:prstGeom prst="rect">
                      <a:avLst/>
                    </a:prstGeom>
                  </pic:spPr>
                </pic:pic>
              </a:graphicData>
            </a:graphic>
          </wp:inline>
        </w:drawing>
      </w:r>
    </w:p>
    <w:p>
      <w:pPr>
        <w:pStyle w:val="Heading3"/>
      </w:pPr>
      <w:r>
        <w:t xml:space="preserve">3.4 Technology Stack</w:t>
      </w:r>
    </w:p>
    <w:tbl>
      <w:tblPr>
        <w:tblStyle w:val="TableGrid"/>
        <w:tblW w:w="0" w:type="auto"/>
        <w:tblLayout w:type="fixed"/>
        <w:tblLook w:val="04A0" w:firstRow="1" w:lastRow="0" w:firstColumn="0" w:lastColumn="0" w:noHBand="0" w:noVBand="1"/>
      </w:tblPr>
      <w:tblGrid>
        <w:gridCol w:w="1938"/>
        <w:gridCol w:w="3250"/>
        <w:gridCol w:w="4172"/>
      </w:tblGrid>
      <w:tr>
        <w:trPr>
          <w:tblHeader/>
        </w:trPr>
        <w:tc>
          <w:tcPr>
            <w:tcW w:w="1938" w:type="dxa"/>
            <w:shd w:val="clear" w:color="auto" w:fill="F2F2F2"/>
          </w:tcPr>
          <w:p>
            <w:pPr/>
            <w:r>
              <w:t xml:space="preserve">Layer</w:t>
            </w:r>
          </w:p>
        </w:tc>
        <w:tc>
          <w:tcPr>
            <w:tcW w:w="3250" w:type="dxa"/>
            <w:shd w:val="clear" w:color="auto" w:fill="F2F2F2"/>
          </w:tcPr>
          <w:p>
            <w:pPr/>
            <w:r>
              <w:t xml:space="preserve">Tool</w:t>
            </w:r>
          </w:p>
        </w:tc>
        <w:tc>
          <w:tcPr>
            <w:tcW w:w="4172" w:type="dxa"/>
            <w:shd w:val="clear" w:color="auto" w:fill="F2F2F2"/>
          </w:tcPr>
          <w:p>
            <w:pPr/>
            <w:r>
              <w:t xml:space="preserve">Use in this project</w:t>
            </w:r>
          </w:p>
        </w:tc>
      </w:tr>
      <w:tr>
        <w:tc>
          <w:tcPr>
            <w:tcW w:w="1938" w:type="dxa"/>
          </w:tcPr>
          <w:p>
            <w:pPr/>
            <w:r>
              <w:t xml:space="preserve">Data</w:t>
            </w:r>
          </w:p>
        </w:tc>
        <w:tc>
          <w:tcPr>
            <w:tcW w:w="3250" w:type="dxa"/>
          </w:tcPr>
          <w:p>
            <w:pPr/>
            <w:r>
              <w:t xml:space="preserve">CSV file (global_fuel_prices_Dataset.csv)</w:t>
            </w:r>
          </w:p>
        </w:tc>
        <w:tc>
          <w:tcPr>
            <w:tcW w:w="4172" w:type="dxa"/>
          </w:tcPr>
          <w:p>
            <w:pPr/>
            <w:r>
              <w:t xml:space="preserve">Source of 27,468 weekly records</w:t>
            </w:r>
          </w:p>
        </w:tc>
      </w:tr>
      <w:tr>
        <w:tc>
          <w:tcPr>
            <w:tcW w:w="1938" w:type="dxa"/>
          </w:tcPr>
          <w:p>
            <w:pPr/>
            <w:r>
              <w:t xml:space="preserve">Visual analytics</w:t>
            </w:r>
          </w:p>
        </w:tc>
        <w:tc>
          <w:tcPr>
            <w:tcW w:w="3250" w:type="dxa"/>
          </w:tcPr>
          <w:p>
            <w:pPr/>
            <w:r>
              <w:t xml:space="preserve">Tableau (Desktop or Public)</w:t>
            </w:r>
          </w:p>
        </w:tc>
        <w:tc>
          <w:tcPr>
            <w:tcW w:w="4172" w:type="dxa"/>
          </w:tcPr>
          <w:p>
            <w:pPr/>
            <w:r>
              <w:t xml:space="preserve">Worksheets, dashboard, filters and actions</w:t>
            </w:r>
          </w:p>
        </w:tc>
      </w:tr>
      <w:tr>
        <w:tc>
          <w:tcPr>
            <w:tcW w:w="1938" w:type="dxa"/>
          </w:tcPr>
          <w:p>
            <w:pPr/>
            <w:r>
              <w:t xml:space="preserve">Map tiles</w:t>
            </w:r>
          </w:p>
        </w:tc>
        <w:tc>
          <w:tcPr>
            <w:tcW w:w="3250" w:type="dxa"/>
          </w:tcPr>
          <w:p>
            <w:pPr/>
            <w:r>
              <w:t xml:space="preserve">Mapbox and OpenStreetMap (inside Tableau)</w:t>
            </w:r>
          </w:p>
        </w:tc>
        <w:tc>
          <w:tcPr>
            <w:tcW w:w="4172" w:type="dxa"/>
          </w:tcPr>
          <w:p>
            <w:pPr/>
            <w:r>
              <w:t xml:space="preserve">Base map for the country map</w:t>
            </w:r>
          </w:p>
        </w:tc>
      </w:tr>
      <w:tr>
        <w:tc>
          <w:tcPr>
            <w:tcW w:w="1938" w:type="dxa"/>
          </w:tcPr>
          <w:p>
            <w:pPr/>
            <w:r>
              <w:t xml:space="preserve">Verification</w:t>
            </w:r>
          </w:p>
        </w:tc>
        <w:tc>
          <w:tcPr>
            <w:tcW w:w="3250" w:type="dxa"/>
          </w:tcPr>
          <w:p>
            <w:pPr/>
            <w:r>
              <w:t xml:space="preserve">Python with pandas</w:t>
            </w:r>
          </w:p>
        </w:tc>
        <w:tc>
          <w:tcPr>
            <w:tcW w:w="4172" w:type="dxa"/>
          </w:tcPr>
          <w:p>
            <w:pPr/>
            <w:r>
              <w:t xml:space="preserve">Independent check of the averages shown in Tableau</w:t>
            </w:r>
          </w:p>
        </w:tc>
      </w:tr>
      <w:tr>
        <w:tc>
          <w:tcPr>
            <w:tcW w:w="1938" w:type="dxa"/>
          </w:tcPr>
          <w:p>
            <w:pPr/>
            <w:r>
              <w:t xml:space="preserve">Reporting</w:t>
            </w:r>
          </w:p>
        </w:tc>
        <w:tc>
          <w:tcPr>
            <w:tcW w:w="3250" w:type="dxa"/>
          </w:tcPr>
          <w:p>
            <w:pPr/>
            <w:r>
              <w:t xml:space="preserve">PowerPoint and PDF</w:t>
            </w:r>
          </w:p>
        </w:tc>
        <w:tc>
          <w:tcPr>
            <w:tcW w:w="4172" w:type="dxa"/>
          </w:tcPr>
          <w:p>
            <w:pPr/>
            <w:r>
              <w:t xml:space="preserve">Presentation deck and this report</w:t>
            </w:r>
          </w:p>
        </w:tc>
      </w:tr>
    </w:tbl>
    <w:p>
      <w:pPr>
        <w:pStyle w:val="Heading2"/>
      </w:pPr>
      <w:r>
        <w:t xml:space="preserve">4. PROJECT DESIGN</w:t>
      </w:r>
    </w:p>
    <w:p>
      <w:pPr>
        <w:pStyle w:val="Heading3"/>
      </w:pPr>
      <w:r>
        <w:t xml:space="preserve">4.1 Problem Solution Fit</w:t>
      </w:r>
    </w:p>
    <w:tbl>
      <w:tblPr>
        <w:tblStyle w:val="TableGrid"/>
        <w:tblW w:w="0" w:type="auto"/>
        <w:tblLayout w:type="fixed"/>
        <w:tblLook w:val="04A0" w:firstRow="1" w:lastRow="0" w:firstColumn="0" w:lastColumn="0" w:noHBand="0" w:noVBand="1"/>
      </w:tblPr>
      <w:tblGrid>
        <w:gridCol w:w="3041"/>
        <w:gridCol w:w="3287"/>
        <w:gridCol w:w="3032"/>
      </w:tblGrid>
      <w:tr>
        <w:trPr>
          <w:tblHeader/>
        </w:trPr>
        <w:tc>
          <w:tcPr>
            <w:tcW w:w="3041" w:type="dxa"/>
            <w:shd w:val="clear" w:color="auto" w:fill="F2F2F2"/>
          </w:tcPr>
          <w:p>
            <w:pPr/>
            <w:r>
              <w:t xml:space="preserve">Problem</w:t>
            </w:r>
          </w:p>
        </w:tc>
        <w:tc>
          <w:tcPr>
            <w:tcW w:w="3287" w:type="dxa"/>
            <w:shd w:val="clear" w:color="auto" w:fill="F2F2F2"/>
          </w:tcPr>
          <w:p>
            <w:pPr/>
            <w:r>
              <w:t xml:space="preserve">Solution in the dashboard</w:t>
            </w:r>
          </w:p>
        </w:tc>
        <w:tc>
          <w:tcPr>
            <w:tcW w:w="3032" w:type="dxa"/>
            <w:shd w:val="clear" w:color="auto" w:fill="F2F2F2"/>
          </w:tcPr>
          <w:p>
            <w:pPr/>
            <w:r>
              <w:t xml:space="preserve">Fit</w:t>
            </w:r>
          </w:p>
        </w:tc>
      </w:tr>
      <w:tr>
        <w:tc>
          <w:tcPr>
            <w:tcW w:w="3041" w:type="dxa"/>
          </w:tcPr>
          <w:p>
            <w:pPr/>
            <w:r>
              <w:t xml:space="preserve">Large weekly table is hard to read</w:t>
            </w:r>
          </w:p>
        </w:tc>
        <w:tc>
          <w:tcPr>
            <w:tcW w:w="3287" w:type="dxa"/>
          </w:tcPr>
          <w:p>
            <w:pPr/>
            <w:r>
              <w:t xml:space="preserve">Averages shown in seven focused charts</w:t>
            </w:r>
          </w:p>
        </w:tc>
        <w:tc>
          <w:tcPr>
            <w:tcW w:w="3032" w:type="dxa"/>
          </w:tcPr>
          <w:p>
            <w:pPr/>
            <w:r>
              <w:t xml:space="preserve">Patterns visible at a glance</w:t>
            </w:r>
          </w:p>
        </w:tc>
      </w:tr>
      <w:tr>
        <w:tc>
          <w:tcPr>
            <w:tcW w:w="3041" w:type="dxa"/>
          </w:tcPr>
          <w:p>
            <w:pPr/>
            <w:r>
              <w:t xml:space="preserve">Cannot see which countries pay most</w:t>
            </w:r>
          </w:p>
        </w:tc>
        <w:tc>
          <w:tcPr>
            <w:tcW w:w="3287" w:type="dxa"/>
          </w:tcPr>
          <w:p>
            <w:pPr/>
            <w:r>
              <w:t xml:space="preserve">World map and top 10 chart</w:t>
            </w:r>
          </w:p>
        </w:tc>
        <w:tc>
          <w:tcPr>
            <w:tcW w:w="3032" w:type="dxa"/>
          </w:tcPr>
          <w:p>
            <w:pPr/>
            <w:r>
              <w:t xml:space="preserve">Highest and lowest countries found in seconds</w:t>
            </w:r>
          </w:p>
        </w:tc>
      </w:tr>
      <w:tr>
        <w:tc>
          <w:tcPr>
            <w:tcW w:w="3041" w:type="dxa"/>
          </w:tcPr>
          <w:p>
            <w:pPr/>
            <w:r>
              <w:t xml:space="preserve">Unclear what drives price</w:t>
            </w:r>
          </w:p>
        </w:tc>
        <w:tc>
          <w:tcPr>
            <w:tcW w:w="3287" w:type="dxa"/>
          </w:tcPr>
          <w:p>
            <w:pPr/>
            <w:r>
              <w:t xml:space="preserve">Income and subsidy charts side by side</w:t>
            </w:r>
          </w:p>
        </w:tc>
        <w:tc>
          <w:tcPr>
            <w:tcW w:w="3032" w:type="dxa"/>
          </w:tcPr>
          <w:p>
            <w:pPr/>
            <w:r>
              <w:t xml:space="preserve">Subsidy shown as the stronger factor</w:t>
            </w:r>
          </w:p>
        </w:tc>
      </w:tr>
      <w:tr>
        <w:tc>
          <w:tcPr>
            <w:tcW w:w="3041" w:type="dxa"/>
          </w:tcPr>
          <w:p>
            <w:pPr/>
            <w:r>
              <w:t xml:space="preserve">Tax values vary from week to week</w:t>
            </w:r>
          </w:p>
        </w:tc>
        <w:tc>
          <w:tcPr>
            <w:tcW w:w="3287" w:type="dxa"/>
          </w:tcPr>
          <w:p>
            <w:pPr/>
            <w:r>
              <w:t xml:space="preserve">Averages by region</w:t>
            </w:r>
          </w:p>
        </w:tc>
        <w:tc>
          <w:tcPr>
            <w:tcW w:w="3032" w:type="dxa"/>
          </w:tcPr>
          <w:p>
            <w:pPr/>
            <w:r>
              <w:t xml:space="preserve">Stable, comparable figures</w:t>
            </w:r>
          </w:p>
        </w:tc>
      </w:tr>
      <w:tr>
        <w:tc>
          <w:tcPr>
            <w:tcW w:w="3041" w:type="dxa"/>
          </w:tcPr>
          <w:p>
            <w:pPr/>
            <w:r>
              <w:t xml:space="preserve">Link to crude oil is unclear</w:t>
            </w:r>
          </w:p>
        </w:tc>
        <w:tc>
          <w:tcPr>
            <w:tcW w:w="3287" w:type="dxa"/>
          </w:tcPr>
          <w:p>
            <w:pPr/>
            <w:r>
              <w:t xml:space="preserve">Petrol against Brent on one chart</w:t>
            </w:r>
          </w:p>
        </w:tc>
        <w:tc>
          <w:tcPr>
            <w:tcW w:w="3032" w:type="dxa"/>
          </w:tcPr>
          <w:p>
            <w:pPr/>
            <w:r>
              <w:t xml:space="preserve">Close movement is obvious</w:t>
            </w:r>
          </w:p>
        </w:tc>
      </w:tr>
    </w:tbl>
    <w:p>
      <w:pPr>
        <w:pStyle w:val="Heading3"/>
      </w:pPr>
      <w:r>
        <w:t xml:space="preserve">4.2 Proposed Solution</w:t>
      </w:r>
    </w:p>
    <w:p>
      <w:pPr/>
      <w:r>
        <w:t xml:space="preserve">The proposed solution is a single interactive Tableau dashboard. A title and a row of headline numbers sit at the top. The world map and the top 10 chart show where fuel is expensive. The trend, Brent and tax charts show change over time and tax by region, and the income and subsidy charts explain differences between countries. Filters for region, income level and subsidy level are on the right, and clicking any chart filters the others.</w:t>
      </w:r>
    </w:p>
    <w:p>
      <w:pPr/>
      <w:r>
        <w:drawing>
          <wp:inline distT="0" distB="0" distL="0" distR="0">
            <wp:extent cx="5486400" cy="3429000"/>
            <wp:docPr id="2" name="image2" descr="Figure 2: Proposed dashboard layout (rebuilt from the dataset)"/>
            <a:graphic xmlns:a="http://schemas.openxmlformats.org/drawingml/2006/main">
              <a:graphicData uri="http://schemas.openxmlformats.org/drawingml/2006/picture">
                <pic:pic xmlns:pic="http://schemas.openxmlformats.org/drawingml/2006/picture">
                  <pic:nvPicPr>
                    <pic:cNvPr id="2" name="image2" descr="Figure 2: Proposed dashboard layout (rebuilt from the dataset)"/>
                    <pic:cNvPicPr/>
                  </pic:nvPicPr>
                  <pic:blipFill>
                    <a:blip r:embed="rId4"/>
                    <a:stretch>
                      <a:fillRect/>
                    </a:stretch>
                  </pic:blipFill>
                  <pic:spPr>
                    <a:xfrm>
                      <a:off x="0" y="0"/>
                      <a:ext cx="5486400" cy="3429000"/>
                    </a:xfrm>
                    <a:prstGeom prst="rect">
                      <a:avLst/>
                    </a:prstGeom>
                  </pic:spPr>
                </pic:pic>
              </a:graphicData>
            </a:graphic>
          </wp:inline>
        </w:drawing>
      </w:r>
    </w:p>
    <w:p>
      <w:pPr>
        <w:pStyle w:val="Heading3"/>
      </w:pPr>
      <w:r>
        <w:t xml:space="preserve">4.3 Solution Architecture</w:t>
      </w:r>
    </w:p>
    <w:p>
      <w:pPr/>
      <w:r>
        <w:t xml:space="preserve">The solution has four layers. The data layer holds the CSV file. The preparation layer defines data types and the geographic role in Tableau. The analytics layer computes averages and builds the seven worksheets. The presentation layer combines the worksheets into the dashboard for the user.</w:t>
      </w:r>
    </w:p>
    <w:p>
      <w:pPr/>
      <w:r>
        <w:drawing>
          <wp:inline distT="0" distB="0" distL="0" distR="0">
            <wp:extent cx="5486400" cy="2804160"/>
            <wp:docPr id="3" name="image3" descr="Figure 3: Solution architecture"/>
            <a:graphic xmlns:a="http://schemas.openxmlformats.org/drawingml/2006/main">
              <a:graphicData uri="http://schemas.openxmlformats.org/drawingml/2006/picture">
                <pic:pic xmlns:pic="http://schemas.openxmlformats.org/drawingml/2006/picture">
                  <pic:nvPicPr>
                    <pic:cNvPr id="3" name="image3" descr="Figure 3: Solution architecture"/>
                    <pic:cNvPicPr/>
                  </pic:nvPicPr>
                  <pic:blipFill>
                    <a:blip r:embed="rId5"/>
                    <a:stretch>
                      <a:fillRect/>
                    </a:stretch>
                  </pic:blipFill>
                  <pic:spPr>
                    <a:xfrm>
                      <a:off x="0" y="0"/>
                      <a:ext cx="5486400" cy="2804160"/>
                    </a:xfrm>
                    <a:prstGeom prst="rect">
                      <a:avLst/>
                    </a:prstGeom>
                  </pic:spPr>
                </pic:pic>
              </a:graphicData>
            </a:graphic>
          </wp:inline>
        </w:drawing>
      </w:r>
    </w:p>
    <w:p>
      <w:pPr>
        <w:pStyle w:val="Heading2"/>
      </w:pPr>
      <w:r>
        <w:t xml:space="preserve">5. PROJECT PLANNING &amp; SCHEDULING</w:t>
      </w:r>
    </w:p>
    <w:p>
      <w:pPr>
        <w:pStyle w:val="Heading3"/>
      </w:pPr>
      <w:r>
        <w:t xml:space="preserve">5.1 Project Planning</w:t>
      </w:r>
    </w:p>
    <w:tbl>
      <w:tblPr>
        <w:tblStyle w:val="TableGrid"/>
        <w:tblW w:w="0" w:type="auto"/>
        <w:tblLayout w:type="fixed"/>
        <w:tblLook w:val="04A0" w:firstRow="1" w:lastRow="0" w:firstColumn="0" w:lastColumn="0" w:noHBand="0" w:noVBand="1"/>
      </w:tblPr>
      <w:tblGrid>
        <w:gridCol w:w="1542"/>
        <w:gridCol w:w="4376"/>
        <w:gridCol w:w="2057"/>
        <w:gridCol w:w="1385"/>
      </w:tblGrid>
      <w:tr>
        <w:trPr>
          <w:tblHeader/>
        </w:trPr>
        <w:tc>
          <w:tcPr>
            <w:tcW w:w="1542" w:type="dxa"/>
            <w:shd w:val="clear" w:color="auto" w:fill="F2F2F2"/>
          </w:tcPr>
          <w:p>
            <w:pPr/>
            <w:r>
              <w:t xml:space="preserve">Phase</w:t>
            </w:r>
          </w:p>
        </w:tc>
        <w:tc>
          <w:tcPr>
            <w:tcW w:w="4376" w:type="dxa"/>
            <w:shd w:val="clear" w:color="auto" w:fill="F2F2F2"/>
          </w:tcPr>
          <w:p>
            <w:pPr/>
            <w:r>
              <w:t xml:space="preserve">Activities</w:t>
            </w:r>
          </w:p>
        </w:tc>
        <w:tc>
          <w:tcPr>
            <w:tcW w:w="2057" w:type="dxa"/>
            <w:shd w:val="clear" w:color="auto" w:fill="F2F2F2"/>
          </w:tcPr>
          <w:p>
            <w:pPr/>
            <w:r>
              <w:t xml:space="preserve">Date</w:t>
            </w:r>
          </w:p>
        </w:tc>
        <w:tc>
          <w:tcPr>
            <w:tcW w:w="1385" w:type="dxa"/>
            <w:shd w:val="clear" w:color="auto" w:fill="F2F2F2"/>
          </w:tcPr>
          <w:p>
            <w:pPr/>
            <w:r>
              <w:t xml:space="preserve">Status</w:t>
            </w:r>
          </w:p>
        </w:tc>
      </w:tr>
      <w:tr>
        <w:tc>
          <w:tcPr>
            <w:tcW w:w="1542" w:type="dxa"/>
          </w:tcPr>
          <w:p>
            <w:pPr/>
            <w:r>
              <w:t xml:space="preserve">1. Understand the data</w:t>
            </w:r>
          </w:p>
        </w:tc>
        <w:tc>
          <w:tcPr>
            <w:tcW w:w="4376" w:type="dxa"/>
          </w:tcPr>
          <w:p>
            <w:pPr/>
            <w:r>
              <w:t xml:space="preserve">Read the dataset, check columns and missing values, define the questions, plan the sheets</w:t>
            </w:r>
          </w:p>
        </w:tc>
        <w:tc>
          <w:tcPr>
            <w:tcW w:w="2057" w:type="dxa"/>
          </w:tcPr>
          <w:p>
            <w:pPr/>
            <w:r>
              <w:t xml:space="preserve">26 Oct 2026</w:t>
            </w:r>
          </w:p>
        </w:tc>
        <w:tc>
          <w:tcPr>
            <w:tcW w:w="1385" w:type="dxa"/>
          </w:tcPr>
          <w:p>
            <w:pPr/>
            <w:r>
              <w:t xml:space="preserve">Completed</w:t>
            </w:r>
          </w:p>
        </w:tc>
      </w:tr>
      <w:tr>
        <w:tc>
          <w:tcPr>
            <w:tcW w:w="1542" w:type="dxa"/>
          </w:tcPr>
          <w:p>
            <w:pPr/>
            <w:r>
              <w:t xml:space="preserve">2. Build worksheets</w:t>
            </w:r>
          </w:p>
        </w:tc>
        <w:tc>
          <w:tcPr>
            <w:tcW w:w="4376" w:type="dxa"/>
          </w:tcPr>
          <w:p>
            <w:pPr/>
            <w:r>
              <w:t xml:space="preserve">Create the seven sheets, correct SUM to AVG, set quarterly dates, set the map as filled countries</w:t>
            </w:r>
          </w:p>
        </w:tc>
        <w:tc>
          <w:tcPr>
            <w:tcW w:w="2057" w:type="dxa"/>
          </w:tcPr>
          <w:p>
            <w:pPr/>
            <w:r>
              <w:t xml:space="preserve">27 Oct 2026</w:t>
            </w:r>
          </w:p>
        </w:tc>
        <w:tc>
          <w:tcPr>
            <w:tcW w:w="1385" w:type="dxa"/>
          </w:tcPr>
          <w:p>
            <w:pPr/>
            <w:r>
              <w:t xml:space="preserve">Completed</w:t>
            </w:r>
          </w:p>
        </w:tc>
      </w:tr>
      <w:tr>
        <w:tc>
          <w:tcPr>
            <w:tcW w:w="1542" w:type="dxa"/>
          </w:tcPr>
          <w:p>
            <w:pPr/>
            <w:r>
              <w:t xml:space="preserve">3. Test and correct</w:t>
            </w:r>
          </w:p>
        </w:tc>
        <w:tc>
          <w:tcPr>
            <w:tcW w:w="4376" w:type="dxa"/>
          </w:tcPr>
          <w:p>
            <w:pPr/>
            <w:r>
              <w:t xml:space="preserve">Check values against an independent calculation, remove leftover filters, fix axes and labels</w:t>
            </w:r>
          </w:p>
        </w:tc>
        <w:tc>
          <w:tcPr>
            <w:tcW w:w="2057" w:type="dxa"/>
          </w:tcPr>
          <w:p>
            <w:pPr/>
            <w:r>
              <w:t xml:space="preserve">27 to 28 Oct 2026</w:t>
            </w:r>
          </w:p>
        </w:tc>
        <w:tc>
          <w:tcPr>
            <w:tcW w:w="1385" w:type="dxa"/>
          </w:tcPr>
          <w:p>
            <w:pPr/>
            <w:r>
              <w:t xml:space="preserve">Completed</w:t>
            </w:r>
          </w:p>
        </w:tc>
      </w:tr>
      <w:tr>
        <w:tc>
          <w:tcPr>
            <w:tcW w:w="1542" w:type="dxa"/>
          </w:tcPr>
          <w:p>
            <w:pPr/>
            <w:r>
              <w:t xml:space="preserve">4. Presentation and report</w:t>
            </w:r>
          </w:p>
        </w:tc>
        <w:tc>
          <w:tcPr>
            <w:tcW w:w="4376" w:type="dxa"/>
          </w:tcPr>
          <w:p>
            <w:pPr/>
            <w:r>
              <w:t xml:space="preserve">Prepare the PowerPoint deck and this report</w:t>
            </w:r>
          </w:p>
        </w:tc>
        <w:tc>
          <w:tcPr>
            <w:tcW w:w="2057" w:type="dxa"/>
          </w:tcPr>
          <w:p>
            <w:pPr/>
            <w:r>
              <w:t xml:space="preserve">28 Oct 2026</w:t>
            </w:r>
          </w:p>
        </w:tc>
        <w:tc>
          <w:tcPr>
            <w:tcW w:w="1385" w:type="dxa"/>
          </w:tcPr>
          <w:p>
            <w:pPr/>
            <w:r>
              <w:t xml:space="preserve">Completed</w:t>
            </w:r>
          </w:p>
        </w:tc>
      </w:tr>
      <w:tr>
        <w:tc>
          <w:tcPr>
            <w:tcW w:w="1542" w:type="dxa"/>
          </w:tcPr>
          <w:p>
            <w:pPr/>
            <w:r>
              <w:t xml:space="preserve">5. Final dashboard polish</w:t>
            </w:r>
          </w:p>
        </w:tc>
        <w:tc>
          <w:tcPr>
            <w:tcW w:w="4376" w:type="dxa"/>
          </w:tcPr>
          <w:p>
            <w:pPr/>
            <w:r>
              <w:t xml:space="preserve">Align the dashboard layout, match colours and fonts</w:t>
            </w:r>
          </w:p>
        </w:tc>
        <w:tc>
          <w:tcPr>
            <w:tcW w:w="2057" w:type="dxa"/>
          </w:tcPr>
          <w:p>
            <w:pPr/>
            <w:r>
              <w:t xml:space="preserve">28 Oct 2026</w:t>
            </w:r>
          </w:p>
        </w:tc>
        <w:tc>
          <w:tcPr>
            <w:tcW w:w="1385" w:type="dxa"/>
          </w:tcPr>
          <w:p>
            <w:pPr/>
            <w:r>
              <w:t xml:space="preserve">In progress</w:t>
            </w:r>
          </w:p>
        </w:tc>
      </w:tr>
    </w:tbl>
    <w:p>
      <w:pPr>
        <w:pStyle w:val="Heading2"/>
      </w:pPr>
      <w:r>
        <w:t xml:space="preserve">6. FUNCTIONAL AND PERFORMANCE TESTING</w:t>
      </w:r>
    </w:p>
    <w:p>
      <w:pPr>
        <w:pStyle w:val="Heading3"/>
      </w:pPr>
      <w:r>
        <w:t xml:space="preserve">6.1 Performance Testing</w:t>
      </w:r>
    </w:p>
    <w:p>
      <w:pPr/>
      <w:r>
        <w:t xml:space="preserve">Accuracy was treated as the main performance measure for this project. Values shown in Tableau were compared with an independent calculation in Python (pandas) on the same CSV file, and every checked value matched.</w:t>
      </w:r>
    </w:p>
    <w:tbl>
      <w:tblPr>
        <w:tblStyle w:val="TableGrid"/>
        <w:tblW w:w="0" w:type="auto"/>
        <w:tblLayout w:type="fixed"/>
        <w:tblLook w:val="04A0" w:firstRow="1" w:lastRow="0" w:firstColumn="0" w:lastColumn="0" w:noHBand="0" w:noVBand="1"/>
      </w:tblPr>
      <w:tblGrid>
        <w:gridCol w:w="2660"/>
        <w:gridCol w:w="4920"/>
        <w:gridCol w:w="1780"/>
      </w:tblGrid>
      <w:tr>
        <w:trPr>
          <w:tblHeader/>
        </w:trPr>
        <w:tc>
          <w:tcPr>
            <w:tcW w:w="2660" w:type="dxa"/>
            <w:shd w:val="clear" w:color="auto" w:fill="F2F2F2"/>
          </w:tcPr>
          <w:p>
            <w:pPr/>
            <w:r>
              <w:t xml:space="preserve">Test</w:t>
            </w:r>
          </w:p>
        </w:tc>
        <w:tc>
          <w:tcPr>
            <w:tcW w:w="4920" w:type="dxa"/>
            <w:shd w:val="clear" w:color="auto" w:fill="F2F2F2"/>
          </w:tcPr>
          <w:p>
            <w:pPr/>
            <w:r>
              <w:t xml:space="preserve">Expected result</w:t>
            </w:r>
          </w:p>
        </w:tc>
        <w:tc>
          <w:tcPr>
            <w:tcW w:w="1780" w:type="dxa"/>
            <w:shd w:val="clear" w:color="auto" w:fill="F2F2F2"/>
          </w:tcPr>
          <w:p>
            <w:pPr/>
            <w:r>
              <w:t xml:space="preserve">Result</w:t>
            </w:r>
          </w:p>
        </w:tc>
      </w:tr>
      <w:tr>
        <w:tc>
          <w:tcPr>
            <w:tcW w:w="2660" w:type="dxa"/>
          </w:tcPr>
          <w:p>
            <w:pPr/>
            <w:r>
              <w:t xml:space="preserve">Data load</w:t>
            </w:r>
          </w:p>
        </w:tc>
        <w:tc>
          <w:tcPr>
            <w:tcW w:w="4920" w:type="dxa"/>
          </w:tcPr>
          <w:p>
            <w:pPr/>
            <w:r>
              <w:t xml:space="preserve">27,468 rows, 84 countries, no missing values</w:t>
            </w:r>
          </w:p>
        </w:tc>
        <w:tc>
          <w:tcPr>
            <w:tcW w:w="1780" w:type="dxa"/>
          </w:tcPr>
          <w:p>
            <w:pPr/>
            <w:r>
              <w:t xml:space="preserve">Passed</w:t>
            </w:r>
          </w:p>
        </w:tc>
      </w:tr>
      <w:tr>
        <w:tc>
          <w:tcPr>
            <w:tcW w:w="2660" w:type="dxa"/>
          </w:tcPr>
          <w:p>
            <w:pPr/>
            <w:r>
              <w:t xml:space="preserve">Average petrol price, Spain (map tooltip)</w:t>
            </w:r>
          </w:p>
        </w:tc>
        <w:tc>
          <w:tcPr>
            <w:tcW w:w="4920" w:type="dxa"/>
          </w:tcPr>
          <w:p>
            <w:pPr/>
            <w:r>
              <w:t xml:space="preserve">3.878 USD per litre</w:t>
            </w:r>
          </w:p>
        </w:tc>
        <w:tc>
          <w:tcPr>
            <w:tcW w:w="1780" w:type="dxa"/>
          </w:tcPr>
          <w:p>
            <w:pPr/>
            <w:r>
              <w:t xml:space="preserve">Passed (3.878)</w:t>
            </w:r>
          </w:p>
        </w:tc>
      </w:tr>
      <w:tr>
        <w:tc>
          <w:tcPr>
            <w:tcW w:w="2660" w:type="dxa"/>
          </w:tcPr>
          <w:p>
            <w:pPr/>
            <w:r>
              <w:t xml:space="preserve">Top 10 countries</w:t>
            </w:r>
          </w:p>
        </w:tc>
        <w:tc>
          <w:tcPr>
            <w:tcW w:w="4920" w:type="dxa"/>
          </w:tcPr>
          <w:p>
            <w:pPr/>
            <w:r>
              <w:t xml:space="preserve">Hong Kong 5.54, Norway 4.76, Netherlands 4.66 at the top</w:t>
            </w:r>
          </w:p>
        </w:tc>
        <w:tc>
          <w:tcPr>
            <w:tcW w:w="1780" w:type="dxa"/>
          </w:tcPr>
          <w:p>
            <w:pPr/>
            <w:r>
              <w:t xml:space="preserve">Passed</w:t>
            </w:r>
          </w:p>
        </w:tc>
      </w:tr>
      <w:tr>
        <w:tc>
          <w:tcPr>
            <w:tcW w:w="2660" w:type="dxa"/>
          </w:tcPr>
          <w:p>
            <w:pPr/>
            <w:r>
              <w:t xml:space="preserve">Income level averages</w:t>
            </w:r>
          </w:p>
        </w:tc>
        <w:tc>
          <w:tcPr>
            <w:tcW w:w="4920" w:type="dxa"/>
          </w:tcPr>
          <w:p>
            <w:pPr/>
            <w:r>
              <w:t xml:space="preserve">Low 1.39, Middle 1.59, High 3.55</w:t>
            </w:r>
          </w:p>
        </w:tc>
        <w:tc>
          <w:tcPr>
            <w:tcW w:w="1780" w:type="dxa"/>
          </w:tcPr>
          <w:p>
            <w:pPr/>
            <w:r>
              <w:t xml:space="preserve">Passed</w:t>
            </w:r>
          </w:p>
        </w:tc>
      </w:tr>
      <w:tr>
        <w:tc>
          <w:tcPr>
            <w:tcW w:w="2660" w:type="dxa"/>
          </w:tcPr>
          <w:p>
            <w:pPr/>
            <w:r>
              <w:t xml:space="preserve">Subsidy level averages</w:t>
            </w:r>
          </w:p>
        </w:tc>
        <w:tc>
          <w:tcPr>
            <w:tcW w:w="4920" w:type="dxa"/>
          </w:tcPr>
          <w:p>
            <w:pPr/>
            <w:r>
              <w:t xml:space="preserve">Very High 0.15, High 0.71, Medium 1.66, Low 3.45</w:t>
            </w:r>
          </w:p>
        </w:tc>
        <w:tc>
          <w:tcPr>
            <w:tcW w:w="1780" w:type="dxa"/>
          </w:tcPr>
          <w:p>
            <w:pPr/>
            <w:r>
              <w:t xml:space="preserve">Passed</w:t>
            </w:r>
          </w:p>
        </w:tc>
      </w:tr>
      <w:tr>
        <w:tc>
          <w:tcPr>
            <w:tcW w:w="2660" w:type="dxa"/>
          </w:tcPr>
          <w:p>
            <w:pPr/>
            <w:r>
              <w:t xml:space="preserve">Regional tax averages</w:t>
            </w:r>
          </w:p>
        </w:tc>
        <w:tc>
          <w:tcPr>
            <w:tcW w:w="4920" w:type="dxa"/>
          </w:tcPr>
          <w:p>
            <w:pPr/>
            <w:r>
              <w:t xml:space="preserve">Oceania 38.7 down to South America 18.2</w:t>
            </w:r>
          </w:p>
        </w:tc>
        <w:tc>
          <w:tcPr>
            <w:tcW w:w="1780" w:type="dxa"/>
          </w:tcPr>
          <w:p>
            <w:pPr/>
            <w:r>
              <w:t xml:space="preserve">Passed</w:t>
            </w:r>
          </w:p>
        </w:tc>
      </w:tr>
      <w:tr>
        <w:tc>
          <w:tcPr>
            <w:tcW w:w="2660" w:type="dxa"/>
          </w:tcPr>
          <w:p>
            <w:pPr/>
            <w:r>
              <w:t xml:space="preserve">Click-to-filter and filters</w:t>
            </w:r>
          </w:p>
        </w:tc>
        <w:tc>
          <w:tcPr>
            <w:tcW w:w="4920" w:type="dxa"/>
          </w:tcPr>
          <w:p>
            <w:pPr/>
            <w:r>
              <w:t xml:space="preserve">Selecting a country or a level updates the other charts</w:t>
            </w:r>
          </w:p>
        </w:tc>
        <w:tc>
          <w:tcPr>
            <w:tcW w:w="1780" w:type="dxa"/>
          </w:tcPr>
          <w:p>
            <w:pPr/>
            <w:r>
              <w:t xml:space="preserve">Passed</w:t>
            </w:r>
          </w:p>
        </w:tc>
      </w:tr>
    </w:tbl>
    <w:p>
      <w:pPr/>
      <w:r>
        <w:t xml:space="preserve">Testing also found defects during development. Each was corrected.</w:t>
      </w:r>
    </w:p>
    <w:tbl>
      <w:tblPr>
        <w:tblStyle w:val="TableGrid"/>
        <w:tblW w:w="0" w:type="auto"/>
        <w:tblLayout w:type="fixed"/>
        <w:tblLook w:val="04A0" w:firstRow="1" w:lastRow="0" w:firstColumn="0" w:lastColumn="0" w:noHBand="0" w:noVBand="1"/>
      </w:tblPr>
      <w:tblGrid>
        <w:gridCol w:w="3100"/>
        <w:gridCol w:w="3083"/>
        <w:gridCol w:w="3177"/>
      </w:tblGrid>
      <w:tr>
        <w:trPr>
          <w:tblHeader/>
        </w:trPr>
        <w:tc>
          <w:tcPr>
            <w:tcW w:w="3100" w:type="dxa"/>
            <w:shd w:val="clear" w:color="auto" w:fill="F2F2F2"/>
          </w:tcPr>
          <w:p>
            <w:pPr/>
            <w:r>
              <w:t xml:space="preserve">Defect found</w:t>
            </w:r>
          </w:p>
        </w:tc>
        <w:tc>
          <w:tcPr>
            <w:tcW w:w="3083" w:type="dxa"/>
            <w:shd w:val="clear" w:color="auto" w:fill="F2F2F2"/>
          </w:tcPr>
          <w:p>
            <w:pPr/>
            <w:r>
              <w:t xml:space="preserve">Cause</w:t>
            </w:r>
          </w:p>
        </w:tc>
        <w:tc>
          <w:tcPr>
            <w:tcW w:w="3177" w:type="dxa"/>
            <w:shd w:val="clear" w:color="auto" w:fill="F2F2F2"/>
          </w:tcPr>
          <w:p>
            <w:pPr/>
            <w:r>
              <w:t xml:space="preserve">Correction</w:t>
            </w:r>
          </w:p>
        </w:tc>
      </w:tr>
      <w:tr>
        <w:tc>
          <w:tcPr>
            <w:tcW w:w="3100" w:type="dxa"/>
          </w:tcPr>
          <w:p>
            <w:pPr/>
            <w:r>
              <w:t xml:space="preserve">Brent crude axis showed 800K and diesel reached 3,000</w:t>
            </w:r>
          </w:p>
        </w:tc>
        <w:tc>
          <w:tcPr>
            <w:tcW w:w="3083" w:type="dxa"/>
          </w:tcPr>
          <w:p>
            <w:pPr/>
            <w:r>
              <w:t xml:space="preserve">Measures were summed over all weeks and countries</w:t>
            </w:r>
          </w:p>
        </w:tc>
        <w:tc>
          <w:tcPr>
            <w:tcW w:w="3177" w:type="dxa"/>
          </w:tcPr>
          <w:p>
            <w:pPr/>
            <w:r>
              <w:t xml:space="preserve">Changed the aggregation to Average</w:t>
            </w:r>
          </w:p>
        </w:tc>
      </w:tr>
      <w:tr>
        <w:tc>
          <w:tcPr>
            <w:tcW w:w="3100" w:type="dxa"/>
          </w:tcPr>
          <w:p>
            <w:pPr/>
            <w:r>
              <w:t xml:space="preserve">Trend chart showed only Q1 to Q4</w:t>
            </w:r>
          </w:p>
        </w:tc>
        <w:tc>
          <w:tcPr>
            <w:tcW w:w="3083" w:type="dxa"/>
          </w:tcPr>
          <w:p>
            <w:pPr/>
            <w:r>
              <w:t xml:space="preserve">Quarter was used as a date part, merging all years</w:t>
            </w:r>
          </w:p>
        </w:tc>
        <w:tc>
          <w:tcPr>
            <w:tcW w:w="3177" w:type="dxa"/>
          </w:tcPr>
          <w:p>
            <w:pPr/>
            <w:r>
              <w:t xml:space="preserve">Used continuous quarterly dates</w:t>
            </w:r>
          </w:p>
        </w:tc>
      </w:tr>
      <w:tr>
        <w:tc>
          <w:tcPr>
            <w:tcW w:w="3100" w:type="dxa"/>
          </w:tcPr>
          <w:p>
            <w:pPr/>
            <w:r>
              <w:t xml:space="preserve">Map displayed as a list of countries</w:t>
            </w:r>
          </w:p>
        </w:tc>
        <w:tc>
          <w:tcPr>
            <w:tcW w:w="3083" w:type="dxa"/>
          </w:tcPr>
          <w:p>
            <w:pPr/>
            <w:r>
              <w:t xml:space="preserve">Country was on Rows, not latitude and longitude</w:t>
            </w:r>
          </w:p>
        </w:tc>
        <w:tc>
          <w:tcPr>
            <w:tcW w:w="3177" w:type="dxa"/>
          </w:tcPr>
          <w:p>
            <w:pPr/>
            <w:r>
              <w:t xml:space="preserve">Used generated latitude and longitude with Country on Detail</w:t>
            </w:r>
          </w:p>
        </w:tc>
      </w:tr>
      <w:tr>
        <w:tc>
          <w:tcPr>
            <w:tcW w:w="3100" w:type="dxa"/>
          </w:tcPr>
          <w:p>
            <w:pPr/>
            <w:r>
              <w:t xml:space="preserve">Charts went blank after clicking the dashboard</w:t>
            </w:r>
          </w:p>
        </w:tc>
        <w:tc>
          <w:tcPr>
            <w:tcW w:w="3083" w:type="dxa"/>
          </w:tcPr>
          <w:p>
            <w:pPr/>
            <w:r>
              <w:t xml:space="preserve">Leftover Action filters on the sheets</w:t>
            </w:r>
          </w:p>
        </w:tc>
        <w:tc>
          <w:tcPr>
            <w:tcW w:w="3177" w:type="dxa"/>
          </w:tcPr>
          <w:p>
            <w:pPr/>
            <w:r>
              <w:t xml:space="preserve">Removed the Action filters</w:t>
            </w:r>
          </w:p>
        </w:tc>
      </w:tr>
      <w:tr>
        <w:tc>
          <w:tcPr>
            <w:tcW w:w="3100" w:type="dxa"/>
          </w:tcPr>
          <w:p>
            <w:pPr/>
            <w:r>
              <w:t xml:space="preserve">Petrol and diesel drawn as two panels</w:t>
            </w:r>
          </w:p>
        </w:tc>
        <w:tc>
          <w:tcPr>
            <w:tcW w:w="3083" w:type="dxa"/>
          </w:tcPr>
          <w:p>
            <w:pPr/>
            <w:r>
              <w:t xml:space="preserve">Two separate measures on Rows</w:t>
            </w:r>
          </w:p>
        </w:tc>
        <w:tc>
          <w:tcPr>
            <w:tcW w:w="3177" w:type="dxa"/>
          </w:tcPr>
          <w:p>
            <w:pPr/>
            <w:r>
              <w:t xml:space="preserve">Merged into one dual-axis chart with a synchronised axis</w:t>
            </w:r>
          </w:p>
        </w:tc>
      </w:tr>
      <w:tr>
        <w:tc>
          <w:tcPr>
            <w:tcW w:w="3100" w:type="dxa"/>
          </w:tcPr>
          <w:p>
            <w:pPr/>
            <w:r>
              <w:t xml:space="preserve">Axis titles swapped on the Brent chart</w:t>
            </w:r>
          </w:p>
        </w:tc>
        <w:tc>
          <w:tcPr>
            <w:tcW w:w="3083" w:type="dxa"/>
          </w:tcPr>
          <w:p>
            <w:pPr/>
            <w:r>
              <w:t xml:space="preserve">Titles typed on the wrong axes</w:t>
            </w:r>
          </w:p>
        </w:tc>
        <w:tc>
          <w:tcPr>
            <w:tcW w:w="3177" w:type="dxa"/>
          </w:tcPr>
          <w:p>
            <w:pPr/>
            <w:r>
              <w:t xml:space="preserve">Left axis named for petrol, right axis for Brent</w:t>
            </w:r>
          </w:p>
        </w:tc>
      </w:tr>
    </w:tbl>
    <w:p>
      <w:pPr/>
      <w:r>
        <w:t xml:space="preserve">Response times were not formally measured. The dataset is about 1.8 MB, and no slow response was reported during development.</w:t>
      </w:r>
    </w:p>
    <w:p>
      <w:pPr>
        <w:pStyle w:val="Heading2"/>
      </w:pPr>
      <w:r>
        <w:t xml:space="preserve">7. RESULTS</w:t>
      </w:r>
    </w:p>
    <w:p>
      <w:pPr>
        <w:pStyle w:val="Heading3"/>
      </w:pPr>
      <w:r>
        <w:t xml:space="preserve">7.1 Output Screenshots</w:t>
      </w:r>
    </w:p>
    <w:p>
      <w:pPr/>
      <w:r>
        <w:t xml:space="preserve">Figures 4 to 7 are screenshots taken from the Tableau workbook. Figures 8 and 9 were rebuilt from the same dataset to show the final quarterly view. You can replace any picture with your own final Tableau screenshot.</w:t>
      </w:r>
    </w:p>
    <w:p>
      <w:pPr/>
      <w:r>
        <w:drawing>
          <wp:inline distT="0" distB="0" distL="0" distR="0">
            <wp:extent cx="5486400" cy="3349804"/>
            <wp:docPr id="4" name="image4" descr="Figure 4: Map of average petrol price by country (tooltip shows Spain at 3.878 USD per litre)"/>
            <a:graphic xmlns:a="http://schemas.openxmlformats.org/drawingml/2006/main">
              <a:graphicData uri="http://schemas.openxmlformats.org/drawingml/2006/picture">
                <pic:pic xmlns:pic="http://schemas.openxmlformats.org/drawingml/2006/picture">
                  <pic:nvPicPr>
                    <pic:cNvPr id="4" name="image4" descr="Figure 4: Map of average petrol price by country (tooltip shows Spain at 3.878 USD per litre)"/>
                    <pic:cNvPicPr/>
                  </pic:nvPicPr>
                  <pic:blipFill>
                    <a:blip r:embed="rId6"/>
                    <a:stretch>
                      <a:fillRect/>
                    </a:stretch>
                  </pic:blipFill>
                  <pic:spPr>
                    <a:xfrm>
                      <a:off x="0" y="0"/>
                      <a:ext cx="5486400" cy="3349804"/>
                    </a:xfrm>
                    <a:prstGeom prst="rect">
                      <a:avLst/>
                    </a:prstGeom>
                  </pic:spPr>
                </pic:pic>
              </a:graphicData>
            </a:graphic>
          </wp:inline>
        </w:drawing>
      </w:r>
    </w:p>
    <w:p>
      <w:pPr/>
      <w:r>
        <w:drawing>
          <wp:inline distT="0" distB="0" distL="0" distR="0">
            <wp:extent cx="5486400" cy="2053883"/>
            <wp:docPr id="5" name="image5" descr="Figure 5: Top 10 most expensive countries by average petrol price"/>
            <a:graphic xmlns:a="http://schemas.openxmlformats.org/drawingml/2006/main">
              <a:graphicData uri="http://schemas.openxmlformats.org/drawingml/2006/picture">
                <pic:pic xmlns:pic="http://schemas.openxmlformats.org/drawingml/2006/picture">
                  <pic:nvPicPr>
                    <pic:cNvPr id="5" name="image5" descr="Figure 5: Top 10 most expensive countries by average petrol price"/>
                    <pic:cNvPicPr/>
                  </pic:nvPicPr>
                  <pic:blipFill>
                    <a:blip r:embed="rId7"/>
                    <a:stretch>
                      <a:fillRect/>
                    </a:stretch>
                  </pic:blipFill>
                  <pic:spPr>
                    <a:xfrm>
                      <a:off x="0" y="0"/>
                      <a:ext cx="5486400" cy="2053883"/>
                    </a:xfrm>
                    <a:prstGeom prst="rect">
                      <a:avLst/>
                    </a:prstGeom>
                  </pic:spPr>
                </pic:pic>
              </a:graphicData>
            </a:graphic>
          </wp:inline>
        </w:drawing>
      </w:r>
    </w:p>
    <w:p>
      <w:pPr/>
      <w:r>
        <w:drawing>
          <wp:inline distT="0" distB="0" distL="0" distR="0">
            <wp:extent cx="5486400" cy="4635374"/>
            <wp:docPr id="6" name="image6" descr="Figure 6: Average petrol price by income level (left) and by subsidy level (right)"/>
            <a:graphic xmlns:a="http://schemas.openxmlformats.org/drawingml/2006/main">
              <a:graphicData uri="http://schemas.openxmlformats.org/drawingml/2006/picture">
                <pic:pic xmlns:pic="http://schemas.openxmlformats.org/drawingml/2006/picture">
                  <pic:nvPicPr>
                    <pic:cNvPr id="6" name="image6" descr="Figure 6: Average petrol price by income level (left) and by subsidy level (right)"/>
                    <pic:cNvPicPr/>
                  </pic:nvPicPr>
                  <pic:blipFill>
                    <a:blip r:embed="rId8"/>
                    <a:stretch>
                      <a:fillRect/>
                    </a:stretch>
                  </pic:blipFill>
                  <pic:spPr>
                    <a:xfrm>
                      <a:off x="0" y="0"/>
                      <a:ext cx="5486400" cy="4635374"/>
                    </a:xfrm>
                    <a:prstGeom prst="rect">
                      <a:avLst/>
                    </a:prstGeom>
                  </pic:spPr>
                </pic:pic>
              </a:graphicData>
            </a:graphic>
          </wp:inline>
        </w:drawing>
      </w:r>
    </w:p>
    <w:p>
      <w:pPr/>
      <w:r>
        <w:drawing>
          <wp:inline distT="0" distB="0" distL="0" distR="0">
            <wp:extent cx="5486400" cy="1811044"/>
            <wp:docPr id="7" name="image7" descr="Figure 7: Average tax percentage by region"/>
            <a:graphic xmlns:a="http://schemas.openxmlformats.org/drawingml/2006/main">
              <a:graphicData uri="http://schemas.openxmlformats.org/drawingml/2006/picture">
                <pic:pic xmlns:pic="http://schemas.openxmlformats.org/drawingml/2006/picture">
                  <pic:nvPicPr>
                    <pic:cNvPr id="7" name="image7" descr="Figure 7: Average tax percentage by region"/>
                    <pic:cNvPicPr/>
                  </pic:nvPicPr>
                  <pic:blipFill>
                    <a:blip r:embed="rId9"/>
                    <a:stretch>
                      <a:fillRect/>
                    </a:stretch>
                  </pic:blipFill>
                  <pic:spPr>
                    <a:xfrm>
                      <a:off x="0" y="0"/>
                      <a:ext cx="5486400" cy="1811044"/>
                    </a:xfrm>
                    <a:prstGeom prst="rect">
                      <a:avLst/>
                    </a:prstGeom>
                  </pic:spPr>
                </pic:pic>
              </a:graphicData>
            </a:graphic>
          </wp:inline>
        </w:drawing>
      </w:r>
    </w:p>
    <w:p>
      <w:pPr/>
      <w:r>
        <w:drawing>
          <wp:inline distT="0" distB="0" distL="0" distR="0">
            <wp:extent cx="5486400" cy="2606040"/>
            <wp:docPr id="8" name="image8" descr="Figure 8: Petrol and diesel price trend by quarter (generated from the dataset)"/>
            <a:graphic xmlns:a="http://schemas.openxmlformats.org/drawingml/2006/main">
              <a:graphicData uri="http://schemas.openxmlformats.org/drawingml/2006/picture">
                <pic:pic xmlns:pic="http://schemas.openxmlformats.org/drawingml/2006/picture">
                  <pic:nvPicPr>
                    <pic:cNvPr id="8" name="image8" descr="Figure 8: Petrol and diesel price trend by quarter (generated from the dataset)"/>
                    <pic:cNvPicPr/>
                  </pic:nvPicPr>
                  <pic:blipFill>
                    <a:blip r:embed="rId10"/>
                    <a:stretch>
                      <a:fillRect/>
                    </a:stretch>
                  </pic:blipFill>
                  <pic:spPr>
                    <a:xfrm>
                      <a:off x="0" y="0"/>
                      <a:ext cx="5486400" cy="2606040"/>
                    </a:xfrm>
                    <a:prstGeom prst="rect">
                      <a:avLst/>
                    </a:prstGeom>
                  </pic:spPr>
                </pic:pic>
              </a:graphicData>
            </a:graphic>
          </wp:inline>
        </w:drawing>
      </w:r>
    </w:p>
    <w:p>
      <w:pPr/>
      <w:r>
        <w:drawing>
          <wp:inline distT="0" distB="0" distL="0" distR="0">
            <wp:extent cx="5486400" cy="2606040"/>
            <wp:docPr id="9" name="image9" descr="Figure 9: Petrol price against Brent crude (generated from the dataset)"/>
            <a:graphic xmlns:a="http://schemas.openxmlformats.org/drawingml/2006/main">
              <a:graphicData uri="http://schemas.openxmlformats.org/drawingml/2006/picture">
                <pic:pic xmlns:pic="http://schemas.openxmlformats.org/drawingml/2006/picture">
                  <pic:nvPicPr>
                    <pic:cNvPr id="9" name="image9" descr="Figure 9: Petrol price against Brent crude (generated from the dataset)"/>
                    <pic:cNvPicPr/>
                  </pic:nvPicPr>
                  <pic:blipFill>
                    <a:blip r:embed="rId11"/>
                    <a:stretch>
                      <a:fillRect/>
                    </a:stretch>
                  </pic:blipFill>
                  <pic:spPr>
                    <a:xfrm>
                      <a:off x="0" y="0"/>
                      <a:ext cx="5486400" cy="2606040"/>
                    </a:xfrm>
                    <a:prstGeom prst="rect">
                      <a:avLst/>
                    </a:prstGeom>
                  </pic:spPr>
                </pic:pic>
              </a:graphicData>
            </a:graphic>
          </wp:inline>
        </w:drawing>
      </w:r>
    </w:p>
    <w:p>
      <w:pPr/>
      <w:r>
        <w:rPr>
          <w:b/>
        </w:rPr>
        <w:t xml:space="preserve">Key results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Finding</w:t>
            </w:r>
          </w:p>
        </w:tc>
        <w:tc>
          <w:tcPr>
            <w:tcW w:w="4920" w:type="dxa"/>
            <w:shd w:val="clear" w:color="auto" w:fill="F2F2F2"/>
          </w:tcPr>
          <w:p>
            <w:pPr/>
            <w:r>
              <w:t xml:space="preserve">Result</w:t>
            </w:r>
          </w:p>
        </w:tc>
      </w:tr>
      <w:tr>
        <w:tc>
          <w:tcPr>
            <w:tcW w:w="4440" w:type="dxa"/>
          </w:tcPr>
          <w:p>
            <w:pPr/>
            <w:r>
              <w:t xml:space="preserve">Most and least expensive country (average petrol)</w:t>
            </w:r>
          </w:p>
        </w:tc>
        <w:tc>
          <w:tcPr>
            <w:tcW w:w="4920" w:type="dxa"/>
          </w:tcPr>
          <w:p>
            <w:pPr/>
            <w:r>
              <w:t xml:space="preserve">Hong Kong 5.54 and Venezuela 0.02 USD per litre</w:t>
            </w:r>
          </w:p>
        </w:tc>
      </w:tr>
      <w:tr>
        <w:tc>
          <w:tcPr>
            <w:tcW w:w="4440" w:type="dxa"/>
          </w:tcPr>
          <w:p>
            <w:pPr/>
            <w:r>
              <w:t xml:space="preserve">Effect of subsidy</w:t>
            </w:r>
          </w:p>
        </w:tc>
        <w:tc>
          <w:tcPr>
            <w:tcW w:w="4920" w:type="dxa"/>
          </w:tcPr>
          <w:p>
            <w:pPr/>
            <w:r>
              <w:t xml:space="preserve">Very High subsidy 0.15 against Low subsidy 3.45 USD per litre</w:t>
            </w:r>
          </w:p>
        </w:tc>
      </w:tr>
      <w:tr>
        <w:tc>
          <w:tcPr>
            <w:tcW w:w="4440" w:type="dxa"/>
          </w:tcPr>
          <w:p>
            <w:pPr/>
            <w:r>
              <w:t xml:space="preserve">Effect of income</w:t>
            </w:r>
          </w:p>
        </w:tc>
        <w:tc>
          <w:tcPr>
            <w:tcW w:w="4920" w:type="dxa"/>
          </w:tcPr>
          <w:p>
            <w:pPr/>
            <w:r>
              <w:t xml:space="preserve">Low income 1.39 against High income 3.55 USD per litre</w:t>
            </w:r>
          </w:p>
        </w:tc>
      </w:tr>
      <w:tr>
        <w:tc>
          <w:tcPr>
            <w:tcW w:w="4440" w:type="dxa"/>
          </w:tcPr>
          <w:p>
            <w:pPr/>
            <w:r>
              <w:t xml:space="preserve">Tax share by region</w:t>
            </w:r>
          </w:p>
        </w:tc>
        <w:tc>
          <w:tcPr>
            <w:tcW w:w="4920" w:type="dxa"/>
          </w:tcPr>
          <w:p>
            <w:pPr/>
            <w:r>
              <w:t xml:space="preserve">Oceania 38.7 percent, South America 18.2 percent</w:t>
            </w:r>
          </w:p>
        </w:tc>
      </w:tr>
      <w:tr>
        <w:tc>
          <w:tcPr>
            <w:tcW w:w="4440" w:type="dxa"/>
          </w:tcPr>
          <w:p>
            <w:pPr/>
            <w:r>
              <w:t xml:space="preserve">Petrol and Brent crude</w:t>
            </w:r>
          </w:p>
        </w:tc>
        <w:tc>
          <w:tcPr>
            <w:tcW w:w="4920" w:type="dxa"/>
          </w:tcPr>
          <w:p>
            <w:pPr/>
            <w:r>
              <w:t xml:space="preserve">Correlation of 0.99 on quarterly averages (2020 Q1 to 2026 Q1)</w:t>
            </w:r>
          </w:p>
        </w:tc>
      </w:tr>
      <w:tr>
        <w:tc>
          <w:tcPr>
            <w:tcW w:w="4440" w:type="dxa"/>
          </w:tcPr>
          <w:p>
            <w:pPr/>
            <w:r>
              <w:t xml:space="preserve">Highest quarterly petrol average</w:t>
            </w:r>
          </w:p>
        </w:tc>
        <w:tc>
          <w:tcPr>
            <w:tcW w:w="4920" w:type="dxa"/>
          </w:tcPr>
          <w:p>
            <w:pPr/>
            <w:r>
              <w:t xml:space="preserve">2.77 USD per litre in 2022 Q2</w:t>
            </w:r>
          </w:p>
        </w:tc>
      </w:tr>
    </w:tbl>
    <w:p>
      <w:pPr>
        <w:pStyle w:val="Heading2"/>
      </w:pPr>
      <w:r>
        <w:t xml:space="preserve">8. ADVANTAGES &amp; DISADVANTAGES</w:t>
      </w:r>
    </w:p>
    <w:p>
      <w:pPr>
        <w:pStyle w:val="Heading3"/>
      </w:pPr>
      <w:r>
        <w:t xml:space="preserve">Advantages</w:t>
      </w:r>
    </w:p>
    <w:p>
      <w:pPr>
        <w:pStyle w:val="ListParagraph"/>
        <w:numPr>
          <w:ilvl w:val="0"/>
          <w:numId w:val="3"/>
        </w:numPr>
      </w:pPr>
      <w:r>
        <w:t xml:space="preserve">One dashboard answers four clear questions about fuel prices.</w:t>
      </w:r>
    </w:p>
    <w:p>
      <w:pPr>
        <w:pStyle w:val="ListParagraph"/>
        <w:numPr>
          <w:ilvl w:val="0"/>
          <w:numId w:val="3"/>
        </w:numPr>
      </w:pPr>
      <w:r>
        <w:t xml:space="preserve">Interactive filters and click-to-filter let users explore without extra tools.</w:t>
      </w:r>
    </w:p>
    <w:p>
      <w:pPr>
        <w:pStyle w:val="ListParagraph"/>
        <w:numPr>
          <w:ilvl w:val="0"/>
          <w:numId w:val="3"/>
        </w:numPr>
      </w:pPr>
      <w:r>
        <w:t xml:space="preserve">All figures use averages and were checked against an independent calculation.</w:t>
      </w:r>
    </w:p>
    <w:p>
      <w:pPr>
        <w:pStyle w:val="ListParagraph"/>
        <w:numPr>
          <w:ilvl w:val="0"/>
          <w:numId w:val="3"/>
        </w:numPr>
      </w:pPr>
      <w:r>
        <w:t xml:space="preserve">The dashboard can be shared online through Tableau Public.</w:t>
      </w:r>
    </w:p>
    <w:p>
      <w:pPr>
        <w:pStyle w:val="Heading3"/>
      </w:pPr>
      <w:r>
        <w:t xml:space="preserve">Disadvantages</w:t>
      </w:r>
    </w:p>
    <w:p>
      <w:pPr>
        <w:pStyle w:val="ListParagraph"/>
        <w:numPr>
          <w:ilvl w:val="0"/>
          <w:numId w:val="4"/>
        </w:numPr>
      </w:pPr>
      <w:r>
        <w:t xml:space="preserve">Weekly tax percentages vary widely for one country, so only averages can be trusted.</w:t>
      </w:r>
    </w:p>
    <w:p>
      <w:pPr>
        <w:pStyle w:val="ListParagraph"/>
        <w:numPr>
          <w:ilvl w:val="0"/>
          <w:numId w:val="4"/>
        </w:numPr>
      </w:pPr>
      <w:r>
        <w:t xml:space="preserve">The Brent crude value is the same for every country in a given week, so it shows the trend only.</w:t>
      </w:r>
    </w:p>
    <w:p>
      <w:pPr>
        <w:pStyle w:val="ListParagraph"/>
        <w:numPr>
          <w:ilvl w:val="0"/>
          <w:numId w:val="4"/>
        </w:numPr>
      </w:pPr>
      <w:r>
        <w:t xml:space="preserve">Regional and income averages hide differences between individual countries.</w:t>
      </w:r>
    </w:p>
    <w:p>
      <w:pPr>
        <w:pStyle w:val="ListParagraph"/>
        <w:numPr>
          <w:ilvl w:val="0"/>
          <w:numId w:val="4"/>
        </w:numPr>
      </w:pPr>
      <w:r>
        <w:t xml:space="preserve">The April 2026 data covers only one week of the second quarter, so the trend charts stop at Q1 2026.</w:t>
      </w:r>
    </w:p>
    <w:p>
      <w:pPr>
        <w:pStyle w:val="Heading2"/>
      </w:pPr>
      <w:r>
        <w:t xml:space="preserve">9. CONCLUSION</w:t>
      </w:r>
    </w:p>
    <w:p>
      <w:pPr/>
      <w:r>
        <w:t xml:space="preserve">This project turned 27,468 weekly records into an interactive Tableau dashboard that explains global fuel prices. The results show that subsidy level separates prices more sharply than income level (0.15 against 3.45 USD per litre for Very High and Low subsidy), that Oceania and Europe carry the highest tax shares, and that petrol prices follow Brent crude very closely (correlation 0.99). Hong Kong is the most expensive country and Venezuela the cheapest. Checking the values against an independent calculation showed that the dashboard is accurate, and the defects found during testing were corrected. The limits of the data are stated so that the findings are not over-read.</w:t>
      </w:r>
    </w:p>
    <w:p>
      <w:pPr>
        <w:pStyle w:val="Heading2"/>
      </w:pPr>
      <w:r>
        <w:t xml:space="preserve">10. FUTURE SCOPE</w:t>
      </w:r>
    </w:p>
    <w:p>
      <w:pPr>
        <w:pStyle w:val="ListParagraph"/>
        <w:numPr>
          <w:ilvl w:val="0"/>
          <w:numId w:val="5"/>
        </w:numPr>
      </w:pPr>
      <w:r>
        <w:t xml:space="preserve">Add GDP per capita to test how income relates to tax and price.</w:t>
      </w:r>
    </w:p>
    <w:p>
      <w:pPr>
        <w:pStyle w:val="ListParagraph"/>
        <w:numPr>
          <w:ilvl w:val="0"/>
          <w:numId w:val="5"/>
        </w:numPr>
      </w:pPr>
      <w:r>
        <w:t xml:space="preserve">Add forecasting to estimate future petrol and diesel prices.</w:t>
      </w:r>
    </w:p>
    <w:p>
      <w:pPr>
        <w:pStyle w:val="ListParagraph"/>
        <w:numPr>
          <w:ilvl w:val="0"/>
          <w:numId w:val="5"/>
        </w:numPr>
      </w:pPr>
      <w:r>
        <w:t xml:space="preserve">Show tax in US dollars per litre as well as a percentage.</w:t>
      </w:r>
    </w:p>
    <w:p>
      <w:pPr>
        <w:pStyle w:val="ListParagraph"/>
        <w:numPr>
          <w:ilvl w:val="0"/>
          <w:numId w:val="5"/>
        </w:numPr>
      </w:pPr>
      <w:r>
        <w:t xml:space="preserve">Connect a live price source so the dashboard updates automatically.</w:t>
      </w:r>
    </w:p>
    <w:p>
      <w:pPr>
        <w:pStyle w:val="ListParagraph"/>
        <w:numPr>
          <w:ilvl w:val="0"/>
          <w:numId w:val="5"/>
        </w:numPr>
      </w:pPr>
      <w:r>
        <w:t xml:space="preserve">Add LPG price views, which are in the data but not yet charted.</w:t>
      </w:r>
    </w:p>
    <w:p>
      <w:pPr>
        <w:pStyle w:val="Heading2"/>
      </w:pPr>
      <w:r>
        <w:t xml:space="preserve">11. APPENDIX</w:t>
      </w:r>
    </w:p>
    <w:p>
      <w:pPr>
        <w:pStyle w:val="Heading3"/>
      </w:pPr>
      <w:r>
        <w:t xml:space="preserve">Source Code (if any)</w:t>
      </w:r>
    </w:p>
    <w:p>
      <w:pPr/>
      <w:r>
        <w:t xml:space="preserve">The dashboard was built in Tableau without custom code. Python (pandas) was used only to check the averages shown in Tableau, for example:</w:t>
      </w:r>
    </w:p>
    <w:p>
      <w:pPr>
        <w:pStyle w:val="Code"/>
      </w:pPr>
      <w:bookmarkStart w:id="1" w:name="bongo_lang_python_1"/>
      <w:bookmarkEnd w:id="1"/>
      <w:r>
        <w:t xml:space="preserve">import pandas as pd</w:t>
        <w:br/>
        <w:t xml:space="preserve">df = pd.read_csv("global_fuel_prices_Dataset.csv")</w:t>
        <w:br/>
        <w:t xml:space="preserve">print(df[df.country == "Spain"].petrol_usd_liter.mean())</w:t>
        <w:br/>
        <w:t xml:space="preserve">print(df.groupby("income_level").petrol_usd_liter.mean())</w:t>
        <w:br/>
        <w:t xml:space="preserve">print(df.groupby("subsidy_level").petrol_usd_liter.mean())</w:t>
        <w:br/>
        <w:t xml:space="preserve">print(df.groupby("region").tax_percentage.mean())</w:t>
      </w:r>
    </w:p>
    <w:p>
      <w:pPr>
        <w:pStyle w:val="Heading3"/>
      </w:pPr>
      <w:r>
        <w:t xml:space="preserve">Dataset Link</w:t>
      </w:r>
    </w:p>
    <w:p>
      <w:pPr/>
      <w:r>
        <w:t xml:space="preserve">Dataset file: global_fuel_prices_Dataset.csv (27,468 rows, 10 columns, 6 January 2020 to 6 April 2026).</w:t>
      </w:r>
    </w:p>
    <w:p>
      <w:pPr/>
      <w:r>
        <w:t xml:space="preserve">Online link: ____________________</w:t>
      </w:r>
    </w:p>
    <w:p>
      <w:pPr>
        <w:pStyle w:val="Heading3"/>
      </w:pPr>
      <w:r>
        <w:t xml:space="preserve">GitHub &amp; Project Demo Link</w:t>
      </w:r>
    </w:p>
    <w:p>
      <w:pPr/>
      <w:r>
        <w:t xml:space="preserve">GitHub: ____________________</w:t>
      </w:r>
    </w:p>
    <w:p>
      <w:pPr/>
      <w:r>
        <w:t xml:space="preserve">Tableau Public dashboard: ____________________</w:t>
      </w:r>
    </w:p>
    <w:p>
      <w:pPr>
        <w:pStyle w:val="Heading2"/>
      </w:pPr>
      <w:r>
        <w:t xml:space="preserve">Contact</w:t>
      </w:r>
    </w:p>
    <w:p>
      <w:pPr/>
      <w:r>
        <w:t xml:space="preserve">Vidhi Sharma, en25cs3011043@medicaps.ac.in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Global Fuel Prices and Taxation Trends Project Report</dc:title>
  <dc:description>Claude Docs node/de83a25c-c342@16 docx-w7</dc:description>
  <cp:revision>16</cp:revision>
</cp:coreProperties>
</file>