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2A4A"/>
          <w:sz w:val="44"/>
          <w:szCs w:val="44"/>
        </w:rPr>
        <w:t xml:space="preserve">IDEA LAB PROJECT PROPOSAL</w:t>
      </w:r>
    </w:p>
    <w:p>
      <w:pPr>
        <w:spacing w:after="40"/>
        <w:jc w:val="center"/>
      </w:pPr>
      <w:r>
        <w:rPr>
          <w:b/>
          <w:bCs/>
          <w:color w:val="1D7874"/>
          <w:sz w:val="30"/>
          <w:szCs w:val="30"/>
        </w:rPr>
        <w:t xml:space="preserve">Agentic AI: Autonomous Insurance Claims Triage &amp; Fraud Assistant</w:t>
      </w:r>
    </w:p>
    <w:p>
      <w:pPr>
        <w:spacing w:after="300"/>
        <w:jc w:val="center"/>
      </w:pPr>
      <w:r>
        <w:rPr>
          <w:i/>
          <w:iCs/>
          <w:color w:val="5A6472"/>
          <w:sz w:val="22"/>
          <w:szCs w:val="22"/>
        </w:rPr>
        <w:t xml:space="preserve">Domain: Banking &amp; Insurance (BFSI)  |  Focus Areas: Machine Learning, Deep Learning, Agentic AI</w:t>
      </w:r>
    </w:p>
    <w:p>
      <w:pPr>
        <w:pBdr>
          <w:bottom w:val="single" w:color="1B2A4A" w:sz="12" w:space="4"/>
        </w:pBdr>
        <w:spacing w:after="300"/>
      </w:pPr>
    </w:p>
    <w:p>
      <w:pPr>
        <w:pStyle w:val="Heading1"/>
        <w:spacing w:after="160" w:before="320"/>
      </w:pPr>
      <w:r>
        <w:rPr>
          <w:b/>
          <w:bCs/>
          <w:color w:val="1B2A4A"/>
        </w:rPr>
        <w:t xml:space="preserve">1. Abstract</w:t>
      </w:r>
    </w:p>
    <w:p>
      <w:pPr>
        <w:spacing w:after="140" w:line="300"/>
      </w:pPr>
      <w:r>
        <w:t xml:space="preserve">Insurance claims fraud costs the global industry tens of billions of dollars annually, and manual claim review is slow, inconsistent, and difficult to scale as claim volumes grow. This project proposes an Agentic AI system that goes beyond a single predictive model: it combines a Machine Learning / Deep Learning fraud-scoring engine with an autonomous reasoning agent that extracts claim details, retrieves similar historical claims, applies policy checks, and produces a structured, explainable recommendation — approve, flag for investigation, or request more information — for a human adjuster to review. The project mirrors the direction major banks and insurers are already moving in: pairing predictive models with agentic workflows to reduce manual review time while keeping a human firmly in the loop for final decisions.</w:t>
      </w:r>
    </w:p>
    <w:p>
      <w:pPr>
        <w:pStyle w:val="Heading1"/>
        <w:spacing w:after="160" w:before="320"/>
      </w:pPr>
      <w:r>
        <w:rPr>
          <w:b/>
          <w:bCs/>
          <w:color w:val="1B2A4A"/>
        </w:rPr>
        <w:t xml:space="preserve">2. Problem Statement</w:t>
      </w:r>
    </w:p>
    <w:p>
      <w:pPr>
        <w:spacing w:after="140" w:line="300"/>
      </w:pPr>
      <w:r>
        <w:t xml:space="preserve">Traditional fraud-detection systems in insurance rely on either static rule engines or standalone ML classifiers that output only a probability score, leaving the adjuster to manually gather supporting context (similar past claims, policy history, documentation gaps) before making a decision. This creates two problems:</w:t>
      </w:r>
    </w:p>
    <w:p>
      <w:pPr>
        <w:pStyle w:val="ListParagraph"/>
        <w:numPr>
          <w:ilvl w:val="0"/>
          <w:numId w:val="2"/>
        </w:numPr>
        <w:spacing w:after="80" w:line="280"/>
      </w:pPr>
      <w:r>
        <w:t xml:space="preserve">High manual workload — adjusters spend significant time on context-gathering rather than judgment, slowing down genuine claims and delaying fraud investigation.</w:t>
      </w:r>
    </w:p>
    <w:p>
      <w:pPr>
        <w:pStyle w:val="ListParagraph"/>
        <w:numPr>
          <w:ilvl w:val="0"/>
          <w:numId w:val="2"/>
        </w:numPr>
        <w:spacing w:after="80" w:line="280"/>
      </w:pPr>
      <w:r>
        <w:t xml:space="preserve">Low explainability — a bare fraud-probability score gives no reasoning, making it hard for adjusters (and regulators) to trust or audit the decision.</w:t>
      </w:r>
    </w:p>
    <w:p>
      <w:pPr>
        <w:spacing w:after="140" w:line="300"/>
      </w:pPr>
      <w:r>
        <w:t xml:space="preserve">The problem to solve: design and build an agentic AI system that autonomously performs the multi-step reasoning a human adjuster would otherwise do manually — extract, validate, score, compare, and recommend — while producing a transparent, auditable rationale for every decision, with a human adjuster retaining final authority to approve or override.</w:t>
      </w:r>
    </w:p>
    <w:p>
      <w:pPr>
        <w:pStyle w:val="Heading1"/>
        <w:spacing w:after="160" w:before="320"/>
      </w:pPr>
      <w:r>
        <w:rPr>
          <w:b/>
          <w:bCs/>
          <w:color w:val="1B2A4A"/>
        </w:rPr>
        <w:t xml:space="preserve">3. Objectives</w:t>
      </w:r>
    </w:p>
    <w:p>
      <w:pPr>
        <w:pStyle w:val="ListParagraph"/>
        <w:numPr>
          <w:ilvl w:val="0"/>
          <w:numId w:val="2"/>
        </w:numPr>
        <w:spacing w:after="80" w:line="280"/>
      </w:pPr>
      <w:r>
        <w:t xml:space="preserve">Build an ML/DL model that predicts the probability that a given insurance claim is fraudulent.</w:t>
      </w:r>
    </w:p>
    <w:p>
      <w:pPr>
        <w:pStyle w:val="ListParagraph"/>
        <w:numPr>
          <w:ilvl w:val="0"/>
          <w:numId w:val="2"/>
        </w:numPr>
        <w:spacing w:after="80" w:line="280"/>
      </w:pPr>
      <w:r>
        <w:t xml:space="preserve">Design an autonomous agent (LLM-based orchestrator) that plans and executes a multi-step triage workflow using tools rather than a single fixed inference call.</w:t>
      </w:r>
    </w:p>
    <w:p>
      <w:pPr>
        <w:pStyle w:val="ListParagraph"/>
        <w:numPr>
          <w:ilvl w:val="0"/>
          <w:numId w:val="2"/>
        </w:numPr>
        <w:spacing w:after="80" w:line="280"/>
      </w:pPr>
      <w:r>
        <w:t xml:space="preserve">Implement a similar-claims retrieval mechanism so the agent can compare a new claim against historical patterns.</w:t>
      </w:r>
    </w:p>
    <w:p>
      <w:pPr>
        <w:pStyle w:val="ListParagraph"/>
        <w:numPr>
          <w:ilvl w:val="0"/>
          <w:numId w:val="2"/>
        </w:numPr>
        <w:spacing w:after="80" w:line="280"/>
      </w:pPr>
      <w:r>
        <w:t xml:space="preserve">Generate a structured, human-readable decision with rationale for each claim (approve / flag / request more info).</w:t>
      </w:r>
    </w:p>
    <w:p>
      <w:pPr>
        <w:pStyle w:val="ListParagraph"/>
        <w:numPr>
          <w:ilvl w:val="0"/>
          <w:numId w:val="2"/>
        </w:numPr>
        <w:spacing w:after="80" w:line="280"/>
      </w:pPr>
      <w:r>
        <w:t xml:space="preserve">Build a lightweight human-in-the-loop dashboard so an adjuster can review, override, and provide feedback.</w:t>
      </w:r>
    </w:p>
    <w:p>
      <w:pPr>
        <w:pStyle w:val="ListParagraph"/>
        <w:numPr>
          <w:ilvl w:val="0"/>
          <w:numId w:val="2"/>
        </w:numPr>
        <w:spacing w:after="80" w:line="280"/>
      </w:pPr>
      <w:r>
        <w:t xml:space="preserve">Close the feedback loop — adjuster decisions can be used to retrain and improve the underlying ML/DL model over time.</w:t>
      </w:r>
    </w:p>
    <w:p>
      <w:pPr>
        <w:pStyle w:val="Heading1"/>
        <w:spacing w:after="160" w:before="320"/>
      </w:pPr>
      <w:r>
        <w:rPr>
          <w:b/>
          <w:bCs/>
          <w:color w:val="1B2A4A"/>
        </w:rPr>
        <w:t xml:space="preserve">4. Deliverables</w:t>
      </w:r>
    </w:p>
    <w:p>
      <w:pPr>
        <w:pStyle w:val="ListParagraph"/>
        <w:numPr>
          <w:ilvl w:val="0"/>
          <w:numId w:val="2"/>
        </w:numPr>
        <w:spacing w:after="80" w:line="280"/>
      </w:pPr>
      <w:r>
        <w:t xml:space="preserve">Cleaned &amp; documented dataset with exploratory data analysis (EDA) report.</w:t>
      </w:r>
    </w:p>
    <w:p>
      <w:pPr>
        <w:pStyle w:val="ListParagraph"/>
        <w:numPr>
          <w:ilvl w:val="0"/>
          <w:numId w:val="2"/>
        </w:numPr>
        <w:spacing w:after="80" w:line="280"/>
      </w:pPr>
      <w:r>
        <w:t xml:space="preserve">Trained and evaluated ML/DL fraud-scoring model (with accuracy, precision, recall, F1, and AUC-ROC metrics).</w:t>
      </w:r>
    </w:p>
    <w:p>
      <w:pPr>
        <w:pStyle w:val="ListParagraph"/>
        <w:numPr>
          <w:ilvl w:val="0"/>
          <w:numId w:val="2"/>
        </w:numPr>
        <w:spacing w:after="80" w:line="280"/>
      </w:pPr>
      <w:r>
        <w:t xml:space="preserve">Functional agentic pipeline (orchestrator + tools: fraud scoring, similar-claims retrieval, policy/history check).</w:t>
      </w:r>
    </w:p>
    <w:p>
      <w:pPr>
        <w:pStyle w:val="ListParagraph"/>
        <w:numPr>
          <w:ilvl w:val="0"/>
          <w:numId w:val="2"/>
        </w:numPr>
        <w:spacing w:after="80" w:line="280"/>
      </w:pPr>
      <w:r>
        <w:t xml:space="preserve">Working demo dashboard for claim submission, agent decision output, and adjuster review/override.</w:t>
      </w:r>
    </w:p>
    <w:p>
      <w:pPr>
        <w:pStyle w:val="ListParagraph"/>
        <w:numPr>
          <w:ilvl w:val="0"/>
          <w:numId w:val="2"/>
        </w:numPr>
        <w:spacing w:after="80" w:line="280"/>
      </w:pPr>
      <w:r>
        <w:t xml:space="preserve">Final project report covering problem, methodology, architecture, results, and future scope.</w:t>
      </w:r>
    </w:p>
    <w:p>
      <w:pPr>
        <w:pStyle w:val="ListParagraph"/>
        <w:numPr>
          <w:ilvl w:val="0"/>
          <w:numId w:val="2"/>
        </w:numPr>
        <w:spacing w:after="80" w:line="280"/>
      </w:pPr>
      <w:r>
        <w:t xml:space="preserve">Presentation deck / demo video for Idea Lab evaluation.</w:t>
      </w:r>
    </w:p>
    <w:p>
      <w:pPr>
        <w:pStyle w:val="Heading1"/>
        <w:spacing w:after="160" w:before="320"/>
      </w:pPr>
      <w:r>
        <w:rPr>
          <w:b/>
          <w:bCs/>
          <w:color w:val="1B2A4A"/>
        </w:rPr>
        <w:t xml:space="preserve">5. Scope</w:t>
      </w:r>
    </w:p>
    <w:p>
      <w:pPr>
        <w:pStyle w:val="Heading2"/>
        <w:spacing w:after="120" w:before="220"/>
      </w:pPr>
      <w:r>
        <w:rPr>
          <w:b/>
          <w:bCs/>
          <w:color w:val="1D7874"/>
        </w:rPr>
        <w:t xml:space="preserve">In Scope</w:t>
      </w:r>
    </w:p>
    <w:p>
      <w:pPr>
        <w:pStyle w:val="ListParagraph"/>
        <w:numPr>
          <w:ilvl w:val="0"/>
          <w:numId w:val="2"/>
        </w:numPr>
        <w:spacing w:after="80" w:line="280"/>
      </w:pPr>
      <w:r>
        <w:t xml:space="preserve">Structured claims data (policy, incident, claim-amount fields) as the primary input; optional free-text claim description handling.</w:t>
      </w:r>
    </w:p>
    <w:p>
      <w:pPr>
        <w:pStyle w:val="ListParagraph"/>
        <w:numPr>
          <w:ilvl w:val="0"/>
          <w:numId w:val="2"/>
        </w:numPr>
        <w:spacing w:after="80" w:line="280"/>
      </w:pPr>
      <w:r>
        <w:t xml:space="preserve">A single insurance line (auto/vehicle insurance) as the working domain, to keep the dataset and rules tractable for a student project timeline.</w:t>
      </w:r>
    </w:p>
    <w:p>
      <w:pPr>
        <w:pStyle w:val="ListParagraph"/>
        <w:numPr>
          <w:ilvl w:val="0"/>
          <w:numId w:val="2"/>
        </w:numPr>
        <w:spacing w:after="80" w:line="280"/>
      </w:pPr>
      <w:r>
        <w:t xml:space="preserve">An agent built on an open-source or free-tier LLM API with 2-3 callable tools (fraud model, retrieval, basic policy checks).</w:t>
      </w:r>
    </w:p>
    <w:p>
      <w:pPr>
        <w:pStyle w:val="ListParagraph"/>
        <w:numPr>
          <w:ilvl w:val="0"/>
          <w:numId w:val="2"/>
        </w:numPr>
        <w:spacing w:after="80" w:line="280"/>
      </w:pPr>
      <w:r>
        <w:t xml:space="preserve">A simple, functional (not production-grade) review dashboard.</w:t>
      </w:r>
    </w:p>
    <w:p>
      <w:pPr>
        <w:pStyle w:val="Heading2"/>
        <w:spacing w:after="120" w:before="220"/>
      </w:pPr>
      <w:r>
        <w:rPr>
          <w:b/>
          <w:bCs/>
          <w:color w:val="1D7874"/>
        </w:rPr>
        <w:t xml:space="preserve">Out of Scope</w:t>
      </w:r>
    </w:p>
    <w:p>
      <w:pPr>
        <w:pStyle w:val="ListParagraph"/>
        <w:numPr>
          <w:ilvl w:val="0"/>
          <w:numId w:val="2"/>
        </w:numPr>
        <w:spacing w:after="80" w:line="280"/>
      </w:pPr>
      <w:r>
        <w:t xml:space="preserve">Real-time integration with live insurer core systems or actual customer data.</w:t>
      </w:r>
    </w:p>
    <w:p>
      <w:pPr>
        <w:pStyle w:val="ListParagraph"/>
        <w:numPr>
          <w:ilvl w:val="0"/>
          <w:numId w:val="2"/>
        </w:numPr>
        <w:spacing w:after="80" w:line="280"/>
      </w:pPr>
      <w:r>
        <w:t xml:space="preserve">Full regulatory/compliance certification (explainability is addressed at a project level, not an audited production level).</w:t>
      </w:r>
    </w:p>
    <w:p>
      <w:pPr>
        <w:pStyle w:val="ListParagraph"/>
        <w:numPr>
          <w:ilvl w:val="0"/>
          <w:numId w:val="2"/>
        </w:numPr>
        <w:spacing w:after="80" w:line="280"/>
      </w:pPr>
      <w:r>
        <w:t xml:space="preserve">Multi-line insurance support (health, life, property) — could be listed as future work.</w:t>
      </w:r>
    </w:p>
    <w:p>
      <w:pPr>
        <w:pStyle w:val="ListParagraph"/>
        <w:numPr>
          <w:ilvl w:val="0"/>
          <w:numId w:val="2"/>
        </w:numPr>
        <w:spacing w:after="80" w:line="280"/>
      </w:pPr>
      <w:r>
        <w:t xml:space="preserve">Image-based damage assessment from claim photos (optional stretch goal only, not core scope).</w:t>
      </w:r>
    </w:p>
    <w:p>
      <w:pPr>
        <w:pStyle w:val="Heading1"/>
        <w:spacing w:after="160" w:before="320"/>
      </w:pPr>
      <w:r>
        <w:rPr>
          <w:b/>
          <w:bCs/>
          <w:color w:val="1B2A4A"/>
        </w:rPr>
        <w:t xml:space="preserve">6. System Architecture &amp; Flow of Phases</w:t>
      </w:r>
    </w:p>
    <w:p>
      <w:pPr>
        <w:spacing w:after="140" w:line="300"/>
      </w:pPr>
      <w:r>
        <w:t xml:space="preserve">The system is organized into six phases, moving from raw claim intake through to a human-approved decision, with a feedback loop back into the ML model:</w:t>
      </w:r>
    </w:p>
    <w:p>
      <w:pPr>
        <w:spacing w:after="120" w:before="12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81375"/>
                    </a:xfrm>
                    <a:prstGeom prst="rect">
                      <a:avLst/>
                    </a:prstGeom>
                  </pic:spPr>
                </pic:pic>
              </a:graphicData>
            </a:graphic>
          </wp:inline>
        </w:drawing>
      </w:r>
    </w:p>
    <w:p>
      <w:pPr>
        <w:spacing w:after="140" w:line="300"/>
      </w:pPr>
      <w:r>
        <w:rPr>
          <w:b/>
          <w:bCs/>
        </w:rPr>
        <w:t xml:space="preserve">Phase-by-phase description:</w:t>
      </w:r>
    </w:p>
    <w:p>
      <w:pPr>
        <w:pStyle w:val="ListParagraph"/>
        <w:numPr>
          <w:ilvl w:val="0"/>
          <w:numId w:val="2"/>
        </w:numPr>
        <w:spacing w:after="80" w:line="280"/>
      </w:pPr>
      <w:r>
        <w:t xml:space="preserve">Phase 1 — Ingestion &amp; Information Extraction: Claim intake (structured fields + optional free text) is parsed and normalized into a common schema.</w:t>
      </w:r>
    </w:p>
    <w:p>
      <w:pPr>
        <w:pStyle w:val="ListParagraph"/>
        <w:numPr>
          <w:ilvl w:val="0"/>
          <w:numId w:val="2"/>
        </w:numPr>
        <w:spacing w:after="80" w:line="280"/>
      </w:pPr>
      <w:r>
        <w:t xml:space="preserve">Phase 2 — Data Validation &amp; Enrichment: Missing-field checks, basic consistency checks (e.g., incident date vs. policy start date), and feature engineering.</w:t>
      </w:r>
    </w:p>
    <w:p>
      <w:pPr>
        <w:pStyle w:val="ListParagraph"/>
        <w:numPr>
          <w:ilvl w:val="0"/>
          <w:numId w:val="2"/>
        </w:numPr>
        <w:spacing w:after="80" w:line="280"/>
      </w:pPr>
      <w:r>
        <w:t xml:space="preserve">Phase 3 — ML/DL Fraud Probability Scoring: The trained model outputs a fraud-likelihood score for the claim.</w:t>
      </w:r>
    </w:p>
    <w:p>
      <w:pPr>
        <w:pStyle w:val="ListParagraph"/>
        <w:numPr>
          <w:ilvl w:val="0"/>
          <w:numId w:val="2"/>
        </w:numPr>
        <w:spacing w:after="80" w:line="280"/>
      </w:pPr>
      <w:r>
        <w:t xml:space="preserve">Phase 4 — Agentic Reasoning Core: The orchestrator agent plans next steps, calling tools such as similar-claims retrieval and policy/history checks as needed, rather than following one fixed script.</w:t>
      </w:r>
    </w:p>
    <w:p>
      <w:pPr>
        <w:pStyle w:val="ListParagraph"/>
        <w:numPr>
          <w:ilvl w:val="0"/>
          <w:numId w:val="2"/>
        </w:numPr>
        <w:spacing w:after="80" w:line="280"/>
      </w:pPr>
      <w:r>
        <w:t xml:space="preserve">Phase 5 — Decision Synthesis: The agent combines the fraud score and retrieved context into a structured recommendation with a written rationale.</w:t>
      </w:r>
    </w:p>
    <w:p>
      <w:pPr>
        <w:pStyle w:val="ListParagraph"/>
        <w:numPr>
          <w:ilvl w:val="0"/>
          <w:numId w:val="2"/>
        </w:numPr>
        <w:spacing w:after="80" w:line="280"/>
      </w:pPr>
      <w:r>
        <w:t xml:space="preserve">Phase 6 — Human Adjuster Review: A human reviews the recommendation and rationale, approves or overrides it; this outcome feeds back to improve the ML model over time.</w:t>
      </w:r>
    </w:p>
    <w:p>
      <w:pPr>
        <w:pStyle w:val="Heading1"/>
        <w:spacing w:after="160" w:before="320"/>
      </w:pPr>
      <w:r>
        <w:rPr>
          <w:b/>
          <w:bCs/>
          <w:color w:val="1B2A4A"/>
        </w:rPr>
        <w:t xml:space="preserve">7. Suggested Team Structure (4 Members)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tblHeader/>
        </w:trPr>
        <w:tc>
          <w:tcPr>
            <w:tcW w:type="dxa" w:w="2400"/>
            <w:shd w:fill="C9862B" w:val="clear"/>
            <w:tcMar>
              <w:top w:type="dxa" w:w="100"/>
              <w:left w:type="dxa" w:w="120"/>
              <w:bottom w:type="dxa" w:w="100"/>
              <w:right w:type="dxa" w:w="120"/>
            </w:tcMar>
          </w:tcPr>
          <w:p>
            <w:pPr>
              <w:jc w:val="left"/>
            </w:pPr>
            <w:r>
              <w:rPr>
                <w:b/>
                <w:bCs/>
                <w:color w:val="FFFFFF"/>
              </w:rPr>
              <w:t xml:space="preserve">Role</w:t>
            </w:r>
          </w:p>
        </w:tc>
        <w:tc>
          <w:tcPr>
            <w:tcW w:type="dxa" w:w="4200"/>
            <w:shd w:fill="C9862B" w:val="clear"/>
            <w:tcMar>
              <w:top w:type="dxa" w:w="100"/>
              <w:left w:type="dxa" w:w="120"/>
              <w:bottom w:type="dxa" w:w="100"/>
              <w:right w:type="dxa" w:w="120"/>
            </w:tcMar>
          </w:tcPr>
          <w:p>
            <w:pPr>
              <w:jc w:val="left"/>
            </w:pPr>
            <w:r>
              <w:rPr>
                <w:b/>
                <w:bCs/>
                <w:color w:val="FFFFFF"/>
              </w:rPr>
              <w:t xml:space="preserve">Responsibility</w:t>
            </w:r>
          </w:p>
        </w:tc>
        <w:tc>
          <w:tcPr>
            <w:tcW w:type="dxa" w:w="3200"/>
            <w:shd w:fill="C9862B" w:val="clear"/>
            <w:tcMar>
              <w:top w:type="dxa" w:w="100"/>
              <w:left w:type="dxa" w:w="120"/>
              <w:bottom w:type="dxa" w:w="100"/>
              <w:right w:type="dxa" w:w="120"/>
            </w:tcMar>
          </w:tcPr>
          <w:p>
            <w:pPr>
              <w:jc w:val="left"/>
            </w:pPr>
            <w:r>
              <w:rPr>
                <w:b/>
                <w:bCs/>
                <w:color w:val="FFFFFF"/>
              </w:rPr>
              <w:t xml:space="preserve">Suggested Skills</w:t>
            </w:r>
          </w:p>
        </w:tc>
      </w:tr>
      <w:tr>
        <w:trPr>
          <w:tblHeader w:val="false"/>
        </w:trPr>
        <w:tc>
          <w:tcPr>
            <w:tcW w:type="dxa" w:w="2400"/>
            <w:shd w:fill="FFFFFF" w:val="clear"/>
            <w:tcMar>
              <w:top w:type="dxa" w:w="100"/>
              <w:left w:type="dxa" w:w="120"/>
              <w:bottom w:type="dxa" w:w="100"/>
              <w:right w:type="dxa" w:w="120"/>
            </w:tcMar>
          </w:tcPr>
          <w:p>
            <w:pPr>
              <w:jc w:val="left"/>
            </w:pPr>
            <w:r>
              <w:rPr>
                <w:b w:val="false"/>
                <w:bCs w:val="false"/>
                <w:color w:val="000000"/>
              </w:rPr>
              <w:t xml:space="preserve">Data &amp; ML Lead</w:t>
            </w:r>
          </w:p>
        </w:tc>
        <w:tc>
          <w:tcPr>
            <w:tcW w:type="dxa" w:w="4200"/>
            <w:shd w:fill="FFFFFF" w:val="clear"/>
            <w:tcMar>
              <w:top w:type="dxa" w:w="100"/>
              <w:left w:type="dxa" w:w="120"/>
              <w:bottom w:type="dxa" w:w="100"/>
              <w:right w:type="dxa" w:w="120"/>
            </w:tcMar>
          </w:tcPr>
          <w:p>
            <w:pPr>
              <w:jc w:val="left"/>
            </w:pPr>
            <w:r>
              <w:rPr>
                <w:b w:val="false"/>
                <w:bCs w:val="false"/>
                <w:color w:val="000000"/>
              </w:rPr>
              <w:t xml:space="preserve">Dataset prep, EDA, ML/DL fraud model training &amp; tuning</w:t>
            </w:r>
          </w:p>
        </w:tc>
        <w:tc>
          <w:tcPr>
            <w:tcW w:type="dxa" w:w="3200"/>
            <w:shd w:fill="FFFFFF" w:val="clear"/>
            <w:tcMar>
              <w:top w:type="dxa" w:w="100"/>
              <w:left w:type="dxa" w:w="120"/>
              <w:bottom w:type="dxa" w:w="100"/>
              <w:right w:type="dxa" w:w="120"/>
            </w:tcMar>
          </w:tcPr>
          <w:p>
            <w:pPr>
              <w:jc w:val="left"/>
            </w:pPr>
            <w:r>
              <w:rPr>
                <w:b w:val="false"/>
                <w:bCs w:val="false"/>
                <w:color w:val="000000"/>
              </w:rPr>
              <w:t xml:space="preserve">Python, pandas, scikit-learn, XGBoost</w:t>
            </w:r>
          </w:p>
        </w:tc>
      </w:tr>
      <w:tr>
        <w:trPr>
          <w:tblHeader w:val="false"/>
        </w:trPr>
        <w:tc>
          <w:tcPr>
            <w:tcW w:type="dxa" w:w="2400"/>
            <w:shd w:fill="F4F6F9" w:val="clear"/>
            <w:tcMar>
              <w:top w:type="dxa" w:w="100"/>
              <w:left w:type="dxa" w:w="120"/>
              <w:bottom w:type="dxa" w:w="100"/>
              <w:right w:type="dxa" w:w="120"/>
            </w:tcMar>
          </w:tcPr>
          <w:p>
            <w:pPr>
              <w:jc w:val="left"/>
            </w:pPr>
            <w:r>
              <w:rPr>
                <w:b w:val="false"/>
                <w:bCs w:val="false"/>
                <w:color w:val="000000"/>
              </w:rPr>
              <w:t xml:space="preserve">Agentic AI Lead</w:t>
            </w:r>
          </w:p>
        </w:tc>
        <w:tc>
          <w:tcPr>
            <w:tcW w:type="dxa" w:w="4200"/>
            <w:shd w:fill="F4F6F9" w:val="clear"/>
            <w:tcMar>
              <w:top w:type="dxa" w:w="100"/>
              <w:left w:type="dxa" w:w="120"/>
              <w:bottom w:type="dxa" w:w="100"/>
              <w:right w:type="dxa" w:w="120"/>
            </w:tcMar>
          </w:tcPr>
          <w:p>
            <w:pPr>
              <w:jc w:val="left"/>
            </w:pPr>
            <w:r>
              <w:rPr>
                <w:b w:val="false"/>
                <w:bCs w:val="false"/>
                <w:color w:val="000000"/>
              </w:rPr>
              <w:t xml:space="preserve">Design &amp; build the agent orchestrator and tool integrations</w:t>
            </w:r>
          </w:p>
        </w:tc>
        <w:tc>
          <w:tcPr>
            <w:tcW w:type="dxa" w:w="3200"/>
            <w:shd w:fill="F4F6F9" w:val="clear"/>
            <w:tcMar>
              <w:top w:type="dxa" w:w="100"/>
              <w:left w:type="dxa" w:w="120"/>
              <w:bottom w:type="dxa" w:w="100"/>
              <w:right w:type="dxa" w:w="120"/>
            </w:tcMar>
          </w:tcPr>
          <w:p>
            <w:pPr>
              <w:jc w:val="left"/>
            </w:pPr>
            <w:r>
              <w:rPr>
                <w:b w:val="false"/>
                <w:bCs w:val="false"/>
                <w:color w:val="000000"/>
              </w:rPr>
              <w:t xml:space="preserve">LangChain/LangGraph, prompt design, APIs</w:t>
            </w:r>
          </w:p>
        </w:tc>
      </w:tr>
      <w:tr>
        <w:trPr>
          <w:tblHeader w:val="false"/>
        </w:trPr>
        <w:tc>
          <w:tcPr>
            <w:tcW w:type="dxa" w:w="2400"/>
            <w:shd w:fill="FFFFFF" w:val="clear"/>
            <w:tcMar>
              <w:top w:type="dxa" w:w="100"/>
              <w:left w:type="dxa" w:w="120"/>
              <w:bottom w:type="dxa" w:w="100"/>
              <w:right w:type="dxa" w:w="120"/>
            </w:tcMar>
          </w:tcPr>
          <w:p>
            <w:pPr>
              <w:jc w:val="left"/>
            </w:pPr>
            <w:r>
              <w:rPr>
                <w:b w:val="false"/>
                <w:bCs w:val="false"/>
                <w:color w:val="000000"/>
              </w:rPr>
              <w:t xml:space="preserve">Backend/Integration Lead</w:t>
            </w:r>
          </w:p>
        </w:tc>
        <w:tc>
          <w:tcPr>
            <w:tcW w:type="dxa" w:w="4200"/>
            <w:shd w:fill="FFFFFF" w:val="clear"/>
            <w:tcMar>
              <w:top w:type="dxa" w:w="100"/>
              <w:left w:type="dxa" w:w="120"/>
              <w:bottom w:type="dxa" w:w="100"/>
              <w:right w:type="dxa" w:w="120"/>
            </w:tcMar>
          </w:tcPr>
          <w:p>
            <w:pPr>
              <w:jc w:val="left"/>
            </w:pPr>
            <w:r>
              <w:rPr>
                <w:b w:val="false"/>
                <w:bCs w:val="false"/>
                <w:color w:val="000000"/>
              </w:rPr>
              <w:t xml:space="preserve">Pipeline wiring, similar-claims retrieval (vector DB), APIs</w:t>
            </w:r>
          </w:p>
        </w:tc>
        <w:tc>
          <w:tcPr>
            <w:tcW w:type="dxa" w:w="3200"/>
            <w:shd w:fill="FFFFFF" w:val="clear"/>
            <w:tcMar>
              <w:top w:type="dxa" w:w="100"/>
              <w:left w:type="dxa" w:w="120"/>
              <w:bottom w:type="dxa" w:w="100"/>
              <w:right w:type="dxa" w:w="120"/>
            </w:tcMar>
          </w:tcPr>
          <w:p>
            <w:pPr>
              <w:jc w:val="left"/>
            </w:pPr>
            <w:r>
              <w:rPr>
                <w:b w:val="false"/>
                <w:bCs w:val="false"/>
                <w:color w:val="000000"/>
              </w:rPr>
              <w:t xml:space="preserve">Python/FastAPI, vector DBs (FAISS/Chroma)</w:t>
            </w:r>
          </w:p>
        </w:tc>
      </w:tr>
      <w:tr>
        <w:trPr>
          <w:tblHeader w:val="false"/>
        </w:trPr>
        <w:tc>
          <w:tcPr>
            <w:tcW w:type="dxa" w:w="2400"/>
            <w:shd w:fill="F4F6F9" w:val="clear"/>
            <w:tcMar>
              <w:top w:type="dxa" w:w="100"/>
              <w:left w:type="dxa" w:w="120"/>
              <w:bottom w:type="dxa" w:w="100"/>
              <w:right w:type="dxa" w:w="120"/>
            </w:tcMar>
          </w:tcPr>
          <w:p>
            <w:pPr>
              <w:jc w:val="left"/>
            </w:pPr>
            <w:r>
              <w:rPr>
                <w:b w:val="false"/>
                <w:bCs w:val="false"/>
                <w:color w:val="000000"/>
              </w:rPr>
              <w:t xml:space="preserve">UI &amp; Documentation Lead</w:t>
            </w:r>
          </w:p>
        </w:tc>
        <w:tc>
          <w:tcPr>
            <w:tcW w:type="dxa" w:w="4200"/>
            <w:shd w:fill="F4F6F9" w:val="clear"/>
            <w:tcMar>
              <w:top w:type="dxa" w:w="100"/>
              <w:left w:type="dxa" w:w="120"/>
              <w:bottom w:type="dxa" w:w="100"/>
              <w:right w:type="dxa" w:w="120"/>
            </w:tcMar>
          </w:tcPr>
          <w:p>
            <w:pPr>
              <w:jc w:val="left"/>
            </w:pPr>
            <w:r>
              <w:rPr>
                <w:b w:val="false"/>
                <w:bCs w:val="false"/>
                <w:color w:val="000000"/>
              </w:rPr>
              <w:t xml:space="preserve">Adjuster dashboard, testing, report &amp; presentation</w:t>
            </w:r>
          </w:p>
        </w:tc>
        <w:tc>
          <w:tcPr>
            <w:tcW w:type="dxa" w:w="3200"/>
            <w:shd w:fill="F4F6F9" w:val="clear"/>
            <w:tcMar>
              <w:top w:type="dxa" w:w="100"/>
              <w:left w:type="dxa" w:w="120"/>
              <w:bottom w:type="dxa" w:w="100"/>
              <w:right w:type="dxa" w:w="120"/>
            </w:tcMar>
          </w:tcPr>
          <w:p>
            <w:pPr>
              <w:jc w:val="left"/>
            </w:pPr>
            <w:r>
              <w:rPr>
                <w:b w:val="false"/>
                <w:bCs w:val="false"/>
                <w:color w:val="000000"/>
              </w:rPr>
              <w:t xml:space="preserve">Streamlit/Flask, technical writing</w:t>
            </w:r>
          </w:p>
        </w:tc>
      </w:tr>
    </w:tbl>
    <w:p>
      <w:pPr>
        <w:spacing w:after="200"/>
      </w:pPr>
    </w:p>
    <w:p>
      <w:pPr>
        <w:pStyle w:val="Heading1"/>
        <w:spacing w:after="160" w:before="320"/>
      </w:pPr>
      <w:r>
        <w:rPr>
          <w:b/>
          <w:bCs/>
          <w:color w:val="1B2A4A"/>
        </w:rPr>
        <w:t xml:space="preserve">8. Project Plan / Phases Timeline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gridCol w:w="1400"/>
      </w:tblGrid>
      <w:tr>
        <w:trPr>
          <w:tblHeader/>
        </w:trPr>
        <w:tc>
          <w:tcPr>
            <w:tcW w:type="dxa" w:w="2200"/>
            <w:shd w:fill="1B2A4A" w:val="clear"/>
            <w:tcMar>
              <w:top w:type="dxa" w:w="100"/>
              <w:left w:type="dxa" w:w="120"/>
              <w:bottom w:type="dxa" w:w="100"/>
              <w:right w:type="dxa" w:w="120"/>
            </w:tcMar>
          </w:tcPr>
          <w:p>
            <w:pPr>
              <w:jc w:val="left"/>
            </w:pPr>
            <w:r>
              <w:rPr>
                <w:b/>
                <w:bCs/>
                <w:color w:val="FFFFFF"/>
              </w:rPr>
              <w:t xml:space="preserve">Phase</w:t>
            </w:r>
          </w:p>
        </w:tc>
        <w:tc>
          <w:tcPr>
            <w:tcW w:type="dxa" w:w="2000"/>
            <w:shd w:fill="1B2A4A" w:val="clear"/>
            <w:tcMar>
              <w:top w:type="dxa" w:w="100"/>
              <w:left w:type="dxa" w:w="120"/>
              <w:bottom w:type="dxa" w:w="100"/>
              <w:right w:type="dxa" w:w="120"/>
            </w:tcMar>
          </w:tcPr>
          <w:p>
            <w:pPr>
              <w:jc w:val="left"/>
            </w:pPr>
            <w:r>
              <w:rPr>
                <w:b/>
                <w:bCs/>
                <w:color w:val="FFFFFF"/>
              </w:rPr>
              <w:t xml:space="preserve">Focus</w:t>
            </w:r>
          </w:p>
        </w:tc>
        <w:tc>
          <w:tcPr>
            <w:tcW w:type="dxa" w:w="4200"/>
            <w:shd w:fill="1B2A4A" w:val="clear"/>
            <w:tcMar>
              <w:top w:type="dxa" w:w="100"/>
              <w:left w:type="dxa" w:w="120"/>
              <w:bottom w:type="dxa" w:w="100"/>
              <w:right w:type="dxa" w:w="120"/>
            </w:tcMar>
          </w:tcPr>
          <w:p>
            <w:pPr>
              <w:jc w:val="left"/>
            </w:pPr>
            <w:r>
              <w:rPr>
                <w:b/>
                <w:bCs/>
                <w:color w:val="FFFFFF"/>
              </w:rPr>
              <w:t xml:space="preserve">Key Activities</w:t>
            </w:r>
          </w:p>
        </w:tc>
        <w:tc>
          <w:tcPr>
            <w:tcW w:type="dxa" w:w="1400"/>
            <w:shd w:fill="1B2A4A" w:val="clear"/>
            <w:tcMar>
              <w:top w:type="dxa" w:w="100"/>
              <w:left w:type="dxa" w:w="120"/>
              <w:bottom w:type="dxa" w:w="100"/>
              <w:right w:type="dxa" w:w="120"/>
            </w:tcMar>
          </w:tcPr>
          <w:p>
            <w:pPr>
              <w:jc w:val="left"/>
            </w:pPr>
            <w:r>
              <w:rPr>
                <w:b/>
                <w:bCs/>
                <w:color w:val="FFFFFF"/>
              </w:rPr>
              <w:t xml:space="preserve">Duration</w:t>
            </w:r>
          </w:p>
        </w:tc>
      </w:tr>
      <w:tr>
        <w:trPr>
          <w:tblHeader w:val="false"/>
        </w:trPr>
        <w:tc>
          <w:tcPr>
            <w:tcW w:type="dxa" w:w="2200"/>
            <w:shd w:fill="FFFFFF" w:val="clear"/>
            <w:tcMar>
              <w:top w:type="dxa" w:w="100"/>
              <w:left w:type="dxa" w:w="120"/>
              <w:bottom w:type="dxa" w:w="100"/>
              <w:right w:type="dxa" w:w="120"/>
            </w:tcMar>
          </w:tcPr>
          <w:p>
            <w:pPr>
              <w:jc w:val="left"/>
            </w:pPr>
            <w:r>
              <w:rPr>
                <w:b w:val="false"/>
                <w:bCs w:val="false"/>
                <w:color w:val="000000"/>
              </w:rPr>
              <w:t xml:space="preserve">1. Foundation &amp; Data</w:t>
            </w:r>
          </w:p>
        </w:tc>
        <w:tc>
          <w:tcPr>
            <w:tcW w:type="dxa" w:w="2000"/>
            <w:shd w:fill="FFFFFF" w:val="clear"/>
            <w:tcMar>
              <w:top w:type="dxa" w:w="100"/>
              <w:left w:type="dxa" w:w="120"/>
              <w:bottom w:type="dxa" w:w="100"/>
              <w:right w:type="dxa" w:w="120"/>
            </w:tcMar>
          </w:tcPr>
          <w:p>
            <w:pPr>
              <w:jc w:val="left"/>
            </w:pPr>
            <w:r>
              <w:rPr>
                <w:b w:val="false"/>
                <w:bCs w:val="false"/>
                <w:color w:val="000000"/>
              </w:rPr>
              <w:t xml:space="preserve">Domain study + dataset prep</w:t>
            </w:r>
          </w:p>
        </w:tc>
        <w:tc>
          <w:tcPr>
            <w:tcW w:type="dxa" w:w="4200"/>
            <w:shd w:fill="FFFFFF" w:val="clear"/>
            <w:tcMar>
              <w:top w:type="dxa" w:w="100"/>
              <w:left w:type="dxa" w:w="120"/>
              <w:bottom w:type="dxa" w:w="100"/>
              <w:right w:type="dxa" w:w="120"/>
            </w:tcMar>
          </w:tcPr>
          <w:p>
            <w:pPr>
              <w:jc w:val="left"/>
            </w:pPr>
            <w:r>
              <w:rPr>
                <w:b w:val="false"/>
                <w:bCs w:val="false"/>
                <w:color w:val="000000"/>
              </w:rPr>
              <w:t xml:space="preserve">Study insurance claims lifecycle; download &amp; clean Kaggle dataset; EDA; define fraud labels &amp; features</w:t>
            </w:r>
          </w:p>
        </w:tc>
        <w:tc>
          <w:tcPr>
            <w:tcW w:type="dxa" w:w="1400"/>
            <w:shd w:fill="FFFFFF" w:val="clear"/>
            <w:tcMar>
              <w:top w:type="dxa" w:w="100"/>
              <w:left w:type="dxa" w:w="120"/>
              <w:bottom w:type="dxa" w:w="100"/>
              <w:right w:type="dxa" w:w="120"/>
            </w:tcMar>
          </w:tcPr>
          <w:p>
            <w:pPr>
              <w:jc w:val="left"/>
            </w:pPr>
            <w:r>
              <w:rPr>
                <w:b w:val="false"/>
                <w:bCs w:val="false"/>
                <w:color w:val="000000"/>
              </w:rPr>
              <w:t xml:space="preserve">Week 1-2</w:t>
            </w:r>
          </w:p>
        </w:tc>
      </w:tr>
      <w:tr>
        <w:trPr>
          <w:tblHeader w:val="false"/>
        </w:trPr>
        <w:tc>
          <w:tcPr>
            <w:tcW w:type="dxa" w:w="2200"/>
            <w:shd w:fill="F4F6F9" w:val="clear"/>
            <w:tcMar>
              <w:top w:type="dxa" w:w="100"/>
              <w:left w:type="dxa" w:w="120"/>
              <w:bottom w:type="dxa" w:w="100"/>
              <w:right w:type="dxa" w:w="120"/>
            </w:tcMar>
          </w:tcPr>
          <w:p>
            <w:pPr>
              <w:jc w:val="left"/>
            </w:pPr>
            <w:r>
              <w:rPr>
                <w:b w:val="false"/>
                <w:bCs w:val="false"/>
                <w:color w:val="000000"/>
              </w:rPr>
              <w:t xml:space="preserve">2. ML/DL Model</w:t>
            </w:r>
          </w:p>
        </w:tc>
        <w:tc>
          <w:tcPr>
            <w:tcW w:type="dxa" w:w="2000"/>
            <w:shd w:fill="F4F6F9" w:val="clear"/>
            <w:tcMar>
              <w:top w:type="dxa" w:w="100"/>
              <w:left w:type="dxa" w:w="120"/>
              <w:bottom w:type="dxa" w:w="100"/>
              <w:right w:type="dxa" w:w="120"/>
            </w:tcMar>
          </w:tcPr>
          <w:p>
            <w:pPr>
              <w:jc w:val="left"/>
            </w:pPr>
            <w:r>
              <w:rPr>
                <w:b w:val="false"/>
                <w:bCs w:val="false"/>
                <w:color w:val="000000"/>
              </w:rPr>
              <w:t xml:space="preserve">Fraud probability scoring</w:t>
            </w:r>
          </w:p>
        </w:tc>
        <w:tc>
          <w:tcPr>
            <w:tcW w:type="dxa" w:w="4200"/>
            <w:shd w:fill="F4F6F9" w:val="clear"/>
            <w:tcMar>
              <w:top w:type="dxa" w:w="100"/>
              <w:left w:type="dxa" w:w="120"/>
              <w:bottom w:type="dxa" w:w="100"/>
              <w:right w:type="dxa" w:w="120"/>
            </w:tcMar>
          </w:tcPr>
          <w:p>
            <w:pPr>
              <w:jc w:val="left"/>
            </w:pPr>
            <w:r>
              <w:rPr>
                <w:b w:val="false"/>
                <w:bCs w:val="false"/>
                <w:color w:val="000000"/>
              </w:rPr>
              <w:t xml:space="preserve">Train &amp; tune baseline (Logistic Regression, Random Forest) and advanced (XGBoost / Neural Net) models; handle class imbalance; evaluate with Precision/Recall/AUC</w:t>
            </w:r>
          </w:p>
        </w:tc>
        <w:tc>
          <w:tcPr>
            <w:tcW w:type="dxa" w:w="1400"/>
            <w:shd w:fill="F4F6F9" w:val="clear"/>
            <w:tcMar>
              <w:top w:type="dxa" w:w="100"/>
              <w:left w:type="dxa" w:w="120"/>
              <w:bottom w:type="dxa" w:w="100"/>
              <w:right w:type="dxa" w:w="120"/>
            </w:tcMar>
          </w:tcPr>
          <w:p>
            <w:pPr>
              <w:jc w:val="left"/>
            </w:pPr>
            <w:r>
              <w:rPr>
                <w:b w:val="false"/>
                <w:bCs w:val="false"/>
                <w:color w:val="000000"/>
              </w:rPr>
              <w:t xml:space="preserve">Week 3-4</w:t>
            </w:r>
          </w:p>
        </w:tc>
      </w:tr>
      <w:tr>
        <w:trPr>
          <w:tblHeader w:val="false"/>
        </w:trPr>
        <w:tc>
          <w:tcPr>
            <w:tcW w:type="dxa" w:w="2200"/>
            <w:shd w:fill="FFFFFF" w:val="clear"/>
            <w:tcMar>
              <w:top w:type="dxa" w:w="100"/>
              <w:left w:type="dxa" w:w="120"/>
              <w:bottom w:type="dxa" w:w="100"/>
              <w:right w:type="dxa" w:w="120"/>
            </w:tcMar>
          </w:tcPr>
          <w:p>
            <w:pPr>
              <w:jc w:val="left"/>
            </w:pPr>
            <w:r>
              <w:rPr>
                <w:b w:val="false"/>
                <w:bCs w:val="false"/>
                <w:color w:val="000000"/>
              </w:rPr>
              <w:t xml:space="preserve">3. Agentic Layer</w:t>
            </w:r>
          </w:p>
        </w:tc>
        <w:tc>
          <w:tcPr>
            <w:tcW w:type="dxa" w:w="2000"/>
            <w:shd w:fill="FFFFFF" w:val="clear"/>
            <w:tcMar>
              <w:top w:type="dxa" w:w="100"/>
              <w:left w:type="dxa" w:w="120"/>
              <w:bottom w:type="dxa" w:w="100"/>
              <w:right w:type="dxa" w:w="120"/>
            </w:tcMar>
          </w:tcPr>
          <w:p>
            <w:pPr>
              <w:jc w:val="left"/>
            </w:pPr>
            <w:r>
              <w:rPr>
                <w:b w:val="false"/>
                <w:bCs w:val="false"/>
                <w:color w:val="000000"/>
              </w:rPr>
              <w:t xml:space="preserve">Orchestrator + tools</w:t>
            </w:r>
          </w:p>
        </w:tc>
        <w:tc>
          <w:tcPr>
            <w:tcW w:type="dxa" w:w="4200"/>
            <w:shd w:fill="FFFFFF" w:val="clear"/>
            <w:tcMar>
              <w:top w:type="dxa" w:w="100"/>
              <w:left w:type="dxa" w:w="120"/>
              <w:bottom w:type="dxa" w:w="100"/>
              <w:right w:type="dxa" w:w="120"/>
            </w:tcMar>
          </w:tcPr>
          <w:p>
            <w:pPr>
              <w:jc w:val="left"/>
            </w:pPr>
            <w:r>
              <w:rPr>
                <w:b w:val="false"/>
                <w:bCs w:val="false"/>
                <w:color w:val="000000"/>
              </w:rPr>
              <w:t xml:space="preserve">Build LLM agent using LangChain/LangGraph; wrap ML model, similar-claims retrieval, and policy-check as callable tools</w:t>
            </w:r>
          </w:p>
        </w:tc>
        <w:tc>
          <w:tcPr>
            <w:tcW w:type="dxa" w:w="1400"/>
            <w:shd w:fill="FFFFFF" w:val="clear"/>
            <w:tcMar>
              <w:top w:type="dxa" w:w="100"/>
              <w:left w:type="dxa" w:w="120"/>
              <w:bottom w:type="dxa" w:w="100"/>
              <w:right w:type="dxa" w:w="120"/>
            </w:tcMar>
          </w:tcPr>
          <w:p>
            <w:pPr>
              <w:jc w:val="left"/>
            </w:pPr>
            <w:r>
              <w:rPr>
                <w:b w:val="false"/>
                <w:bCs w:val="false"/>
                <w:color w:val="000000"/>
              </w:rPr>
              <w:t xml:space="preserve">Week 5-6</w:t>
            </w:r>
          </w:p>
        </w:tc>
      </w:tr>
      <w:tr>
        <w:trPr>
          <w:tblHeader w:val="false"/>
        </w:trPr>
        <w:tc>
          <w:tcPr>
            <w:tcW w:type="dxa" w:w="2200"/>
            <w:shd w:fill="F4F6F9" w:val="clear"/>
            <w:tcMar>
              <w:top w:type="dxa" w:w="100"/>
              <w:left w:type="dxa" w:w="120"/>
              <w:bottom w:type="dxa" w:w="100"/>
              <w:right w:type="dxa" w:w="120"/>
            </w:tcMar>
          </w:tcPr>
          <w:p>
            <w:pPr>
              <w:jc w:val="left"/>
            </w:pPr>
            <w:r>
              <w:rPr>
                <w:b w:val="false"/>
                <w:bCs w:val="false"/>
                <w:color w:val="000000"/>
              </w:rPr>
              <w:t xml:space="preserve">4. Integration</w:t>
            </w:r>
          </w:p>
        </w:tc>
        <w:tc>
          <w:tcPr>
            <w:tcW w:type="dxa" w:w="2000"/>
            <w:shd w:fill="F4F6F9" w:val="clear"/>
            <w:tcMar>
              <w:top w:type="dxa" w:w="100"/>
              <w:left w:type="dxa" w:w="120"/>
              <w:bottom w:type="dxa" w:w="100"/>
              <w:right w:type="dxa" w:w="120"/>
            </w:tcMar>
          </w:tcPr>
          <w:p>
            <w:pPr>
              <w:jc w:val="left"/>
            </w:pPr>
            <w:r>
              <w:rPr>
                <w:b w:val="false"/>
                <w:bCs w:val="false"/>
                <w:color w:val="000000"/>
              </w:rPr>
              <w:t xml:space="preserve">End-to-end pipeline</w:t>
            </w:r>
          </w:p>
        </w:tc>
        <w:tc>
          <w:tcPr>
            <w:tcW w:type="dxa" w:w="4200"/>
            <w:shd w:fill="F4F6F9" w:val="clear"/>
            <w:tcMar>
              <w:top w:type="dxa" w:w="100"/>
              <w:left w:type="dxa" w:w="120"/>
              <w:bottom w:type="dxa" w:w="100"/>
              <w:right w:type="dxa" w:w="120"/>
            </w:tcMar>
          </w:tcPr>
          <w:p>
            <w:pPr>
              <w:jc w:val="left"/>
            </w:pPr>
            <w:r>
              <w:rPr>
                <w:b w:val="false"/>
                <w:bCs w:val="false"/>
                <w:color w:val="000000"/>
              </w:rPr>
              <w:t xml:space="preserve">Connect ingestion → validation → ML scoring → agent reasoning → decision output into one pipeline</w:t>
            </w:r>
          </w:p>
        </w:tc>
        <w:tc>
          <w:tcPr>
            <w:tcW w:type="dxa" w:w="1400"/>
            <w:shd w:fill="F4F6F9" w:val="clear"/>
            <w:tcMar>
              <w:top w:type="dxa" w:w="100"/>
              <w:left w:type="dxa" w:w="120"/>
              <w:bottom w:type="dxa" w:w="100"/>
              <w:right w:type="dxa" w:w="120"/>
            </w:tcMar>
          </w:tcPr>
          <w:p>
            <w:pPr>
              <w:jc w:val="left"/>
            </w:pPr>
            <w:r>
              <w:rPr>
                <w:b w:val="false"/>
                <w:bCs w:val="false"/>
                <w:color w:val="000000"/>
              </w:rPr>
              <w:t xml:space="preserve">Week 6-7</w:t>
            </w:r>
          </w:p>
        </w:tc>
      </w:tr>
      <w:tr>
        <w:trPr>
          <w:tblHeader w:val="false"/>
        </w:trPr>
        <w:tc>
          <w:tcPr>
            <w:tcW w:type="dxa" w:w="2200"/>
            <w:shd w:fill="FFFFFF" w:val="clear"/>
            <w:tcMar>
              <w:top w:type="dxa" w:w="100"/>
              <w:left w:type="dxa" w:w="120"/>
              <w:bottom w:type="dxa" w:w="100"/>
              <w:right w:type="dxa" w:w="120"/>
            </w:tcMar>
          </w:tcPr>
          <w:p>
            <w:pPr>
              <w:jc w:val="left"/>
            </w:pPr>
            <w:r>
              <w:rPr>
                <w:b w:val="false"/>
                <w:bCs w:val="false"/>
                <w:color w:val="000000"/>
              </w:rPr>
              <w:t xml:space="preserve">5. Interface &amp; Review</w:t>
            </w:r>
          </w:p>
        </w:tc>
        <w:tc>
          <w:tcPr>
            <w:tcW w:type="dxa" w:w="2000"/>
            <w:shd w:fill="FFFFFF" w:val="clear"/>
            <w:tcMar>
              <w:top w:type="dxa" w:w="100"/>
              <w:left w:type="dxa" w:w="120"/>
              <w:bottom w:type="dxa" w:w="100"/>
              <w:right w:type="dxa" w:w="120"/>
            </w:tcMar>
          </w:tcPr>
          <w:p>
            <w:pPr>
              <w:jc w:val="left"/>
            </w:pPr>
            <w:r>
              <w:rPr>
                <w:b w:val="false"/>
                <w:bCs w:val="false"/>
                <w:color w:val="000000"/>
              </w:rPr>
              <w:t xml:space="preserve">Human-in-the-loop UI</w:t>
            </w:r>
          </w:p>
        </w:tc>
        <w:tc>
          <w:tcPr>
            <w:tcW w:type="dxa" w:w="4200"/>
            <w:shd w:fill="FFFFFF" w:val="clear"/>
            <w:tcMar>
              <w:top w:type="dxa" w:w="100"/>
              <w:left w:type="dxa" w:w="120"/>
              <w:bottom w:type="dxa" w:w="100"/>
              <w:right w:type="dxa" w:w="120"/>
            </w:tcMar>
          </w:tcPr>
          <w:p>
            <w:pPr>
              <w:jc w:val="left"/>
            </w:pPr>
            <w:r>
              <w:rPr>
                <w:b w:val="false"/>
                <w:bCs w:val="false"/>
                <w:color w:val="000000"/>
              </w:rPr>
              <w:t xml:space="preserve">Build a simple dashboard (Streamlit/Flask) for adjusters to view claim, fraud score, agent rationale, and approve/override</w:t>
            </w:r>
          </w:p>
        </w:tc>
        <w:tc>
          <w:tcPr>
            <w:tcW w:type="dxa" w:w="1400"/>
            <w:shd w:fill="FFFFFF" w:val="clear"/>
            <w:tcMar>
              <w:top w:type="dxa" w:w="100"/>
              <w:left w:type="dxa" w:w="120"/>
              <w:bottom w:type="dxa" w:w="100"/>
              <w:right w:type="dxa" w:w="120"/>
            </w:tcMar>
          </w:tcPr>
          <w:p>
            <w:pPr>
              <w:jc w:val="left"/>
            </w:pPr>
            <w:r>
              <w:rPr>
                <w:b w:val="false"/>
                <w:bCs w:val="false"/>
                <w:color w:val="000000"/>
              </w:rPr>
              <w:t xml:space="preserve">Week 7-8</w:t>
            </w:r>
          </w:p>
        </w:tc>
      </w:tr>
      <w:tr>
        <w:trPr>
          <w:tblHeader w:val="false"/>
        </w:trPr>
        <w:tc>
          <w:tcPr>
            <w:tcW w:type="dxa" w:w="2200"/>
            <w:shd w:fill="F4F6F9" w:val="clear"/>
            <w:tcMar>
              <w:top w:type="dxa" w:w="100"/>
              <w:left w:type="dxa" w:w="120"/>
              <w:bottom w:type="dxa" w:w="100"/>
              <w:right w:type="dxa" w:w="120"/>
            </w:tcMar>
          </w:tcPr>
          <w:p>
            <w:pPr>
              <w:jc w:val="left"/>
            </w:pPr>
            <w:r>
              <w:rPr>
                <w:b w:val="false"/>
                <w:bCs w:val="false"/>
                <w:color w:val="000000"/>
              </w:rPr>
              <w:t xml:space="preserve">6. Testing &amp; Documentation</w:t>
            </w:r>
          </w:p>
        </w:tc>
        <w:tc>
          <w:tcPr>
            <w:tcW w:type="dxa" w:w="2000"/>
            <w:shd w:fill="F4F6F9" w:val="clear"/>
            <w:tcMar>
              <w:top w:type="dxa" w:w="100"/>
              <w:left w:type="dxa" w:w="120"/>
              <w:bottom w:type="dxa" w:w="100"/>
              <w:right w:type="dxa" w:w="120"/>
            </w:tcMar>
          </w:tcPr>
          <w:p>
            <w:pPr>
              <w:jc w:val="left"/>
            </w:pPr>
            <w:r>
              <w:rPr>
                <w:b w:val="false"/>
                <w:bCs w:val="false"/>
                <w:color w:val="000000"/>
              </w:rPr>
              <w:t xml:space="preserve">Validation + reporting</w:t>
            </w:r>
          </w:p>
        </w:tc>
        <w:tc>
          <w:tcPr>
            <w:tcW w:type="dxa" w:w="4200"/>
            <w:shd w:fill="F4F6F9" w:val="clear"/>
            <w:tcMar>
              <w:top w:type="dxa" w:w="100"/>
              <w:left w:type="dxa" w:w="120"/>
              <w:bottom w:type="dxa" w:w="100"/>
              <w:right w:type="dxa" w:w="120"/>
            </w:tcMar>
          </w:tcPr>
          <w:p>
            <w:pPr>
              <w:jc w:val="left"/>
            </w:pPr>
            <w:r>
              <w:rPr>
                <w:b w:val="false"/>
                <w:bCs w:val="false"/>
                <w:color w:val="000000"/>
              </w:rPr>
              <w:t xml:space="preserve">Test on held-out claims; measure accuracy and false-positive rate; prepare final report, demo, and presentation</w:t>
            </w:r>
          </w:p>
        </w:tc>
        <w:tc>
          <w:tcPr>
            <w:tcW w:type="dxa" w:w="1400"/>
            <w:shd w:fill="F4F6F9" w:val="clear"/>
            <w:tcMar>
              <w:top w:type="dxa" w:w="100"/>
              <w:left w:type="dxa" w:w="120"/>
              <w:bottom w:type="dxa" w:w="100"/>
              <w:right w:type="dxa" w:w="120"/>
            </w:tcMar>
          </w:tcPr>
          <w:p>
            <w:pPr>
              <w:jc w:val="left"/>
            </w:pPr>
            <w:r>
              <w:rPr>
                <w:b w:val="false"/>
                <w:bCs w:val="false"/>
                <w:color w:val="000000"/>
              </w:rPr>
              <w:t xml:space="preserve">Week 8-9</w:t>
            </w:r>
          </w:p>
        </w:tc>
      </w:tr>
    </w:tbl>
    <w:p>
      <w:pPr>
        <w:spacing w:after="200"/>
      </w:pPr>
    </w:p>
    <w:p>
      <w:pPr>
        <w:pStyle w:val="Heading1"/>
        <w:spacing w:after="160" w:before="320"/>
      </w:pPr>
      <w:r>
        <w:rPr>
          <w:b/>
          <w:bCs/>
          <w:color w:val="1B2A4A"/>
        </w:rPr>
        <w:t xml:space="preserve">9. Suggested Technology Stack</w:t>
      </w:r>
    </w:p>
    <w:p>
      <w:pPr>
        <w:pStyle w:val="ListParagraph"/>
        <w:numPr>
          <w:ilvl w:val="0"/>
          <w:numId w:val="2"/>
        </w:numPr>
        <w:spacing w:after="80" w:line="280"/>
      </w:pPr>
      <w:r>
        <w:t xml:space="preserve">Languages/Core: Python</w:t>
      </w:r>
    </w:p>
    <w:p>
      <w:pPr>
        <w:pStyle w:val="ListParagraph"/>
        <w:numPr>
          <w:ilvl w:val="0"/>
          <w:numId w:val="2"/>
        </w:numPr>
        <w:spacing w:after="80" w:line="280"/>
      </w:pPr>
      <w:r>
        <w:t xml:space="preserve">ML/DL: scikit-learn, XGBoost, TensorFlow/PyTorch (for neural network variant)</w:t>
      </w:r>
    </w:p>
    <w:p>
      <w:pPr>
        <w:pStyle w:val="ListParagraph"/>
        <w:numPr>
          <w:ilvl w:val="0"/>
          <w:numId w:val="2"/>
        </w:numPr>
        <w:spacing w:after="80" w:line="280"/>
      </w:pPr>
      <w:r>
        <w:t xml:space="preserve">Agentic Framework: LangChain / LangGraph, or CrewAI</w:t>
      </w:r>
    </w:p>
    <w:p>
      <w:pPr>
        <w:pStyle w:val="ListParagraph"/>
        <w:numPr>
          <w:ilvl w:val="0"/>
          <w:numId w:val="2"/>
        </w:numPr>
        <w:spacing w:after="80" w:line="280"/>
      </w:pPr>
      <w:r>
        <w:t xml:space="preserve">Retrieval: FAISS or ChromaDB for similar-claims vector search</w:t>
      </w:r>
    </w:p>
    <w:p>
      <w:pPr>
        <w:pStyle w:val="ListParagraph"/>
        <w:numPr>
          <w:ilvl w:val="0"/>
          <w:numId w:val="2"/>
        </w:numPr>
        <w:spacing w:after="80" w:line="280"/>
      </w:pPr>
      <w:r>
        <w:t xml:space="preserve">Interface: Streamlit or Flask for the adjuster review dashboard</w:t>
      </w:r>
    </w:p>
    <w:p>
      <w:pPr>
        <w:pStyle w:val="ListParagraph"/>
        <w:numPr>
          <w:ilvl w:val="0"/>
          <w:numId w:val="2"/>
        </w:numPr>
        <w:spacing w:after="80" w:line="280"/>
      </w:pPr>
      <w:r>
        <w:t xml:space="preserve">LLM Access: OpenAI API, Anthropic API, or an open-source model, depending on availability/budget</w:t>
      </w:r>
    </w:p>
    <w:p>
      <w:pPr>
        <w:pStyle w:val="Heading1"/>
        <w:spacing w:after="160" w:before="320"/>
      </w:pPr>
      <w:r>
        <w:rPr>
          <w:b/>
          <w:bCs/>
          <w:color w:val="1B2A4A"/>
        </w:rPr>
        <w:t xml:space="preserve">10. Dataset Details</w:t>
      </w:r>
    </w:p>
    <w:p>
      <w:pPr>
        <w:spacing w:after="140" w:line="300"/>
      </w:pPr>
      <w:r>
        <w:t xml:space="preserve">Two Kaggle datasets are recommended — the first as the primary training set for the ML/DL fraud model, the second as an alternate or supplementary source (e.g., to enrich the agent's similar-claims knowledge base).</w:t>
      </w:r>
    </w:p>
    <w:p>
      <w:pPr>
        <w:pStyle w:val="Heading2"/>
        <w:spacing w:after="120" w:before="220"/>
      </w:pPr>
      <w:r>
        <w:rPr>
          <w:b/>
          <w:bCs/>
          <w:color w:val="1D7874"/>
        </w:rPr>
        <w:t xml:space="preserve">10.1 Primary Dataset — Vehicle Claim Fraud Detection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1D7874" w:val="clear"/>
            <w:tcMar>
              <w:top w:type="dxa" w:w="100"/>
              <w:left w:type="dxa" w:w="120"/>
              <w:bottom w:type="dxa" w:w="100"/>
              <w:right w:type="dxa" w:w="120"/>
            </w:tcMar>
          </w:tcPr>
          <w:p>
            <w:pPr>
              <w:jc w:val="left"/>
            </w:pPr>
            <w:r>
              <w:rPr>
                <w:b/>
                <w:bCs/>
                <w:color w:val="FFFFFF"/>
              </w:rPr>
              <w:t xml:space="preserve">Attribute</w:t>
            </w:r>
          </w:p>
        </w:tc>
        <w:tc>
          <w:tcPr>
            <w:tcW w:type="dxa" w:w="7400"/>
            <w:shd w:fill="1D7874" w:val="clear"/>
            <w:tcMar>
              <w:top w:type="dxa" w:w="100"/>
              <w:left w:type="dxa" w:w="120"/>
              <w:bottom w:type="dxa" w:w="100"/>
              <w:right w:type="dxa" w:w="120"/>
            </w:tcMar>
          </w:tcPr>
          <w:p>
            <w:pPr>
              <w:jc w:val="left"/>
            </w:pPr>
            <w:r>
              <w:rPr>
                <w:b/>
                <w:bCs/>
                <w:color w:val="FFFFFF"/>
              </w:rPr>
              <w:t xml:space="preserve">Details</w:t>
            </w:r>
          </w:p>
        </w:tc>
      </w:tr>
      <w:tr>
        <w:trPr>
          <w:tblHeader w:val="false"/>
        </w:trPr>
        <w:tc>
          <w:tcPr>
            <w:tcW w:type="dxa" w:w="2400"/>
            <w:shd w:fill="FFFFFF" w:val="clear"/>
            <w:tcMar>
              <w:top w:type="dxa" w:w="100"/>
              <w:left w:type="dxa" w:w="120"/>
              <w:bottom w:type="dxa" w:w="100"/>
              <w:right w:type="dxa" w:w="120"/>
            </w:tcMar>
          </w:tcPr>
          <w:p>
            <w:pPr>
              <w:jc w:val="left"/>
            </w:pPr>
            <w:r>
              <w:rPr>
                <w:b w:val="false"/>
                <w:bCs w:val="false"/>
                <w:color w:val="000000"/>
              </w:rPr>
              <w:t xml:space="preserve">Dataset name</w:t>
            </w:r>
          </w:p>
        </w:tc>
        <w:tc>
          <w:tcPr>
            <w:tcW w:type="dxa" w:w="7400"/>
            <w:shd w:fill="FFFFFF" w:val="clear"/>
            <w:tcMar>
              <w:top w:type="dxa" w:w="100"/>
              <w:left w:type="dxa" w:w="120"/>
              <w:bottom w:type="dxa" w:w="100"/>
              <w:right w:type="dxa" w:w="120"/>
            </w:tcMar>
          </w:tcPr>
          <w:p>
            <w:pPr>
              <w:jc w:val="left"/>
            </w:pPr>
            <w:r>
              <w:rPr>
                <w:b w:val="false"/>
                <w:bCs w:val="false"/>
                <w:color w:val="000000"/>
              </w:rPr>
              <w:t xml:space="preserve">Vehicle Claim Fraud Detection</w:t>
            </w:r>
          </w:p>
        </w:tc>
      </w:tr>
      <w:tr>
        <w:trPr>
          <w:tblHeader w:val="false"/>
        </w:trPr>
        <w:tc>
          <w:tcPr>
            <w:tcW w:type="dxa" w:w="2400"/>
            <w:shd w:fill="F4F6F9" w:val="clear"/>
            <w:tcMar>
              <w:top w:type="dxa" w:w="100"/>
              <w:left w:type="dxa" w:w="120"/>
              <w:bottom w:type="dxa" w:w="100"/>
              <w:right w:type="dxa" w:w="120"/>
            </w:tcMar>
          </w:tcPr>
          <w:p>
            <w:pPr>
              <w:jc w:val="left"/>
            </w:pPr>
            <w:r>
              <w:rPr>
                <w:b w:val="false"/>
                <w:bCs w:val="false"/>
                <w:color w:val="000000"/>
              </w:rPr>
              <w:t xml:space="preserve">Records / Fields</w:t>
            </w:r>
          </w:p>
        </w:tc>
        <w:tc>
          <w:tcPr>
            <w:tcW w:type="dxa" w:w="7400"/>
            <w:shd w:fill="F4F6F9" w:val="clear"/>
            <w:tcMar>
              <w:top w:type="dxa" w:w="100"/>
              <w:left w:type="dxa" w:w="120"/>
              <w:bottom w:type="dxa" w:w="100"/>
              <w:right w:type="dxa" w:w="120"/>
            </w:tcMar>
          </w:tcPr>
          <w:p>
            <w:pPr>
              <w:jc w:val="left"/>
            </w:pPr>
            <w:r>
              <w:rPr>
                <w:b w:val="false"/>
                <w:bCs w:val="false"/>
                <w:color w:val="000000"/>
              </w:rPr>
              <w:t xml:space="preserve">~15,420 rows, 33 columns (8 continuous, 24 categorical)</w:t>
            </w:r>
          </w:p>
        </w:tc>
      </w:tr>
      <w:tr>
        <w:trPr>
          <w:tblHeader w:val="false"/>
        </w:trPr>
        <w:tc>
          <w:tcPr>
            <w:tcW w:type="dxa" w:w="2400"/>
            <w:shd w:fill="FFFFFF" w:val="clear"/>
            <w:tcMar>
              <w:top w:type="dxa" w:w="100"/>
              <w:left w:type="dxa" w:w="120"/>
              <w:bottom w:type="dxa" w:w="100"/>
              <w:right w:type="dxa" w:w="120"/>
            </w:tcMar>
          </w:tcPr>
          <w:p>
            <w:pPr>
              <w:jc w:val="left"/>
            </w:pPr>
            <w:r>
              <w:rPr>
                <w:b w:val="false"/>
                <w:bCs w:val="false"/>
                <w:color w:val="000000"/>
              </w:rPr>
              <w:t xml:space="preserve">Target label</w:t>
            </w:r>
          </w:p>
        </w:tc>
        <w:tc>
          <w:tcPr>
            <w:tcW w:type="dxa" w:w="7400"/>
            <w:shd w:fill="FFFFFF" w:val="clear"/>
            <w:tcMar>
              <w:top w:type="dxa" w:w="100"/>
              <w:left w:type="dxa" w:w="120"/>
              <w:bottom w:type="dxa" w:w="100"/>
              <w:right w:type="dxa" w:w="120"/>
            </w:tcMar>
          </w:tcPr>
          <w:p>
            <w:pPr>
              <w:jc w:val="left"/>
            </w:pPr>
            <w:r>
              <w:rPr>
                <w:b w:val="false"/>
                <w:bCs w:val="false"/>
                <w:color w:val="000000"/>
              </w:rPr>
              <w:t xml:space="preserve">FraudFound_P (0 = legitimate, 1 = fraudulent)</w:t>
            </w:r>
          </w:p>
        </w:tc>
      </w:tr>
      <w:tr>
        <w:trPr>
          <w:tblHeader w:val="false"/>
        </w:trPr>
        <w:tc>
          <w:tcPr>
            <w:tcW w:type="dxa" w:w="2400"/>
            <w:shd w:fill="F4F6F9" w:val="clear"/>
            <w:tcMar>
              <w:top w:type="dxa" w:w="100"/>
              <w:left w:type="dxa" w:w="120"/>
              <w:bottom w:type="dxa" w:w="100"/>
              <w:right w:type="dxa" w:w="120"/>
            </w:tcMar>
          </w:tcPr>
          <w:p>
            <w:pPr>
              <w:jc w:val="left"/>
            </w:pPr>
            <w:r>
              <w:rPr>
                <w:b w:val="false"/>
                <w:bCs w:val="false"/>
                <w:color w:val="000000"/>
              </w:rPr>
              <w:t xml:space="preserve">Key fields</w:t>
            </w:r>
          </w:p>
        </w:tc>
        <w:tc>
          <w:tcPr>
            <w:tcW w:type="dxa" w:w="7400"/>
            <w:shd w:fill="F4F6F9" w:val="clear"/>
            <w:tcMar>
              <w:top w:type="dxa" w:w="100"/>
              <w:left w:type="dxa" w:w="120"/>
              <w:bottom w:type="dxa" w:w="100"/>
              <w:right w:type="dxa" w:w="120"/>
            </w:tcMar>
          </w:tcPr>
          <w:p>
            <w:pPr>
              <w:jc w:val="left"/>
            </w:pPr>
            <w:r>
              <w:rPr>
                <w:b w:val="false"/>
                <w:bCs w:val="false"/>
                <w:color w:val="000000"/>
              </w:rPr>
              <w:t xml:space="preserve">Policy details, vehicle details, accident details, claim amount, policyholder demographics, days between incident and claim</w:t>
            </w:r>
          </w:p>
        </w:tc>
      </w:tr>
      <w:tr>
        <w:trPr>
          <w:tblHeader w:val="false"/>
        </w:trPr>
        <w:tc>
          <w:tcPr>
            <w:tcW w:type="dxa" w:w="2400"/>
            <w:shd w:fill="FFFFFF" w:val="clear"/>
            <w:tcMar>
              <w:top w:type="dxa" w:w="100"/>
              <w:left w:type="dxa" w:w="120"/>
              <w:bottom w:type="dxa" w:w="100"/>
              <w:right w:type="dxa" w:w="120"/>
            </w:tcMar>
          </w:tcPr>
          <w:p>
            <w:pPr>
              <w:jc w:val="left"/>
            </w:pPr>
            <w:r>
              <w:rPr>
                <w:b w:val="false"/>
                <w:bCs w:val="false"/>
                <w:color w:val="000000"/>
              </w:rPr>
              <w:t xml:space="preserve">Best for</w:t>
            </w:r>
          </w:p>
        </w:tc>
        <w:tc>
          <w:tcPr>
            <w:tcW w:type="dxa" w:w="7400"/>
            <w:shd w:fill="FFFFFF" w:val="clear"/>
            <w:tcMar>
              <w:top w:type="dxa" w:w="100"/>
              <w:left w:type="dxa" w:w="120"/>
              <w:bottom w:type="dxa" w:w="100"/>
              <w:right w:type="dxa" w:w="120"/>
            </w:tcMar>
          </w:tcPr>
          <w:p>
            <w:pPr>
              <w:jc w:val="left"/>
            </w:pPr>
            <w:r>
              <w:rPr>
                <w:b w:val="false"/>
                <w:bCs w:val="false"/>
                <w:color w:val="000000"/>
              </w:rPr>
              <w:t xml:space="preserve">Phase 2 &amp; 3 — training the ML/DL fraud-probability model</w:t>
            </w:r>
          </w:p>
        </w:tc>
      </w:tr>
    </w:tbl>
    <w:p>
      <w:pPr>
        <w:spacing w:after="200"/>
      </w:pPr>
    </w:p>
    <w:p>
      <w:pPr>
        <w:pStyle w:val="Heading2"/>
        <w:spacing w:after="120" w:before="220"/>
      </w:pPr>
      <w:r>
        <w:rPr>
          <w:b/>
          <w:bCs/>
          <w:color w:val="1D7874"/>
        </w:rPr>
        <w:t xml:space="preserve">10.2 Supplementary Dataset — Auto Insurance Claims Data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1D7874" w:val="clear"/>
            <w:tcMar>
              <w:top w:type="dxa" w:w="100"/>
              <w:left w:type="dxa" w:w="120"/>
              <w:bottom w:type="dxa" w:w="100"/>
              <w:right w:type="dxa" w:w="120"/>
            </w:tcMar>
          </w:tcPr>
          <w:p>
            <w:pPr>
              <w:jc w:val="left"/>
            </w:pPr>
            <w:r>
              <w:rPr>
                <w:b/>
                <w:bCs/>
                <w:color w:val="FFFFFF"/>
              </w:rPr>
              <w:t xml:space="preserve">Attribute</w:t>
            </w:r>
          </w:p>
        </w:tc>
        <w:tc>
          <w:tcPr>
            <w:tcW w:type="dxa" w:w="7400"/>
            <w:shd w:fill="1D7874" w:val="clear"/>
            <w:tcMar>
              <w:top w:type="dxa" w:w="100"/>
              <w:left w:type="dxa" w:w="120"/>
              <w:bottom w:type="dxa" w:w="100"/>
              <w:right w:type="dxa" w:w="120"/>
            </w:tcMar>
          </w:tcPr>
          <w:p>
            <w:pPr>
              <w:jc w:val="left"/>
            </w:pPr>
            <w:r>
              <w:rPr>
                <w:b/>
                <w:bCs/>
                <w:color w:val="FFFFFF"/>
              </w:rPr>
              <w:t xml:space="preserve">Details</w:t>
            </w:r>
          </w:p>
        </w:tc>
      </w:tr>
      <w:tr>
        <w:trPr>
          <w:tblHeader w:val="false"/>
        </w:trPr>
        <w:tc>
          <w:tcPr>
            <w:tcW w:type="dxa" w:w="2400"/>
            <w:shd w:fill="FFFFFF" w:val="clear"/>
            <w:tcMar>
              <w:top w:type="dxa" w:w="100"/>
              <w:left w:type="dxa" w:w="120"/>
              <w:bottom w:type="dxa" w:w="100"/>
              <w:right w:type="dxa" w:w="120"/>
            </w:tcMar>
          </w:tcPr>
          <w:p>
            <w:pPr>
              <w:jc w:val="left"/>
            </w:pPr>
            <w:r>
              <w:rPr>
                <w:b w:val="false"/>
                <w:bCs w:val="false"/>
                <w:color w:val="000000"/>
              </w:rPr>
              <w:t xml:space="preserve">Dataset name</w:t>
            </w:r>
          </w:p>
        </w:tc>
        <w:tc>
          <w:tcPr>
            <w:tcW w:type="dxa" w:w="7400"/>
            <w:shd w:fill="FFFFFF" w:val="clear"/>
            <w:tcMar>
              <w:top w:type="dxa" w:w="100"/>
              <w:left w:type="dxa" w:w="120"/>
              <w:bottom w:type="dxa" w:w="100"/>
              <w:right w:type="dxa" w:w="120"/>
            </w:tcMar>
          </w:tcPr>
          <w:p>
            <w:pPr>
              <w:jc w:val="left"/>
            </w:pPr>
            <w:r>
              <w:rPr>
                <w:b w:val="false"/>
                <w:bCs w:val="false"/>
                <w:color w:val="000000"/>
              </w:rPr>
              <w:t xml:space="preserve">Auto Insurance Claims Data</w:t>
            </w:r>
          </w:p>
        </w:tc>
      </w:tr>
      <w:tr>
        <w:trPr>
          <w:tblHeader w:val="false"/>
        </w:trPr>
        <w:tc>
          <w:tcPr>
            <w:tcW w:type="dxa" w:w="2400"/>
            <w:shd w:fill="F4F6F9" w:val="clear"/>
            <w:tcMar>
              <w:top w:type="dxa" w:w="100"/>
              <w:left w:type="dxa" w:w="120"/>
              <w:bottom w:type="dxa" w:w="100"/>
              <w:right w:type="dxa" w:w="120"/>
            </w:tcMar>
          </w:tcPr>
          <w:p>
            <w:pPr>
              <w:jc w:val="left"/>
            </w:pPr>
            <w:r>
              <w:rPr>
                <w:b w:val="false"/>
                <w:bCs w:val="false"/>
                <w:color w:val="000000"/>
              </w:rPr>
              <w:t xml:space="preserve">Records / Fields</w:t>
            </w:r>
          </w:p>
        </w:tc>
        <w:tc>
          <w:tcPr>
            <w:tcW w:type="dxa" w:w="7400"/>
            <w:shd w:fill="F4F6F9" w:val="clear"/>
            <w:tcMar>
              <w:top w:type="dxa" w:w="100"/>
              <w:left w:type="dxa" w:w="120"/>
              <w:bottom w:type="dxa" w:w="100"/>
              <w:right w:type="dxa" w:w="120"/>
            </w:tcMar>
          </w:tcPr>
          <w:p>
            <w:pPr>
              <w:jc w:val="left"/>
            </w:pPr>
            <w:r>
              <w:rPr>
                <w:b w:val="false"/>
                <w:bCs w:val="false"/>
                <w:color w:val="000000"/>
              </w:rPr>
              <w:t xml:space="preserve">~1,000 rows; policy, incident, and claim-amount fields plus a fraud-reported flag</w:t>
            </w:r>
          </w:p>
        </w:tc>
      </w:tr>
      <w:tr>
        <w:trPr>
          <w:tblHeader w:val="false"/>
        </w:trPr>
        <w:tc>
          <w:tcPr>
            <w:tcW w:type="dxa" w:w="2400"/>
            <w:shd w:fill="FFFFFF" w:val="clear"/>
            <w:tcMar>
              <w:top w:type="dxa" w:w="100"/>
              <w:left w:type="dxa" w:w="120"/>
              <w:bottom w:type="dxa" w:w="100"/>
              <w:right w:type="dxa" w:w="120"/>
            </w:tcMar>
          </w:tcPr>
          <w:p>
            <w:pPr>
              <w:jc w:val="left"/>
            </w:pPr>
            <w:r>
              <w:rPr>
                <w:b w:val="false"/>
                <w:bCs w:val="false"/>
                <w:color w:val="000000"/>
              </w:rPr>
              <w:t xml:space="preserve">Target label</w:t>
            </w:r>
          </w:p>
        </w:tc>
        <w:tc>
          <w:tcPr>
            <w:tcW w:type="dxa" w:w="7400"/>
            <w:shd w:fill="FFFFFF" w:val="clear"/>
            <w:tcMar>
              <w:top w:type="dxa" w:w="100"/>
              <w:left w:type="dxa" w:w="120"/>
              <w:bottom w:type="dxa" w:w="100"/>
              <w:right w:type="dxa" w:w="120"/>
            </w:tcMar>
          </w:tcPr>
          <w:p>
            <w:pPr>
              <w:jc w:val="left"/>
            </w:pPr>
            <w:r>
              <w:rPr>
                <w:b w:val="false"/>
                <w:bCs w:val="false"/>
                <w:color w:val="000000"/>
              </w:rPr>
              <w:t xml:space="preserve">fraud_reported (Y/N)</w:t>
            </w:r>
          </w:p>
        </w:tc>
      </w:tr>
      <w:tr>
        <w:trPr>
          <w:tblHeader w:val="false"/>
        </w:trPr>
        <w:tc>
          <w:tcPr>
            <w:tcW w:type="dxa" w:w="2400"/>
            <w:shd w:fill="F4F6F9" w:val="clear"/>
            <w:tcMar>
              <w:top w:type="dxa" w:w="100"/>
              <w:left w:type="dxa" w:w="120"/>
              <w:bottom w:type="dxa" w:w="100"/>
              <w:right w:type="dxa" w:w="120"/>
            </w:tcMar>
          </w:tcPr>
          <w:p>
            <w:pPr>
              <w:jc w:val="left"/>
            </w:pPr>
            <w:r>
              <w:rPr>
                <w:b w:val="false"/>
                <w:bCs w:val="false"/>
                <w:color w:val="000000"/>
              </w:rPr>
              <w:t xml:space="preserve">Key fields</w:t>
            </w:r>
          </w:p>
        </w:tc>
        <w:tc>
          <w:tcPr>
            <w:tcW w:type="dxa" w:w="7400"/>
            <w:shd w:fill="F4F6F9" w:val="clear"/>
            <w:tcMar>
              <w:top w:type="dxa" w:w="100"/>
              <w:left w:type="dxa" w:w="120"/>
              <w:bottom w:type="dxa" w:w="100"/>
              <w:right w:type="dxa" w:w="120"/>
            </w:tcMar>
          </w:tcPr>
          <w:p>
            <w:pPr>
              <w:jc w:val="left"/>
            </w:pPr>
            <w:r>
              <w:rPr>
                <w:b w:val="false"/>
                <w:bCs w:val="false"/>
                <w:color w:val="000000"/>
              </w:rPr>
              <w:t xml:space="preserve">Customer tenure, policy premium, incident type &amp; severity, claim amounts (injury/property/vehicle), witnesses, police report availability</w:t>
            </w:r>
          </w:p>
        </w:tc>
      </w:tr>
      <w:tr>
        <w:trPr>
          <w:tblHeader w:val="false"/>
        </w:trPr>
        <w:tc>
          <w:tcPr>
            <w:tcW w:type="dxa" w:w="2400"/>
            <w:shd w:fill="FFFFFF" w:val="clear"/>
            <w:tcMar>
              <w:top w:type="dxa" w:w="100"/>
              <w:left w:type="dxa" w:w="120"/>
              <w:bottom w:type="dxa" w:w="100"/>
              <w:right w:type="dxa" w:w="120"/>
            </w:tcMar>
          </w:tcPr>
          <w:p>
            <w:pPr>
              <w:jc w:val="left"/>
            </w:pPr>
            <w:r>
              <w:rPr>
                <w:b w:val="false"/>
                <w:bCs w:val="false"/>
                <w:color w:val="000000"/>
              </w:rPr>
              <w:t xml:space="preserve">Best for</w:t>
            </w:r>
          </w:p>
        </w:tc>
        <w:tc>
          <w:tcPr>
            <w:tcW w:type="dxa" w:w="7400"/>
            <w:shd w:fill="FFFFFF" w:val="clear"/>
            <w:tcMar>
              <w:top w:type="dxa" w:w="100"/>
              <w:left w:type="dxa" w:w="120"/>
              <w:bottom w:type="dxa" w:w="100"/>
              <w:right w:type="dxa" w:w="120"/>
            </w:tcMar>
          </w:tcPr>
          <w:p>
            <w:pPr>
              <w:jc w:val="left"/>
            </w:pPr>
            <w:r>
              <w:rPr>
                <w:b w:val="false"/>
                <w:bCs w:val="false"/>
                <w:color w:val="000000"/>
              </w:rPr>
              <w:t xml:space="preserve">Alternate/supplementary dataset, or for the agent's similar-claims retrieval knowledge base</w:t>
            </w:r>
          </w:p>
        </w:tc>
      </w:tr>
    </w:tbl>
    <w:p>
      <w:pPr>
        <w:spacing w:after="200"/>
      </w:pPr>
    </w:p>
    <w:p>
      <w:pPr>
        <w:pStyle w:val="Heading1"/>
        <w:spacing w:after="160" w:before="320"/>
      </w:pPr>
      <w:r>
        <w:rPr>
          <w:b/>
          <w:bCs/>
          <w:color w:val="1B2A4A"/>
        </w:rPr>
        <w:t xml:space="preserve">11. Dataset Links</w:t>
      </w:r>
    </w:p>
    <w:p>
      <w:pPr>
        <w:pStyle w:val="ListParagraph"/>
        <w:numPr>
          <w:ilvl w:val="0"/>
          <w:numId w:val="2"/>
        </w:numPr>
        <w:spacing w:after="80" w:line="280"/>
      </w:pPr>
      <w:r>
        <w:rPr>
          <w:b/>
          <w:bCs/>
        </w:rPr>
        <w:t xml:space="preserve">Vehicle Claim Fraud Detection (primary): </w:t>
      </w:r>
      <w:hyperlink w:history="1" r:id="rIdblnfspppf0kwlxkb_iv8s">
        <w:r>
          <w:rPr>
            <w:rStyle w:val="Hyperlink"/>
          </w:rPr>
          <w:t xml:space="preserve">https://www.kaggle.com/datasets/shivamb/vehicle-claim-fraud-detection</w:t>
        </w:r>
      </w:hyperlink>
    </w:p>
    <w:p>
      <w:pPr>
        <w:pStyle w:val="ListParagraph"/>
        <w:numPr>
          <w:ilvl w:val="0"/>
          <w:numId w:val="2"/>
        </w:numPr>
        <w:spacing w:after="80" w:line="280"/>
      </w:pPr>
      <w:r>
        <w:rPr>
          <w:b/>
          <w:bCs/>
        </w:rPr>
        <w:t xml:space="preserve">Auto Insurance Claims Data (supplementary): </w:t>
      </w:r>
      <w:hyperlink w:history="1" r:id="rIdfex57ngyuamiyazajemit">
        <w:r>
          <w:rPr>
            <w:rStyle w:val="Hyperlink"/>
          </w:rPr>
          <w:t xml:space="preserve">https://www.kaggle.com/datasets/buntyshah/auto-insurance-claims-data</w:t>
        </w:r>
      </w:hyperlink>
    </w:p>
    <w:p>
      <w:pPr>
        <w:pStyle w:val="ListParagraph"/>
        <w:numPr>
          <w:ilvl w:val="0"/>
          <w:numId w:val="2"/>
        </w:numPr>
        <w:spacing w:after="80" w:line="280"/>
      </w:pPr>
      <w:r>
        <w:rPr>
          <w:b/>
          <w:bCs/>
        </w:rPr>
        <w:t xml:space="preserve">Car Insurance Claim Prediction (optional alternate): </w:t>
      </w:r>
      <w:hyperlink w:history="1" r:id="rIdp1vx84vomnftipaqz7mxx">
        <w:r>
          <w:rPr>
            <w:rStyle w:val="Hyperlink"/>
          </w:rPr>
          <w:t xml:space="preserve">https://www.kaggle.com/datasets/ifteshanajnin/carinsuranceclaimprediction-classification</w:t>
        </w:r>
      </w:hyperlink>
    </w:p>
    <w:p>
      <w:pPr>
        <w:pStyle w:val="Heading1"/>
        <w:spacing w:after="160" w:before="320"/>
      </w:pPr>
      <w:r>
        <w:rPr>
          <w:b/>
          <w:bCs/>
          <w:color w:val="1B2A4A"/>
        </w:rPr>
        <w:t xml:space="preserve">12. Industry Reference</w:t>
      </w:r>
    </w:p>
    <w:p>
      <w:pPr>
        <w:spacing w:after="140" w:line="300"/>
      </w:pPr>
      <w:r>
        <w:t xml:space="preserve">This project direction reflects real industry practice: JPMorgan Chase runs 450+ AI use cases in production across fraud detection and risk mitigation, and its 2026 roadmap explicitly includes exploring agentic systems in payments; JPMorgan, Citi, and Wells Fargo are similarly using ML for anti-money-laundering and anomaly detection. Global IT/consulting firms such as TCS, Infosys, Wipro, Cognizant, Accenture, Capgemini, and HCLTech build comparable fraud and claims-automation systems for banking and insurance clients. Framing the project this way gives the team a credible, industry-grounded justification for the Idea Lab evaluation.</w:t>
      </w:r>
    </w:p>
    <w:p>
      <w:pPr>
        <w:pStyle w:val="Heading1"/>
        <w:spacing w:after="160" w:before="320"/>
      </w:pPr>
      <w:r>
        <w:rPr>
          <w:b/>
          <w:bCs/>
          <w:color w:val="1B2A4A"/>
        </w:rPr>
        <w:t xml:space="preserve">13. Expected Outcomes / Success Criteria</w:t>
      </w:r>
    </w:p>
    <w:p>
      <w:pPr>
        <w:pStyle w:val="ListParagraph"/>
        <w:numPr>
          <w:ilvl w:val="0"/>
          <w:numId w:val="2"/>
        </w:numPr>
        <w:spacing w:after="80" w:line="280"/>
      </w:pPr>
      <w:r>
        <w:t xml:space="preserve">ML/DL model achieves reasonable fraud-detection performance (target: Recall and Precision both meaningfully above the naive baseline, given class imbalance).</w:t>
      </w:r>
    </w:p>
    <w:p>
      <w:pPr>
        <w:pStyle w:val="ListParagraph"/>
        <w:numPr>
          <w:ilvl w:val="0"/>
          <w:numId w:val="2"/>
        </w:numPr>
        <w:spacing w:after="80" w:line="280"/>
      </w:pPr>
      <w:r>
        <w:t xml:space="preserve">Agent correctly retrieves relevant similar claims and produces a coherent, policy-consistent rationale for at least the majority of test claims.</w:t>
      </w:r>
    </w:p>
    <w:p>
      <w:pPr>
        <w:pStyle w:val="ListParagraph"/>
        <w:numPr>
          <w:ilvl w:val="0"/>
          <w:numId w:val="2"/>
        </w:numPr>
        <w:spacing w:after="80" w:line="280"/>
      </w:pPr>
      <w:r>
        <w:t xml:space="preserve">End-to-end pipeline runs on a sample of held-out claims without manual intervention, producing a reviewable recommendation for each.</w:t>
      </w:r>
    </w:p>
    <w:p>
      <w:pPr>
        <w:pStyle w:val="ListParagraph"/>
        <w:numPr>
          <w:ilvl w:val="0"/>
          <w:numId w:val="2"/>
        </w:numPr>
        <w:spacing w:after="80" w:line="280"/>
      </w:pPr>
      <w:r>
        <w:t xml:space="preserve">Dashboard allows an adjuster to view claim details, score, rationale, and record an approve/override decision.</w:t>
      </w:r>
    </w:p>
    <w:p>
      <w:pPr>
        <w:pStyle w:val="Heading1"/>
        <w:spacing w:after="160" w:before="320"/>
      </w:pPr>
      <w:r>
        <w:rPr>
          <w:b/>
          <w:bCs/>
          <w:color w:val="1B2A4A"/>
        </w:rPr>
        <w:t xml:space="preserve">14. Future Scope</w:t>
      </w:r>
    </w:p>
    <w:p>
      <w:pPr>
        <w:pStyle w:val="ListParagraph"/>
        <w:numPr>
          <w:ilvl w:val="0"/>
          <w:numId w:val="2"/>
        </w:numPr>
        <w:spacing w:after="80" w:line="280"/>
      </w:pPr>
      <w:r>
        <w:t xml:space="preserve">Extend to other insurance lines: health, life, or property claims.</w:t>
      </w:r>
    </w:p>
    <w:p>
      <w:pPr>
        <w:pStyle w:val="ListParagraph"/>
        <w:numPr>
          <w:ilvl w:val="0"/>
          <w:numId w:val="2"/>
        </w:numPr>
        <w:spacing w:after="80" w:line="280"/>
      </w:pPr>
      <w:r>
        <w:t xml:space="preserve">Add image/document analysis for claim photo or repair-estimate verification.</w:t>
      </w:r>
    </w:p>
    <w:p>
      <w:pPr>
        <w:pStyle w:val="ListParagraph"/>
        <w:numPr>
          <w:ilvl w:val="0"/>
          <w:numId w:val="2"/>
        </w:numPr>
        <w:spacing w:after="80" w:line="280"/>
      </w:pPr>
      <w:r>
        <w:t xml:space="preserve">Integrate multi-agent collaboration (e.g., a separate compliance-check agent working alongside the fraud-triage agent).</w:t>
      </w:r>
    </w:p>
    <w:p>
      <w:pPr>
        <w:pStyle w:val="ListParagraph"/>
        <w:numPr>
          <w:ilvl w:val="0"/>
          <w:numId w:val="2"/>
        </w:numPr>
        <w:spacing w:after="80" w:line="280"/>
      </w:pPr>
      <w:r>
        <w:t xml:space="preserve">Deploy on cloud infrastructure with a proper API layer for realistic system testing.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lnfspppf0kwlxkb_iv8s" Type="http://schemas.openxmlformats.org/officeDocument/2006/relationships/hyperlink" Target="https://www.kaggle.com/datasets/shivamb/vehicle-claim-fraud-detection" TargetMode="External"/><Relationship Id="rIdfex57ngyuamiyazajemit" Type="http://schemas.openxmlformats.org/officeDocument/2006/relationships/hyperlink" Target="https://www.kaggle.com/datasets/buntyshah/auto-insurance-claims-data" TargetMode="External"/><Relationship Id="rIdp1vx84vomnftipaqz7mxx" Type="http://schemas.openxmlformats.org/officeDocument/2006/relationships/hyperlink" Target="https://www.kaggle.com/datasets/ifteshanajnin/carinsuranceclaimprediction-classification" TargetMode="External"/><Relationship Id="rId7" Type="http://schemas.openxmlformats.org/officeDocument/2006/relationships/image" Target="media/8d8c2fbbb0723fd8fb284c27c293e14d1c546cb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2026-08-12T02:29:08.754Z</dcterms:created>
  <dcterms:modified xsi:type="dcterms:W3CDTF">2026-08-12T02:29:08.766Z</dcterms:modified>
</cp:coreProperties>
</file>

<file path=docProps/custom.xml><?xml version="1.0" encoding="utf-8"?>
<Properties xmlns="http://schemas.openxmlformats.org/officeDocument/2006/custom-properties" xmlns:vt="http://schemas.openxmlformats.org/officeDocument/2006/docPropsVTypes"/>
</file>