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RAMDEOBABA UNIVERSITY</w:t>
      </w:r>
      <w:r>
        <w:br/>
      </w:r>
      <w:r>
        <w:t xml:space="preserve">SCHOOL OF COMPUTER SCIENCE AND ENGINEERING</w:t>
      </w:r>
      <w:r>
        <w:br/>
      </w:r>
    </w:p>
    <w:tbl>
      <w:tblPr>
        <w:tblStyle w:val="FigureTable"/>
        <w:tblW w:type="auto" w:w="0"/>
        <w:tblLook w:firstRow="0" w:lastRow="0" w:firstColumn="0" w:lastColumn="0"/>
        <w:jc w:val="center"/>
      </w:tblPr>
      <w:tblGrid/>
      <w:tr/>
    </w:tbl>
    <w:p>
      <w:pPr>
        <w:pStyle w:val="FirstParagraph"/>
      </w:pPr>
      <w:r>
        <w:rPr>
          <w:bCs/>
          <w:b/>
        </w:rPr>
        <w:t xml:space="preserve">B.TECH PROJECT REPORT</w:t>
      </w:r>
      <w:r>
        <w:br/>
      </w:r>
      <w:r>
        <w:rPr>
          <w:bCs/>
          <w:b/>
        </w:rPr>
        <w:t xml:space="preserve">(IDEA Lab)</w:t>
      </w:r>
      <w:r>
        <w:br/>
      </w:r>
      <w:r>
        <w:t xml:space="preserve">ON</w:t>
      </w:r>
      <w:r>
        <w:br/>
      </w:r>
      <w:r>
        <w:rPr>
          <w:bCs/>
          <w:b/>
        </w:rPr>
        <w:t xml:space="preserve">AGENTIC AI — AUTONOMOUS INSURANCE</w:t>
      </w:r>
      <w:r>
        <w:br/>
      </w:r>
      <w:r>
        <w:rPr>
          <w:bCs/>
          <w:b/>
        </w:rPr>
        <w:t xml:space="preserve">CLAIMS FRAUD DETECTION SYSTEM</w:t>
      </w:r>
      <w:r>
        <w:br/>
      </w:r>
      <w:r>
        <w:rPr>
          <w:bCs/>
          <w:b/>
        </w:rPr>
        <w:t xml:space="preserve">Submitted by</w:t>
      </w:r>
      <w:r>
        <w:br/>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Apeksha Sharma</w:t>
            </w:r>
          </w:p>
        </w:tc>
        <w:tc>
          <w:tcPr/>
          <w:p>
            <w:pPr>
              <w:pStyle w:val="Compact"/>
              <w:jc w:val="left"/>
            </w:pPr>
            <w:r>
              <w:t xml:space="preserve">(Roll No. ________)</w:t>
            </w:r>
          </w:p>
        </w:tc>
      </w:tr>
      <w:tr>
        <w:tc>
          <w:tcPr/>
          <w:p>
            <w:pPr>
              <w:pStyle w:val="Compact"/>
              <w:jc w:val="left"/>
            </w:pPr>
            <w:r>
              <w:t xml:space="preserve">Gunjal Mandawkar</w:t>
            </w:r>
          </w:p>
        </w:tc>
        <w:tc>
          <w:tcPr/>
          <w:p>
            <w:pPr>
              <w:pStyle w:val="Compact"/>
              <w:jc w:val="left"/>
            </w:pPr>
            <w:r>
              <w:t xml:space="preserve">(Roll No. ________)</w:t>
            </w:r>
          </w:p>
        </w:tc>
      </w:tr>
      <w:tr>
        <w:tc>
          <w:tcPr/>
          <w:p>
            <w:pPr>
              <w:pStyle w:val="Compact"/>
              <w:jc w:val="left"/>
            </w:pPr>
            <w:r>
              <w:t xml:space="preserve">Vaishnavi Singh</w:t>
            </w:r>
          </w:p>
        </w:tc>
        <w:tc>
          <w:tcPr/>
          <w:p>
            <w:pPr>
              <w:pStyle w:val="Compact"/>
              <w:jc w:val="left"/>
            </w:pPr>
            <w:r>
              <w:t xml:space="preserve">(Roll No. ________)</w:t>
            </w:r>
          </w:p>
        </w:tc>
      </w:tr>
      <w:tr>
        <w:tc>
          <w:tcPr/>
          <w:p>
            <w:pPr>
              <w:pStyle w:val="Compact"/>
              <w:jc w:val="left"/>
            </w:pPr>
            <w:r>
              <w:t xml:space="preserve">Vidhita Bais</w:t>
            </w:r>
          </w:p>
        </w:tc>
        <w:tc>
          <w:tcPr/>
          <w:p>
            <w:pPr>
              <w:pStyle w:val="Compact"/>
              <w:jc w:val="left"/>
            </w:pPr>
            <w:r>
              <w:t xml:space="preserve">(Roll No. ________)</w:t>
            </w:r>
          </w:p>
        </w:tc>
      </w:tr>
    </w:tbl>
    <w:p>
      <w:pPr>
        <w:pStyle w:val="BodyText"/>
      </w:pPr>
      <w:r>
        <w:br/>
      </w:r>
      <w:r>
        <w:rPr>
          <w:bCs/>
          <w:b/>
        </w:rPr>
        <w:t xml:space="preserve">Under the Guidance of</w:t>
      </w:r>
      <w:r>
        <w:br/>
      </w:r>
      <w:r>
        <w:rPr>
          <w:bCs/>
          <w:b/>
        </w:rPr>
        <w:t xml:space="preserve">Prof./Dr. Guide Name</w:t>
      </w:r>
      <w:r>
        <w:br/>
      </w:r>
      <w:r>
        <w:rPr>
          <w:bCs/>
          <w:b/>
        </w:rPr>
        <w:t xml:space="preserve">Academic Year: 2026 – 2027</w:t>
      </w:r>
    </w:p>
    <w:bookmarkStart w:id="20" w:name="student-declaration"/>
    <w:p>
      <w:pPr>
        <w:pStyle w:val="Heading1"/>
      </w:pPr>
      <w:r>
        <w:t xml:space="preserve">Student Declaration</w:t>
      </w:r>
    </w:p>
    <w:p>
      <w:pPr>
        <w:pStyle w:val="FirstParagraph"/>
      </w:pPr>
      <w:r>
        <w:t xml:space="preserve">We hereby declare that the project report entitled</w:t>
      </w:r>
      <w:r>
        <w:t xml:space="preserve"> </w:t>
      </w:r>
      <w:r>
        <w:rPr>
          <w:iCs/>
          <w:i/>
        </w:rPr>
        <w:t xml:space="preserve">“</w:t>
      </w:r>
      <w:r>
        <w:rPr>
          <w:iCs/>
          <w:i/>
        </w:rPr>
        <w:t xml:space="preserve">Agentic AI — Autonomous Insurance Claims Fraud Detection System</w:t>
      </w:r>
      <w:r>
        <w:rPr>
          <w:iCs/>
          <w:i/>
        </w:rPr>
        <w:t xml:space="preserve">”</w:t>
      </w:r>
      <w:r>
        <w:t xml:space="preserve"> </w:t>
      </w:r>
      <w:r>
        <w:t xml:space="preserve">is submitted as part of the requirements for the B.Tech programme at Ramdeobaba University.</w:t>
      </w:r>
    </w:p>
    <w:p>
      <w:pPr>
        <w:pStyle w:val="BodyText"/>
      </w:pPr>
      <w:r>
        <w:t xml:space="preserve">The work presented in this report is prepared by the undersigned students under the guidance of the project supervisor. All external sources, datasets, software tools, figures and technical material used in the project have been appropriately acknowledged.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Apeksha Sharma</w:t>
            </w:r>
          </w:p>
        </w:tc>
        <w:tc>
          <w:tcPr/>
          <w:p>
            <w:pPr>
              <w:pStyle w:val="Compact"/>
              <w:jc w:val="left"/>
            </w:pPr>
            <w:r>
              <w:t xml:space="preserve">Roll No. __________</w:t>
            </w:r>
          </w:p>
        </w:tc>
      </w:tr>
      <w:tr>
        <w:tc>
          <w:tcPr/>
          <w:p>
            <w:pPr>
              <w:pStyle w:val="Compact"/>
              <w:jc w:val="left"/>
            </w:pPr>
            <w:r>
              <w:t xml:space="preserve">Gunjal Mandawkar</w:t>
            </w:r>
          </w:p>
        </w:tc>
        <w:tc>
          <w:tcPr/>
          <w:p>
            <w:pPr>
              <w:pStyle w:val="Compact"/>
              <w:jc w:val="left"/>
            </w:pPr>
            <w:r>
              <w:t xml:space="preserve">Roll No. __________</w:t>
            </w:r>
          </w:p>
        </w:tc>
      </w:tr>
      <w:tr>
        <w:tc>
          <w:tcPr/>
          <w:p>
            <w:pPr>
              <w:pStyle w:val="Compact"/>
              <w:jc w:val="left"/>
            </w:pPr>
            <w:r>
              <w:t xml:space="preserve">Vaishnavi Singh</w:t>
            </w:r>
          </w:p>
        </w:tc>
        <w:tc>
          <w:tcPr/>
          <w:p>
            <w:pPr>
              <w:pStyle w:val="Compact"/>
              <w:jc w:val="left"/>
            </w:pPr>
            <w:r>
              <w:t xml:space="preserve">Roll No. __________</w:t>
            </w:r>
          </w:p>
        </w:tc>
      </w:tr>
      <w:tr>
        <w:tc>
          <w:tcPr/>
          <w:p>
            <w:pPr>
              <w:pStyle w:val="Compact"/>
              <w:jc w:val="left"/>
            </w:pPr>
            <w:r>
              <w:t xml:space="preserve">Vidhita Bais</w:t>
            </w:r>
          </w:p>
        </w:tc>
        <w:tc>
          <w:tcPr/>
          <w:p>
            <w:pPr>
              <w:pStyle w:val="Compact"/>
              <w:jc w:val="left"/>
            </w:pPr>
            <w:r>
              <w:t xml:space="preserve">Roll No. __________</w:t>
            </w:r>
          </w:p>
        </w:tc>
      </w:tr>
    </w:tbl>
    <w:bookmarkEnd w:id="20"/>
    <w:bookmarkStart w:id="21" w:name="acknowledgement"/>
    <w:p>
      <w:pPr>
        <w:pStyle w:val="Heading1"/>
      </w:pPr>
      <w:r>
        <w:t xml:space="preserve">Acknowledgement</w:t>
      </w:r>
    </w:p>
    <w:p>
      <w:pPr>
        <w:pStyle w:val="FirstParagraph"/>
      </w:pPr>
      <w:r>
        <w:t xml:space="preserve">We express our sincere gratitude to Ramdeobaba University and the School of Computer Science and Engineering for providing the academic environment and facilities required to complete this project.</w:t>
      </w:r>
    </w:p>
    <w:p>
      <w:pPr>
        <w:pStyle w:val="BodyText"/>
      </w:pPr>
      <w:r>
        <w:t xml:space="preserve">We are grateful to our project guide for continuous guidance, technical suggestions and constructive feedback throughout the project. We also thank the Project In-Charge, Associate Head and Dean, School of Computer Science and Engineering, for their support.</w:t>
      </w:r>
    </w:p>
    <w:p>
      <w:pPr>
        <w:pStyle w:val="BodyText"/>
      </w:pPr>
      <w:r>
        <w:t xml:space="preserve">We acknowledge the support of our classmates, laboratory staff, friends and family members who contributed directly or indirectly to the completion of this work.</w:t>
      </w:r>
    </w:p>
    <w:bookmarkEnd w:id="21"/>
    <w:bookmarkStart w:id="22" w:name="abstract"/>
    <w:p>
      <w:pPr>
        <w:pStyle w:val="Heading1"/>
      </w:pPr>
      <w:r>
        <w:t xml:space="preserve">Abstract</w:t>
      </w:r>
    </w:p>
    <w:p>
      <w:pPr>
        <w:pStyle w:val="FirstParagraph"/>
      </w:pPr>
      <w:r>
        <w:t xml:space="preserve">Insurance claims fraud costs the industry billions of dollars annually, yet the extreme class imbalance inherent in fraud datasets—typically around 6% positive rate—renders simple rule-based systems and naive classifiers ineffective. This project presents</w:t>
      </w:r>
      <w:r>
        <w:t xml:space="preserve"> </w:t>
      </w:r>
      <w:r>
        <w:rPr>
          <w:bCs/>
          <w:b/>
        </w:rPr>
        <w:t xml:space="preserve">Fraud Oracle</w:t>
      </w:r>
      <w:r>
        <w:t xml:space="preserve">, an end-to-end autonomous insurance claims triage system that combines a calibrated gradient-boosted decision tree (LightGBM) with an agentic AI orchestrator built on LangGraph.</w:t>
      </w:r>
    </w:p>
    <w:p>
      <w:pPr>
        <w:pStyle w:val="BodyText"/>
      </w:pPr>
      <w:r>
        <w:t xml:space="preserve">The machine learning model achieves</w:t>
      </w:r>
      <w:r>
        <w:t xml:space="preserve"> </w:t>
      </w:r>
      <w:r>
        <w:rPr>
          <w:bCs/>
          <w:b/>
        </w:rPr>
        <w:t xml:space="preserve">0.874 ROC-AUC</w:t>
      </w:r>
      <w:r>
        <w:t xml:space="preserve"> </w:t>
      </w:r>
      <w:r>
        <w:t xml:space="preserve">and</w:t>
      </w:r>
      <w:r>
        <w:t xml:space="preserve"> </w:t>
      </w:r>
      <w:r>
        <w:rPr>
          <w:bCs/>
          <w:b/>
        </w:rPr>
        <w:t xml:space="preserve">79% recall</w:t>
      </w:r>
      <w:r>
        <w:t xml:space="preserve"> </w:t>
      </w:r>
      <w:r>
        <w:t xml:space="preserve">on a held-out test set of 2,313 real vehicle insurance claims, with Platt-calibrated probability outputs (Brier score 0.049) and TreeSHAP explainability. The agentic pipeline implements an 8-step workflow—from claim ingestion through validation, ML scoring, multi-tool investigation via a ReAct loop, evidence aggregation, synthesis, code-enforced guardrails, to human review—producing structured triage decisions across three categories:</w:t>
      </w:r>
      <w:r>
        <w:t xml:space="preserve"> </w:t>
      </w:r>
      <w:r>
        <w:rPr>
          <w:iCs/>
          <w:i/>
        </w:rPr>
        <w:t xml:space="preserve">Approve</w:t>
      </w:r>
      <w:r>
        <w:t xml:space="preserve">,</w:t>
      </w:r>
      <w:r>
        <w:t xml:space="preserve"> </w:t>
      </w:r>
      <w:r>
        <w:rPr>
          <w:iCs/>
          <w:i/>
        </w:rPr>
        <w:t xml:space="preserve">Flag for Investigation</w:t>
      </w:r>
      <w:r>
        <w:t xml:space="preserve">, and</w:t>
      </w:r>
      <w:r>
        <w:t xml:space="preserve"> </w:t>
      </w:r>
      <w:r>
        <w:rPr>
          <w:iCs/>
          <w:i/>
        </w:rPr>
        <w:t xml:space="preserve">Request More Information</w:t>
      </w:r>
      <w:r>
        <w:t xml:space="preserve">.</w:t>
      </w:r>
    </w:p>
    <w:p>
      <w:pPr>
        <w:pStyle w:val="BodyText"/>
      </w:pPr>
      <w:r>
        <w:t xml:space="preserve">Eight guardrails are enforced in code (not prompts) to ensure safety: the system never denies a claim, high-risk claims are never auto-approved, every evidence fact traces to its source tool, and every recommendation requires human adjuster sign-off. Offline evaluation demonstrates 100% consistency across repeated runs with zero processing errors.</w:t>
      </w:r>
    </w:p>
    <w:p>
      <w:pPr>
        <w:pStyle w:val="BodyText"/>
      </w:pPr>
      <w:r>
        <w:rPr>
          <w:bCs/>
          <w:b/>
        </w:rPr>
        <w:t xml:space="preserve">Keywords:</w:t>
      </w:r>
      <w:r>
        <w:t xml:space="preserve"> </w:t>
      </w:r>
      <w:r>
        <w:t xml:space="preserve">Insurance Fraud Detection, Agentic AI, LangGraph, Gradient Boosting, LightGBM, Class Imbalance, SHAP Explainability, Human-in-the-Loop, ReAct Agent</w:t>
      </w:r>
    </w:p>
    <w:bookmarkEnd w:id="22"/>
    <w:bookmarkStart w:id="23" w:name="list-of-abbreviations"/>
    <w:p>
      <w:pPr>
        <w:pStyle w:val="Heading1"/>
      </w:pPr>
      <w:r>
        <w:t xml:space="preserve">List of 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Abbreviation</w:t>
            </w:r>
          </w:p>
        </w:tc>
        <w:tc>
          <w:tcPr/>
          <w:p>
            <w:pPr>
              <w:pStyle w:val="Compact"/>
              <w:jc w:val="left"/>
            </w:pPr>
            <w:r>
              <w:rPr>
                <w:bCs/>
                <w:b/>
              </w:rPr>
              <w:t xml:space="preserve">Meaning</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AUC</w:t>
            </w:r>
          </w:p>
        </w:tc>
        <w:tc>
          <w:tcPr/>
          <w:p>
            <w:pPr>
              <w:pStyle w:val="Compact"/>
              <w:jc w:val="left"/>
            </w:pPr>
            <w:r>
              <w:t xml:space="preserve">Area Under the Curve</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EDA</w:t>
            </w:r>
          </w:p>
        </w:tc>
        <w:tc>
          <w:tcPr/>
          <w:p>
            <w:pPr>
              <w:pStyle w:val="Compact"/>
              <w:jc w:val="left"/>
            </w:pPr>
            <w:r>
              <w:t xml:space="preserve">Exploratory Data Analysis</w:t>
            </w:r>
          </w:p>
        </w:tc>
      </w:tr>
      <w:tr>
        <w:tc>
          <w:tcPr/>
          <w:p>
            <w:pPr>
              <w:pStyle w:val="Compact"/>
              <w:jc w:val="left"/>
            </w:pPr>
            <w:r>
              <w:t xml:space="preserve">FAISS</w:t>
            </w:r>
          </w:p>
        </w:tc>
        <w:tc>
          <w:tcPr/>
          <w:p>
            <w:pPr>
              <w:pStyle w:val="Compact"/>
              <w:jc w:val="left"/>
            </w:pPr>
            <w:r>
              <w:t xml:space="preserve">Facebook AI Similarity Search</w:t>
            </w:r>
          </w:p>
        </w:tc>
      </w:tr>
      <w:tr>
        <w:tc>
          <w:tcPr/>
          <w:p>
            <w:pPr>
              <w:pStyle w:val="Compact"/>
              <w:jc w:val="left"/>
            </w:pPr>
            <w:r>
              <w:t xml:space="preserve">FPR</w:t>
            </w:r>
          </w:p>
        </w:tc>
        <w:tc>
          <w:tcPr/>
          <w:p>
            <w:pPr>
              <w:pStyle w:val="Compact"/>
              <w:jc w:val="left"/>
            </w:pPr>
            <w:r>
              <w:t xml:space="preserve">False Positive Rate</w:t>
            </w:r>
          </w:p>
        </w:tc>
      </w:tr>
      <w:tr>
        <w:tc>
          <w:tcPr/>
          <w:p>
            <w:pPr>
              <w:pStyle w:val="Compact"/>
              <w:jc w:val="left"/>
            </w:pPr>
            <w:r>
              <w:t xml:space="preserve">GBDT</w:t>
            </w:r>
          </w:p>
        </w:tc>
        <w:tc>
          <w:tcPr/>
          <w:p>
            <w:pPr>
              <w:pStyle w:val="Compact"/>
              <w:jc w:val="left"/>
            </w:pPr>
            <w:r>
              <w:t xml:space="preserve">Gradient-Boosted Decision Trees</w:t>
            </w:r>
          </w:p>
        </w:tc>
      </w:tr>
      <w:tr>
        <w:tc>
          <w:tcPr/>
          <w:p>
            <w:pPr>
              <w:pStyle w:val="Compact"/>
              <w:jc w:val="left"/>
            </w:pPr>
            <w:r>
              <w:t xml:space="preserve">IoT</w:t>
            </w:r>
          </w:p>
        </w:tc>
        <w:tc>
          <w:tcPr/>
          <w:p>
            <w:pPr>
              <w:pStyle w:val="Compact"/>
              <w:jc w:val="left"/>
            </w:pPr>
            <w:r>
              <w:t xml:space="preserve">Internet of Things</w:t>
            </w:r>
          </w:p>
        </w:tc>
      </w:tr>
      <w:tr>
        <w:tc>
          <w:tcPr/>
          <w:p>
            <w:pPr>
              <w:pStyle w:val="Compact"/>
              <w:jc w:val="left"/>
            </w:pPr>
            <w:r>
              <w:t xml:space="preserve">IV</w:t>
            </w:r>
          </w:p>
        </w:tc>
        <w:tc>
          <w:tcPr/>
          <w:p>
            <w:pPr>
              <w:pStyle w:val="Compact"/>
              <w:jc w:val="left"/>
            </w:pPr>
            <w:r>
              <w:t xml:space="preserve">Information Value</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MAE</w:t>
            </w:r>
          </w:p>
        </w:tc>
        <w:tc>
          <w:tcPr/>
          <w:p>
            <w:pPr>
              <w:pStyle w:val="Compact"/>
              <w:jc w:val="left"/>
            </w:pPr>
            <w:r>
              <w:t xml:space="preserve">Mean Absolute Error</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MLP</w:t>
            </w:r>
          </w:p>
        </w:tc>
        <w:tc>
          <w:tcPr/>
          <w:p>
            <w:pPr>
              <w:pStyle w:val="Compact"/>
              <w:jc w:val="left"/>
            </w:pPr>
            <w:r>
              <w:t xml:space="preserve">Multi-Layer Perceptron</w:t>
            </w:r>
          </w:p>
        </w:tc>
      </w:tr>
      <w:tr>
        <w:tc>
          <w:tcPr/>
          <w:p>
            <w:pPr>
              <w:pStyle w:val="Compact"/>
              <w:jc w:val="left"/>
            </w:pPr>
            <w:r>
              <w:t xml:space="preserve">PR-AUC</w:t>
            </w:r>
          </w:p>
        </w:tc>
        <w:tc>
          <w:tcPr/>
          <w:p>
            <w:pPr>
              <w:pStyle w:val="Compact"/>
              <w:jc w:val="left"/>
            </w:pPr>
            <w:r>
              <w:t xml:space="preserve">Precision–Recall Area Under the Curve</w:t>
            </w:r>
          </w:p>
        </w:tc>
      </w:tr>
      <w:tr>
        <w:tc>
          <w:tcPr/>
          <w:p>
            <w:pPr>
              <w:pStyle w:val="Compact"/>
              <w:jc w:val="left"/>
            </w:pPr>
            <w:r>
              <w:t xml:space="preserve">RBU</w:t>
            </w:r>
          </w:p>
        </w:tc>
        <w:tc>
          <w:tcPr/>
          <w:p>
            <w:pPr>
              <w:pStyle w:val="Compact"/>
              <w:jc w:val="left"/>
            </w:pPr>
            <w:r>
              <w:t xml:space="preserve">Ramdeobaba University</w:t>
            </w:r>
          </w:p>
        </w:tc>
      </w:tr>
      <w:tr>
        <w:tc>
          <w:tcPr/>
          <w:p>
            <w:pPr>
              <w:pStyle w:val="Compact"/>
              <w:jc w:val="left"/>
            </w:pPr>
            <w:r>
              <w:t xml:space="preserve">ReAct</w:t>
            </w:r>
          </w:p>
        </w:tc>
        <w:tc>
          <w:tcPr/>
          <w:p>
            <w:pPr>
              <w:pStyle w:val="Compact"/>
              <w:jc w:val="left"/>
            </w:pPr>
            <w:r>
              <w:t xml:space="preserve">Reason + Act (agent pattern)</w:t>
            </w:r>
          </w:p>
        </w:tc>
      </w:tr>
      <w:tr>
        <w:tc>
          <w:tcPr/>
          <w:p>
            <w:pPr>
              <w:pStyle w:val="Compact"/>
              <w:jc w:val="left"/>
            </w:pPr>
            <w:r>
              <w:t xml:space="preserve">ROC</w:t>
            </w:r>
          </w:p>
        </w:tc>
        <w:tc>
          <w:tcPr/>
          <w:p>
            <w:pPr>
              <w:pStyle w:val="Compact"/>
              <w:jc w:val="left"/>
            </w:pPr>
            <w:r>
              <w:t xml:space="preserve">Receiver Operating Characteristic</w:t>
            </w:r>
          </w:p>
        </w:tc>
      </w:tr>
      <w:tr>
        <w:tc>
          <w:tcPr/>
          <w:p>
            <w:pPr>
              <w:pStyle w:val="Compact"/>
              <w:jc w:val="left"/>
            </w:pPr>
            <w:r>
              <w:t xml:space="preserve">SHAP</w:t>
            </w:r>
          </w:p>
        </w:tc>
        <w:tc>
          <w:tcPr/>
          <w:p>
            <w:pPr>
              <w:pStyle w:val="Compact"/>
              <w:jc w:val="left"/>
            </w:pPr>
            <w:r>
              <w:t xml:space="preserve">SHapley Additive exPlanations</w:t>
            </w:r>
          </w:p>
        </w:tc>
      </w:tr>
      <w:tr>
        <w:tc>
          <w:tcPr/>
          <w:p>
            <w:pPr>
              <w:pStyle w:val="Compact"/>
              <w:jc w:val="left"/>
            </w:pPr>
            <w:r>
              <w:t xml:space="preserve">SMOTE</w:t>
            </w:r>
          </w:p>
        </w:tc>
        <w:tc>
          <w:tcPr/>
          <w:p>
            <w:pPr>
              <w:pStyle w:val="Compact"/>
              <w:jc w:val="left"/>
            </w:pPr>
            <w:r>
              <w:t xml:space="preserve">Synthetic Minority Over-sampling Technique</w:t>
            </w:r>
          </w:p>
        </w:tc>
      </w:tr>
      <w:tr>
        <w:tc>
          <w:tcPr/>
          <w:p>
            <w:pPr>
              <w:pStyle w:val="Compact"/>
              <w:jc w:val="left"/>
            </w:pPr>
            <w:r>
              <w:t xml:space="preserve">TRTR</w:t>
            </w:r>
          </w:p>
        </w:tc>
        <w:tc>
          <w:tcPr/>
          <w:p>
            <w:pPr>
              <w:pStyle w:val="Compact"/>
              <w:jc w:val="left"/>
            </w:pPr>
            <w:r>
              <w:t xml:space="preserve">Train on Real, Test on Real</w:t>
            </w:r>
          </w:p>
        </w:tc>
      </w:tr>
      <w:tr>
        <w:tc>
          <w:tcPr/>
          <w:p>
            <w:pPr>
              <w:pStyle w:val="Compact"/>
              <w:jc w:val="left"/>
            </w:pPr>
            <w:r>
              <w:t xml:space="preserve">TSTR</w:t>
            </w:r>
          </w:p>
        </w:tc>
        <w:tc>
          <w:tcPr/>
          <w:p>
            <w:pPr>
              <w:pStyle w:val="Compact"/>
              <w:jc w:val="left"/>
            </w:pPr>
            <w:r>
              <w:t xml:space="preserve">Train on Synthetic, Test on Real</w:t>
            </w:r>
          </w:p>
        </w:tc>
      </w:tr>
      <w:tr>
        <w:tc>
          <w:tcPr/>
          <w:p>
            <w:pPr>
              <w:pStyle w:val="Compact"/>
              <w:jc w:val="left"/>
            </w:pPr>
            <w:r>
              <w:t xml:space="preserve">TVD</w:t>
            </w:r>
          </w:p>
        </w:tc>
        <w:tc>
          <w:tcPr/>
          <w:p>
            <w:pPr>
              <w:pStyle w:val="Compact"/>
              <w:jc w:val="left"/>
            </w:pPr>
            <w:r>
              <w:t xml:space="preserve">Total Variation Distance</w:t>
            </w:r>
          </w:p>
        </w:tc>
      </w:tr>
    </w:tbl>
    <w:bookmarkEnd w:id="23"/>
    <w:bookmarkStart w:id="29" w:name="ch:intro"/>
    <w:p>
      <w:pPr>
        <w:pStyle w:val="Heading1"/>
      </w:pPr>
      <w:r>
        <w:rPr>
          <w:rStyle w:val="SectionNumber"/>
        </w:rPr>
        <w:t xml:space="preserve">1</w:t>
      </w:r>
      <w:r>
        <w:tab/>
      </w:r>
      <w:r>
        <w:t xml:space="preserve">Introduction</w:t>
      </w:r>
    </w:p>
    <w:bookmarkStart w:id="24" w:name="background"/>
    <w:p>
      <w:pPr>
        <w:pStyle w:val="Heading2"/>
      </w:pPr>
      <w:r>
        <w:rPr>
          <w:rStyle w:val="SectionNumber"/>
        </w:rPr>
        <w:t xml:space="preserve">1.1</w:t>
      </w:r>
      <w:r>
        <w:tab/>
      </w:r>
      <w:r>
        <w:t xml:space="preserve">Background</w:t>
      </w:r>
    </w:p>
    <w:p>
      <w:pPr>
        <w:pStyle w:val="FirstParagraph"/>
      </w:pPr>
      <w:r>
        <w:t xml:space="preserve">Insurance fraud is a pervasive problem affecting the global insurance industry. According to industry estimates, fraudulent claims account for 5–10% of all claims by volume but represent a disproportionately large share of claim payouts. Vehicle insurance, with its high claim frequency and standardised claim structures, is particularly vulnerable to opportunistic and organised fraud.</w:t>
      </w:r>
    </w:p>
    <w:p>
      <w:pPr>
        <w:pStyle w:val="BodyText"/>
      </w:pPr>
      <w:r>
        <w:t xml:space="preserve">Traditional fraud detection relies on manually crafted business rules and periodic audits. While domain experts can identify obvious red flags—such as at-fault claims on liability-only policies or unusually high-value claims from new policyholders—these rules fail to capture complex, multi-feature interactions that characterise sophisticated fraud. Statistical classifiers offer a data-driven alternative but face the fundamental challenge of</w:t>
      </w:r>
      <w:r>
        <w:t xml:space="preserve"> </w:t>
      </w:r>
      <w:r>
        <w:rPr>
          <w:bCs/>
          <w:b/>
        </w:rPr>
        <w:t xml:space="preserve">extreme class imbalance</w:t>
      </w:r>
      <w:r>
        <w:t xml:space="preserve">: with a 6% fraud rate, a classifier that predicts</w:t>
      </w:r>
      <w:r>
        <w:t xml:space="preserve"> </w:t>
      </w:r>
      <w:r>
        <w:t xml:space="preserve">“</w:t>
      </w:r>
      <w:r>
        <w:t xml:space="preserve">legitimate</w:t>
      </w:r>
      <w:r>
        <w:t xml:space="preserve">”</w:t>
      </w:r>
      <w:r>
        <w:t xml:space="preserve"> </w:t>
      </w:r>
      <w:r>
        <w:t xml:space="preserve">for every claim achieves 94% accuracy yet catches zero fraud.</w:t>
      </w:r>
    </w:p>
    <w:p>
      <w:pPr>
        <w:pStyle w:val="BodyText"/>
      </w:pPr>
      <w:r>
        <w:t xml:space="preserve">Recent advances in large language models (LLMs) and agent frameworks have introduced a new paradigm:</w:t>
      </w:r>
      <w:r>
        <w:t xml:space="preserve"> </w:t>
      </w:r>
      <w:r>
        <w:rPr>
          <w:bCs/>
          <w:b/>
        </w:rPr>
        <w:t xml:space="preserve">agentic AI</w:t>
      </w:r>
      <w:r>
        <w:t xml:space="preserve">, where an autonomous orchestrator dynamically selects and executes specialised tools to investigate each claim. This project combines the statistical power of gradient-boosted models with the reasoning capability of an LLM agent, bridging the gap between raw prediction and actionable, explainable triage decisions.</w:t>
      </w:r>
    </w:p>
    <w:bookmarkEnd w:id="24"/>
    <w:bookmarkStart w:id="25" w:name="problem-statement"/>
    <w:p>
      <w:pPr>
        <w:pStyle w:val="Heading2"/>
      </w:pPr>
      <w:r>
        <w:rPr>
          <w:rStyle w:val="SectionNumber"/>
        </w:rPr>
        <w:t xml:space="preserve">1.2</w:t>
      </w:r>
      <w:r>
        <w:tab/>
      </w:r>
      <w:r>
        <w:t xml:space="preserve">Problem Statement</w:t>
      </w:r>
    </w:p>
    <w:p>
      <w:pPr>
        <w:pStyle w:val="FirstParagraph"/>
      </w:pPr>
      <w:r>
        <w:t xml:space="preserve">The problem addressed by this project is threefold:</w:t>
      </w:r>
    </w:p>
    <w:p>
      <w:pPr>
        <w:numPr>
          <w:ilvl w:val="0"/>
          <w:numId w:val="1001"/>
        </w:numPr>
      </w:pPr>
      <w:r>
        <w:rPr>
          <w:bCs/>
          <w:b/>
        </w:rPr>
        <w:t xml:space="preserve">Detection:</w:t>
      </w:r>
      <w:r>
        <w:t xml:space="preserve"> </w:t>
      </w:r>
      <w:r>
        <w:t xml:space="preserve">Build a machine learning model that reliably separates fraudulent from legitimate vehicle insurance claims despite the 6% base rate, without inflating false positives to an operationally unacceptable level.</w:t>
      </w:r>
    </w:p>
    <w:p>
      <w:pPr>
        <w:numPr>
          <w:ilvl w:val="0"/>
          <w:numId w:val="1001"/>
        </w:numPr>
      </w:pPr>
      <w:r>
        <w:rPr>
          <w:bCs/>
          <w:b/>
        </w:rPr>
        <w:t xml:space="preserve">Investigation:</w:t>
      </w:r>
      <w:r>
        <w:t xml:space="preserve"> </w:t>
      </w:r>
      <w:r>
        <w:t xml:space="preserve">Develop an autonomous agent that, given a claim, runs a multi-step investigation workflow—scoring, explanation, policy verification, similar-claims retrieval and claimant history checks—and synthesises the evidence into a coherent, grounded recommendation.</w:t>
      </w:r>
    </w:p>
    <w:p>
      <w:pPr>
        <w:numPr>
          <w:ilvl w:val="0"/>
          <w:numId w:val="1001"/>
        </w:numPr>
      </w:pPr>
      <w:r>
        <w:rPr>
          <w:bCs/>
          <w:b/>
        </w:rPr>
        <w:t xml:space="preserve">Safety:</w:t>
      </w:r>
      <w:r>
        <w:t xml:space="preserve"> </w:t>
      </w:r>
      <w:r>
        <w:t xml:space="preserve">Ensure the system never denies a claim, always requires human review, traces every assertion to its source, and degrades gracefully when the LLM is unavailable.</w:t>
      </w:r>
    </w:p>
    <w:bookmarkEnd w:id="25"/>
    <w:bookmarkStart w:id="26" w:name="objectives"/>
    <w:p>
      <w:pPr>
        <w:pStyle w:val="Heading2"/>
      </w:pPr>
      <w:r>
        <w:rPr>
          <w:rStyle w:val="SectionNumber"/>
        </w:rPr>
        <w:t xml:space="preserve">1.3</w:t>
      </w:r>
      <w:r>
        <w:tab/>
      </w:r>
      <w:r>
        <w:t xml:space="preserve">Objectives</w:t>
      </w:r>
    </w:p>
    <w:p>
      <w:pPr>
        <w:numPr>
          <w:ilvl w:val="0"/>
          <w:numId w:val="1002"/>
        </w:numPr>
      </w:pPr>
      <w:r>
        <w:t xml:space="preserve">Train and calibrate a fraud-scoring model that outputs true probabilities with precision and recall meaningfully above the naive baseline.</w:t>
      </w:r>
    </w:p>
    <w:p>
      <w:pPr>
        <w:numPr>
          <w:ilvl w:val="0"/>
          <w:numId w:val="1002"/>
        </w:numPr>
      </w:pPr>
      <w:r>
        <w:t xml:space="preserve">Build a LangGraph-based autonomous orchestrator with at least six specialised tools.</w:t>
      </w:r>
    </w:p>
    <w:p>
      <w:pPr>
        <w:numPr>
          <w:ilvl w:val="0"/>
          <w:numId w:val="1002"/>
        </w:numPr>
      </w:pPr>
      <w:r>
        <w:t xml:space="preserve">Implement code-enforced guardrails that guarantee safety invariants independent of LLM behaviour.</w:t>
      </w:r>
    </w:p>
    <w:p>
      <w:pPr>
        <w:numPr>
          <w:ilvl w:val="0"/>
          <w:numId w:val="1002"/>
        </w:numPr>
      </w:pPr>
      <w:r>
        <w:t xml:space="preserve">Deploy a human-in-the-loop dashboard for adjuster review, override and audit.</w:t>
      </w:r>
    </w:p>
    <w:p>
      <w:pPr>
        <w:numPr>
          <w:ilvl w:val="0"/>
          <w:numId w:val="1002"/>
        </w:numPr>
      </w:pPr>
      <w:r>
        <w:t xml:space="preserve">Evaluate the complete pipeline on held-out real claims.</w:t>
      </w:r>
    </w:p>
    <w:bookmarkEnd w:id="26"/>
    <w:bookmarkStart w:id="27" w:name="scope"/>
    <w:p>
      <w:pPr>
        <w:pStyle w:val="Heading2"/>
      </w:pPr>
      <w:r>
        <w:rPr>
          <w:rStyle w:val="SectionNumber"/>
        </w:rPr>
        <w:t xml:space="preserve">1.4</w:t>
      </w:r>
      <w:r>
        <w:tab/>
      </w:r>
      <w:r>
        <w:t xml:space="preserve">Scope</w:t>
      </w:r>
    </w:p>
    <w:p>
      <w:pPr>
        <w:pStyle w:val="FirstParagraph"/>
      </w:pPr>
      <w:r>
        <w:t xml:space="preserve">The project covers one insurance line (vehicle/auto), structured claim fields and a free-tier or open-source LLM. It is not intended for automatic denial of claims, pricing, underwriting, judging individuals, or other insurance lines. The human adjuster retains final authority over every decision.</w:t>
      </w:r>
    </w:p>
    <w:bookmarkEnd w:id="27"/>
    <w:bookmarkStart w:id="28" w:name="organisation-of-the-report"/>
    <w:p>
      <w:pPr>
        <w:pStyle w:val="Heading2"/>
      </w:pPr>
      <w:r>
        <w:rPr>
          <w:rStyle w:val="SectionNumber"/>
        </w:rPr>
        <w:t xml:space="preserve">1.5</w:t>
      </w:r>
      <w:r>
        <w:tab/>
      </w:r>
      <w:r>
        <w:t xml:space="preserve">Organisation of the Report</w:t>
      </w:r>
    </w:p>
    <w:p>
      <w:pPr>
        <w:pStyle w:val="FirstParagraph"/>
      </w:pPr>
      <w:r>
        <w:t xml:space="preserve">Chapter 1 introduces the problem and objectives. Chapter 2 presents the literature review and research gap. Chapter 3 describes the EDA, synthetic-data audit and feature engineering. Chapter 4 details model selection and training. Chapter 5 presents the agentic AI architecture and pipeline. Chapter 6 discusses results, guardrails and evaluation. Chapter 7 concludes the work and presents future scope.</w:t>
      </w:r>
    </w:p>
    <w:bookmarkEnd w:id="28"/>
    <w:bookmarkEnd w:id="29"/>
    <w:bookmarkStart w:id="36" w:name="ch:litreview"/>
    <w:p>
      <w:pPr>
        <w:pStyle w:val="Heading1"/>
      </w:pPr>
      <w:r>
        <w:rPr>
          <w:rStyle w:val="SectionNumber"/>
        </w:rPr>
        <w:t xml:space="preserve">2</w:t>
      </w:r>
      <w:r>
        <w:tab/>
      </w:r>
      <w:r>
        <w:t xml:space="preserve">Literature Review and Research Gap</w:t>
      </w:r>
    </w:p>
    <w:bookmarkStart w:id="30" w:name="introduction"/>
    <w:p>
      <w:pPr>
        <w:pStyle w:val="Heading2"/>
      </w:pPr>
      <w:r>
        <w:rPr>
          <w:rStyle w:val="SectionNumber"/>
        </w:rPr>
        <w:t xml:space="preserve">2.1</w:t>
      </w:r>
      <w:r>
        <w:tab/>
      </w:r>
      <w:r>
        <w:t xml:space="preserve">Introduction</w:t>
      </w:r>
    </w:p>
    <w:p>
      <w:pPr>
        <w:pStyle w:val="FirstParagraph"/>
      </w:pPr>
      <w:r>
        <w:t xml:space="preserve">This chapter establishes the technical context by examining fraud detection methodologies, class-imbalance handling, explainability techniques, and the emerging role of agentic AI in decision support systems.</w:t>
      </w:r>
    </w:p>
    <w:bookmarkEnd w:id="30"/>
    <w:bookmarkStart w:id="31" w:name="fraud-detection-with-machine-learning"/>
    <w:p>
      <w:pPr>
        <w:pStyle w:val="Heading2"/>
      </w:pPr>
      <w:r>
        <w:rPr>
          <w:rStyle w:val="SectionNumber"/>
        </w:rPr>
        <w:t xml:space="preserve">2.2</w:t>
      </w:r>
      <w:r>
        <w:tab/>
      </w:r>
      <w:r>
        <w:t xml:space="preserve">Fraud Detection with Machine Learning</w:t>
      </w:r>
    </w:p>
    <w:p>
      <w:pPr>
        <w:pStyle w:val="FirstParagraph"/>
      </w:pPr>
      <w:r>
        <w:t xml:space="preserve">Traditional approaches to insurance fraud detection include logistic regression </w:t>
      </w:r>
      <w:r>
        <w:t xml:space="preserve">, decision trees </w:t>
      </w:r>
      <w:r>
        <w:t xml:space="preserve"> </w:t>
      </w:r>
      <w:r>
        <w:t xml:space="preserve">and random forests. While interpretable, these methods struggle to capture the non-linear, multi-way interactions common in fraud patterns—for example, the combination of at-fault claims on liability-only policies with recent address changes and no police report.</w:t>
      </w:r>
    </w:p>
    <w:p>
      <w:pPr>
        <w:pStyle w:val="BodyText"/>
      </w:pPr>
      <w:r>
        <w:t xml:space="preserve">Gradient-boosted decision trees (GBDT), particularly XGBoost </w:t>
      </w:r>
      <w:r>
        <w:t xml:space="preserve"> </w:t>
      </w:r>
      <w:r>
        <w:t xml:space="preserve">and LightGBM </w:t>
      </w:r>
      <w:r>
        <w:t xml:space="preserve">, have become the dominant approach for tabular fraud detection. Their advantages include native handling of categorical variables, robustness to irrelevant features, and built-in support for class weights via</w:t>
      </w:r>
      <w:r>
        <w:t xml:space="preserve"> </w:t>
      </w:r>
      <w:r>
        <w:rPr>
          <w:rStyle w:val="VerbatimChar"/>
        </w:rPr>
        <w:t xml:space="preserve">scale_pos_weight</w:t>
      </w:r>
      <w:r>
        <w:t xml:space="preserve">.</w:t>
      </w:r>
    </w:p>
    <w:bookmarkEnd w:id="31"/>
    <w:bookmarkStart w:id="32" w:name="class-imbalance-handling"/>
    <w:p>
      <w:pPr>
        <w:pStyle w:val="Heading2"/>
      </w:pPr>
      <w:r>
        <w:rPr>
          <w:rStyle w:val="SectionNumber"/>
        </w:rPr>
        <w:t xml:space="preserve">2.3</w:t>
      </w:r>
      <w:r>
        <w:tab/>
      </w:r>
      <w:r>
        <w:t xml:space="preserve">Class Imbalance Handling</w:t>
      </w:r>
    </w:p>
    <w:p>
      <w:pPr>
        <w:pStyle w:val="FirstParagraph"/>
      </w:pPr>
      <w:r>
        <w:t xml:space="preserve">The 6% fraud rate creates a severe positive-negative imbalance. Common remedies include:</w:t>
      </w:r>
    </w:p>
    <w:p>
      <w:pPr>
        <w:numPr>
          <w:ilvl w:val="0"/>
          <w:numId w:val="1003"/>
        </w:numPr>
      </w:pPr>
      <w:r>
        <w:rPr>
          <w:bCs/>
          <w:b/>
        </w:rPr>
        <w:t xml:space="preserve">Resampling:</w:t>
      </w:r>
      <w:r>
        <w:t xml:space="preserve"> </w:t>
      </w:r>
      <w:r>
        <w:t xml:space="preserve">SMOTE </w:t>
      </w:r>
      <w:r>
        <w:t xml:space="preserve"> </w:t>
      </w:r>
      <w:r>
        <w:t xml:space="preserve">generates synthetic minority examples but can introduce artefacts in high-dimensional categorical spaces.</w:t>
      </w:r>
    </w:p>
    <w:p>
      <w:pPr>
        <w:numPr>
          <w:ilvl w:val="0"/>
          <w:numId w:val="1003"/>
        </w:numPr>
      </w:pPr>
      <w:r>
        <w:rPr>
          <w:bCs/>
          <w:b/>
        </w:rPr>
        <w:t xml:space="preserve">Cost-sensitive learning:</w:t>
      </w:r>
      <w:r>
        <w:t xml:space="preserve"> </w:t>
      </w:r>
      <w:r>
        <w:t xml:space="preserve">modifying the loss function to penalise missed frauds more heavily than false alarms, e.g. </w:t>
      </w:r>
      <w:r>
        <w:rPr>
          <w:rStyle w:val="VerbatimChar"/>
        </w:rPr>
        <w:t xml:space="preserve">scale_pos_weight</w:t>
      </w:r>
      <w:r>
        <w:t xml:space="preserve"> </w:t>
      </w:r>
      <w:r>
        <w:t xml:space="preserve">in LightGBM.</w:t>
      </w:r>
    </w:p>
    <w:p>
      <w:pPr>
        <w:numPr>
          <w:ilvl w:val="0"/>
          <w:numId w:val="1003"/>
        </w:numPr>
      </w:pPr>
      <w:r>
        <w:rPr>
          <w:bCs/>
          <w:b/>
        </w:rPr>
        <w:t xml:space="preserve">Threshold tuning:</w:t>
      </w:r>
      <w:r>
        <w:t xml:space="preserve"> </w:t>
      </w:r>
      <w:r>
        <w:t xml:space="preserve">selecting the classification threshold based on a cost ratio (e.g. 10:1 missed-fraud-to-investigation cost) rather than maximising accuracy.</w:t>
      </w:r>
    </w:p>
    <w:p>
      <w:pPr>
        <w:pStyle w:val="FirstParagraph"/>
      </w:pPr>
      <w:r>
        <w:t xml:space="preserve">This project uses cost-sensitive learning (</w:t>
      </w:r>
      <w:r>
        <w:rPr>
          <w:rStyle w:val="VerbatimChar"/>
        </w:rPr>
        <w:t xml:space="preserve">scale_pos_weight</w:t>
      </w:r>
      <w:r>
        <w:t xml:space="preserve"> </w:t>
      </w:r>
      <w:r>
        <w:t xml:space="preserve">= 15.7) and cost-based threshold tuning, avoiding SMOTE because 96% of training rows are already synthetic.</w:t>
      </w:r>
    </w:p>
    <w:bookmarkEnd w:id="32"/>
    <w:bookmarkStart w:id="33" w:name="explainability-in-fraud-detection"/>
    <w:p>
      <w:pPr>
        <w:pStyle w:val="Heading2"/>
      </w:pPr>
      <w:r>
        <w:rPr>
          <w:rStyle w:val="SectionNumber"/>
        </w:rPr>
        <w:t xml:space="preserve">2.4</w:t>
      </w:r>
      <w:r>
        <w:tab/>
      </w:r>
      <w:r>
        <w:t xml:space="preserve">Explainability in Fraud Detection</w:t>
      </w:r>
    </w:p>
    <w:p>
      <w:pPr>
        <w:pStyle w:val="FirstParagraph"/>
      </w:pPr>
      <w:r>
        <w:t xml:space="preserve">Lundberg and Lee </w:t>
      </w:r>
      <w:r>
        <w:t xml:space="preserve"> </w:t>
      </w:r>
      <w:r>
        <w:t xml:space="preserve">introduced SHAP (SHapley Additive exPlanations), which assigns each feature an additive contribution to a prediction. TreeSHAP provides exact, polynomial-time SHAP values for tree ensembles, enabling both global feature importance and per-claim explanations. Explainability is critical in fraud detection because adjusters must understand</w:t>
      </w:r>
      <w:r>
        <w:t xml:space="preserve"> </w:t>
      </w:r>
      <w:r>
        <w:rPr>
          <w:iCs/>
          <w:i/>
        </w:rPr>
        <w:t xml:space="preserve">why</w:t>
      </w:r>
      <w:r>
        <w:t xml:space="preserve"> </w:t>
      </w:r>
      <w:r>
        <w:t xml:space="preserve">a claim was flagged, not just that it was.</w:t>
      </w:r>
    </w:p>
    <w:bookmarkEnd w:id="33"/>
    <w:bookmarkStart w:id="34" w:name="agentic-ai-and-llm-based-reasoning"/>
    <w:p>
      <w:pPr>
        <w:pStyle w:val="Heading2"/>
      </w:pPr>
      <w:r>
        <w:rPr>
          <w:rStyle w:val="SectionNumber"/>
        </w:rPr>
        <w:t xml:space="preserve">2.5</w:t>
      </w:r>
      <w:r>
        <w:tab/>
      </w:r>
      <w:r>
        <w:t xml:space="preserve">Agentic AI and LLM-Based Reasoning</w:t>
      </w:r>
    </w:p>
    <w:p>
      <w:pPr>
        <w:pStyle w:val="FirstParagraph"/>
      </w:pPr>
      <w:r>
        <w:t xml:space="preserve">The ReAct (Reason + Act) paradigm </w:t>
      </w:r>
      <w:r>
        <w:t xml:space="preserve"> </w:t>
      </w:r>
      <w:r>
        <w:t xml:space="preserve">interleaves reasoning traces with tool calls, enabling an LLM to dynamically plan a multi-step investigation. LangGraph </w:t>
      </w:r>
      <w:r>
        <w:t xml:space="preserve"> </w:t>
      </w:r>
      <w:r>
        <w:t xml:space="preserve">extends this with stateful, checkpointable workflows where nodes represent processing stages and edges encode control flow, including cycles for iterative tool use.</w:t>
      </w:r>
    </w:p>
    <w:bookmarkEnd w:id="34"/>
    <w:bookmarkStart w:id="35" w:name="research-gap"/>
    <w:p>
      <w:pPr>
        <w:pStyle w:val="Heading2"/>
      </w:pPr>
      <w:r>
        <w:rPr>
          <w:rStyle w:val="SectionNumber"/>
        </w:rPr>
        <w:t xml:space="preserve">2.6</w:t>
      </w:r>
      <w:r>
        <w:tab/>
      </w:r>
      <w:r>
        <w:t xml:space="preserve">Research Gap</w:t>
      </w:r>
    </w:p>
    <w:p>
      <w:pPr>
        <w:pStyle w:val="FirstParagraph"/>
      </w:pPr>
      <w:r>
        <w:t xml:space="preserve">Existing systems typically stop at a fraud score. They do not autonomously investigate the claim by verifying policy conditions, retrieving similar historical cases, checking claimant history, and synthesising the evidence into a structured, grounded recommendation with mandatory human review. This project addresses this gap by coupling a calibrated ML scorer with an agentic orchestrator whose safety invariants are enforced in code, not prompts.</w:t>
      </w:r>
    </w:p>
    <w:bookmarkEnd w:id="35"/>
    <w:bookmarkEnd w:id="36"/>
    <w:bookmarkStart w:id="44" w:name="ch:eda"/>
    <w:p>
      <w:pPr>
        <w:pStyle w:val="Heading1"/>
      </w:pPr>
      <w:r>
        <w:rPr>
          <w:rStyle w:val="SectionNumber"/>
        </w:rPr>
        <w:t xml:space="preserve">3</w:t>
      </w:r>
      <w:r>
        <w:tab/>
      </w:r>
      <w:r>
        <w:t xml:space="preserve">Exploratory Data Analysis and Feature Engineering</w:t>
      </w:r>
    </w:p>
    <w:bookmarkStart w:id="38" w:name="dataset-description"/>
    <w:p>
      <w:pPr>
        <w:pStyle w:val="Heading2"/>
      </w:pPr>
      <w:r>
        <w:rPr>
          <w:rStyle w:val="SectionNumber"/>
        </w:rPr>
        <w:t xml:space="preserve">3.1</w:t>
      </w:r>
      <w:r>
        <w:tab/>
      </w:r>
      <w:r>
        <w:t xml:space="preserve">Dataset Description</w:t>
      </w:r>
    </w:p>
    <w:p>
      <w:pPr>
        <w:pStyle w:val="FirstParagraph"/>
      </w:pPr>
      <w:r>
        <w:t xml:space="preserve">The project uses the Kaggle</w:t>
      </w:r>
      <w:r>
        <w:t xml:space="preserve"> </w:t>
      </w:r>
      <w:r>
        <w:rPr>
          <w:iCs/>
          <w:i/>
        </w:rPr>
        <w:t xml:space="preserve">Vehicle Claim Fraud Detection</w:t>
      </w:r>
      <w:r>
        <w:t xml:space="preserve"> </w:t>
      </w:r>
      <w:r>
        <w:t xml:space="preserve">dataset comprising 15,420 claims from 1994–1996 with a 6% fraud rate. The data was split 70/15/15 into train, validation and test sets, disjoint by</w:t>
      </w:r>
      <w:r>
        <w:t xml:space="preserve"> </w:t>
      </w:r>
      <w:r>
        <w:rPr>
          <w:rStyle w:val="VerbatimChar"/>
        </w:rPr>
        <w:t xml:space="preserve">PolicyNumber</w:t>
      </w:r>
      <w:r>
        <w:t xml:space="preserve"> </w:t>
      </w:r>
      <w:r>
        <w:t xml:space="preserve">(no policyholder appears in two splits). The training set contains 10,793 real claims (646 frauds) and is supplemented with 289,207 synthetic claims at sample weight 0.1.</w:t>
      </w:r>
    </w:p>
    <w:bookmarkStart w:id="37" w:name="tab:splits"/>
    <w:p>
      <w:pPr>
        <w:pStyle w:val="TableCaption"/>
      </w:pPr>
      <w:r>
        <w:t xml:space="preserve">Dataset splits and class distribution.</w:t>
      </w:r>
    </w:p>
    <w:tbl>
      <w:tblPr>
        <w:tblStyle w:val="Table"/>
        <w:tblW w:type="auto" w:w="0"/>
        <w:tblLook w:firstRow="1" w:lastRow="0" w:firstColumn="0" w:lastColumn="0" w:noHBand="0" w:noVBand="0" w:val="0020"/>
        <w:jc w:val="start"/>
        <w:tblCaption w:val="Dataset splits and class distribution."/>
      </w:tblPr>
      <w:tblGrid>
        <w:gridCol w:w="1980"/>
        <w:gridCol w:w="1980"/>
        <w:gridCol w:w="1980"/>
        <w:gridCol w:w="1980"/>
      </w:tblGrid>
      <w:tr>
        <w:trPr>
          <w:tblHeader w:val="true"/>
        </w:trPr>
        <w:tc>
          <w:tcPr/>
          <w:p>
            <w:pPr>
              <w:pStyle w:val="Compact"/>
              <w:jc w:val="left"/>
            </w:pPr>
            <w:r>
              <w:rPr>
                <w:bCs/>
                <w:b/>
              </w:rPr>
              <w:t xml:space="preserve">Split</w:t>
            </w:r>
          </w:p>
        </w:tc>
        <w:tc>
          <w:tcPr/>
          <w:p>
            <w:pPr>
              <w:pStyle w:val="Compact"/>
              <w:jc w:val="right"/>
            </w:pPr>
            <w:r>
              <w:rPr>
                <w:bCs/>
                <w:b/>
              </w:rPr>
              <w:t xml:space="preserve">Claims</w:t>
            </w:r>
          </w:p>
        </w:tc>
        <w:tc>
          <w:tcPr/>
          <w:p>
            <w:pPr>
              <w:pStyle w:val="Compact"/>
              <w:jc w:val="right"/>
            </w:pPr>
            <w:r>
              <w:rPr>
                <w:bCs/>
                <w:b/>
              </w:rPr>
              <w:t xml:space="preserve">Frauds</w:t>
            </w:r>
          </w:p>
        </w:tc>
        <w:tc>
          <w:tcPr/>
          <w:p>
            <w:pPr>
              <w:pStyle w:val="Compact"/>
              <w:jc w:val="right"/>
            </w:pPr>
            <w:r>
              <w:rPr>
                <w:bCs/>
                <w:b/>
              </w:rPr>
              <w:t xml:space="preserve">Fraud Rate (%)</w:t>
            </w:r>
          </w:p>
        </w:tc>
      </w:tr>
      <w:tr>
        <w:tc>
          <w:tcPr/>
          <w:p>
            <w:pPr>
              <w:pStyle w:val="Compact"/>
              <w:jc w:val="left"/>
            </w:pPr>
            <w:r>
              <w:t xml:space="preserve">Real Train</w:t>
            </w:r>
          </w:p>
        </w:tc>
        <w:tc>
          <w:tcPr/>
          <w:p>
            <w:pPr>
              <w:pStyle w:val="Compact"/>
              <w:jc w:val="right"/>
            </w:pPr>
            <w:r>
              <w:t xml:space="preserve">10,793</w:t>
            </w:r>
          </w:p>
        </w:tc>
        <w:tc>
          <w:tcPr/>
          <w:p>
            <w:pPr>
              <w:pStyle w:val="Compact"/>
              <w:jc w:val="right"/>
            </w:pPr>
            <w:r>
              <w:t xml:space="preserve">646</w:t>
            </w:r>
          </w:p>
        </w:tc>
        <w:tc>
          <w:tcPr/>
          <w:p>
            <w:pPr>
              <w:pStyle w:val="Compact"/>
              <w:jc w:val="right"/>
            </w:pPr>
            <w:r>
              <w:t xml:space="preserve">5.99</w:t>
            </w:r>
          </w:p>
        </w:tc>
      </w:tr>
      <w:tr>
        <w:tc>
          <w:tcPr/>
          <w:p>
            <w:pPr>
              <w:pStyle w:val="Compact"/>
              <w:jc w:val="left"/>
            </w:pPr>
            <w:r>
              <w:t xml:space="preserve">Real Validation</w:t>
            </w:r>
          </w:p>
        </w:tc>
        <w:tc>
          <w:tcPr/>
          <w:p>
            <w:pPr>
              <w:pStyle w:val="Compact"/>
              <w:jc w:val="right"/>
            </w:pPr>
            <w:r>
              <w:t xml:space="preserve">2,313</w:t>
            </w:r>
          </w:p>
        </w:tc>
        <w:tc>
          <w:tcPr/>
          <w:p>
            <w:pPr>
              <w:pStyle w:val="Compact"/>
              <w:jc w:val="right"/>
            </w:pPr>
            <w:r>
              <w:t xml:space="preserve">139</w:t>
            </w:r>
          </w:p>
        </w:tc>
        <w:tc>
          <w:tcPr/>
          <w:p>
            <w:pPr>
              <w:pStyle w:val="Compact"/>
              <w:jc w:val="right"/>
            </w:pPr>
            <w:r>
              <w:t xml:space="preserve">6.01</w:t>
            </w:r>
          </w:p>
        </w:tc>
      </w:tr>
      <w:tr>
        <w:tc>
          <w:tcPr/>
          <w:p>
            <w:pPr>
              <w:pStyle w:val="Compact"/>
              <w:jc w:val="left"/>
            </w:pPr>
            <w:r>
              <w:t xml:space="preserve">Real Test</w:t>
            </w:r>
          </w:p>
        </w:tc>
        <w:tc>
          <w:tcPr/>
          <w:p>
            <w:pPr>
              <w:pStyle w:val="Compact"/>
              <w:jc w:val="right"/>
            </w:pPr>
            <w:r>
              <w:t xml:space="preserve">2,313</w:t>
            </w:r>
          </w:p>
        </w:tc>
        <w:tc>
          <w:tcPr/>
          <w:p>
            <w:pPr>
              <w:pStyle w:val="Compact"/>
              <w:jc w:val="right"/>
            </w:pPr>
            <w:r>
              <w:t xml:space="preserve">138</w:t>
            </w:r>
          </w:p>
        </w:tc>
        <w:tc>
          <w:tcPr/>
          <w:p>
            <w:pPr>
              <w:pStyle w:val="Compact"/>
              <w:jc w:val="right"/>
            </w:pPr>
            <w:r>
              <w:t xml:space="preserve">5.97</w:t>
            </w:r>
          </w:p>
        </w:tc>
      </w:tr>
      <w:tr>
        <w:tc>
          <w:tcPr/>
          <w:p>
            <w:pPr>
              <w:pStyle w:val="Compact"/>
              <w:jc w:val="left"/>
            </w:pPr>
            <w:r>
              <w:t xml:space="preserve">Synthetic</w:t>
            </w:r>
          </w:p>
        </w:tc>
        <w:tc>
          <w:tcPr/>
          <w:p>
            <w:pPr>
              <w:pStyle w:val="Compact"/>
              <w:jc w:val="right"/>
            </w:pPr>
            <w:r>
              <w:t xml:space="preserve">289,207</w:t>
            </w:r>
          </w:p>
        </w:tc>
        <w:tc>
          <w:tcPr/>
          <w:p>
            <w:pPr>
              <w:pStyle w:val="Compact"/>
              <w:jc w:val="right"/>
            </w:pPr>
            <w:r>
              <w:t xml:space="preserve">17,310</w:t>
            </w:r>
          </w:p>
        </w:tc>
        <w:tc>
          <w:tcPr/>
          <w:p>
            <w:pPr>
              <w:pStyle w:val="Compact"/>
              <w:jc w:val="right"/>
            </w:pPr>
            <w:r>
              <w:t xml:space="preserve">5.99</w:t>
            </w:r>
          </w:p>
        </w:tc>
      </w:tr>
    </w:tbl>
    <w:bookmarkEnd w:id="37"/>
    <w:bookmarkEnd w:id="38"/>
    <w:bookmarkStart w:id="40" w:name="feature-categories"/>
    <w:p>
      <w:pPr>
        <w:pStyle w:val="Heading2"/>
      </w:pPr>
      <w:r>
        <w:rPr>
          <w:rStyle w:val="SectionNumber"/>
        </w:rPr>
        <w:t xml:space="preserve">3.2</w:t>
      </w:r>
      <w:r>
        <w:tab/>
      </w:r>
      <w:r>
        <w:t xml:space="preserve">Feature Categories</w:t>
      </w:r>
    </w:p>
    <w:p>
      <w:pPr>
        <w:pStyle w:val="FirstParagraph"/>
      </w:pPr>
      <w:r>
        <w:t xml:space="preserve">The raw data contains 32 columns spanning four types:</w:t>
      </w:r>
    </w:p>
    <w:bookmarkStart w:id="39" w:name="tab:features"/>
    <w:p>
      <w:pPr>
        <w:pStyle w:val="TableCaption"/>
      </w:pPr>
      <w:r>
        <w:t xml:space="preserve">Feature categories and representative examples.</w:t>
      </w:r>
    </w:p>
    <w:tbl>
      <w:tblPr>
        <w:tblStyle w:val="Table"/>
        <w:tblW w:type="auto" w:w="0"/>
        <w:tblLook w:firstRow="1" w:lastRow="0" w:firstColumn="0" w:lastColumn="0" w:noHBand="0" w:noVBand="0" w:val="0020"/>
        <w:jc w:val="start"/>
        <w:tblCaption w:val="Feature categories and representative examples."/>
      </w:tblPr>
      <w:tblGrid>
        <w:gridCol w:w="2640"/>
        <w:gridCol w:w="2640"/>
        <w:gridCol w:w="2640"/>
      </w:tblGrid>
      <w:tr>
        <w:trPr>
          <w:tblHeader w:val="true"/>
        </w:trPr>
        <w:tc>
          <w:tcPr/>
          <w:p>
            <w:pPr>
              <w:pStyle w:val="Compact"/>
              <w:jc w:val="left"/>
            </w:pPr>
            <w:r>
              <w:rPr>
                <w:bCs/>
                <w:b/>
              </w:rPr>
              <w:t xml:space="preserve">Type</w:t>
            </w:r>
          </w:p>
        </w:tc>
        <w:tc>
          <w:tcPr/>
          <w:p>
            <w:pPr>
              <w:pStyle w:val="Compact"/>
              <w:jc w:val="left"/>
            </w:pPr>
            <w:r>
              <w:rPr>
                <w:bCs/>
                <w:b/>
              </w:rPr>
              <w:t xml:space="preserve">Count</w:t>
            </w:r>
          </w:p>
        </w:tc>
        <w:tc>
          <w:tcPr/>
          <w:p>
            <w:pPr>
              <w:pStyle w:val="Compact"/>
              <w:jc w:val="left"/>
            </w:pPr>
            <w:r>
              <w:rPr>
                <w:bCs/>
                <w:b/>
              </w:rPr>
              <w:t xml:space="preserve">Examples</w:t>
            </w:r>
          </w:p>
        </w:tc>
      </w:tr>
      <w:tr>
        <w:tc>
          <w:tcPr/>
          <w:p>
            <w:pPr>
              <w:pStyle w:val="Compact"/>
              <w:jc w:val="left"/>
            </w:pPr>
            <w:r>
              <w:t xml:space="preserve">Nominal</w:t>
            </w:r>
          </w:p>
        </w:tc>
        <w:tc>
          <w:tcPr/>
          <w:p>
            <w:pPr>
              <w:pStyle w:val="Compact"/>
              <w:jc w:val="left"/>
            </w:pPr>
            <w:r>
              <w:t xml:space="preserve">12</w:t>
            </w:r>
          </w:p>
        </w:tc>
        <w:tc>
          <w:tcPr/>
          <w:p>
            <w:pPr>
              <w:pStyle w:val="Compact"/>
              <w:jc w:val="left"/>
            </w:pPr>
            <w:r>
              <w:t xml:space="preserve">Make, AccidentArea, Fault, BasePolicy, VehicleCategory, AgentType</w:t>
            </w:r>
          </w:p>
        </w:tc>
      </w:tr>
      <w:tr>
        <w:tc>
          <w:tcPr/>
          <w:p>
            <w:pPr>
              <w:pStyle w:val="Compact"/>
              <w:jc w:val="left"/>
            </w:pPr>
            <w:r>
              <w:t xml:space="preserve">Ordinal</w:t>
            </w:r>
          </w:p>
        </w:tc>
        <w:tc>
          <w:tcPr/>
          <w:p>
            <w:pPr>
              <w:pStyle w:val="Compact"/>
              <w:jc w:val="left"/>
            </w:pPr>
            <w:r>
              <w:t xml:space="preserve">8</w:t>
            </w:r>
          </w:p>
        </w:tc>
        <w:tc>
          <w:tcPr/>
          <w:p>
            <w:pPr>
              <w:pStyle w:val="Compact"/>
              <w:jc w:val="left"/>
            </w:pPr>
            <w:r>
              <w:t xml:space="preserve">NumberOfSupplements, AddressChange_Claim, PastNumberOfClaims, AgeOfVehicle</w:t>
            </w:r>
          </w:p>
        </w:tc>
      </w:tr>
      <w:tr>
        <w:tc>
          <w:tcPr/>
          <w:p>
            <w:pPr>
              <w:pStyle w:val="Compact"/>
              <w:jc w:val="left"/>
            </w:pPr>
            <w:r>
              <w:t xml:space="preserve">Numeric</w:t>
            </w:r>
          </w:p>
        </w:tc>
        <w:tc>
          <w:tcPr/>
          <w:p>
            <w:pPr>
              <w:pStyle w:val="Compact"/>
              <w:jc w:val="left"/>
            </w:pPr>
            <w:r>
              <w:t xml:space="preserve">5</w:t>
            </w:r>
          </w:p>
        </w:tc>
        <w:tc>
          <w:tcPr/>
          <w:p>
            <w:pPr>
              <w:pStyle w:val="Compact"/>
              <w:jc w:val="left"/>
            </w:pPr>
            <w:r>
              <w:t xml:space="preserve">Deductible, DriverRating, Year, WeekOfMonth, WeekOfMonthClaimed</w:t>
            </w:r>
          </w:p>
        </w:tc>
      </w:tr>
      <w:tr>
        <w:tc>
          <w:tcPr/>
          <w:p>
            <w:pPr>
              <w:pStyle w:val="Compact"/>
              <w:jc w:val="left"/>
            </w:pPr>
            <w:r>
              <w:t xml:space="preserve">Binary</w:t>
            </w:r>
          </w:p>
        </w:tc>
        <w:tc>
          <w:tcPr/>
          <w:p>
            <w:pPr>
              <w:pStyle w:val="Compact"/>
              <w:jc w:val="left"/>
            </w:pPr>
            <w:r>
              <w:t xml:space="preserve">3</w:t>
            </w:r>
          </w:p>
        </w:tc>
        <w:tc>
          <w:tcPr/>
          <w:p>
            <w:pPr>
              <w:pStyle w:val="Compact"/>
              <w:jc w:val="left"/>
            </w:pPr>
            <w:r>
              <w:t xml:space="preserve">PoliceReportFiled, WitnessPresent, FraudFound_P</w:t>
            </w:r>
          </w:p>
        </w:tc>
      </w:tr>
    </w:tbl>
    <w:bookmarkEnd w:id="39"/>
    <w:bookmarkEnd w:id="40"/>
    <w:bookmarkStart w:id="41" w:name="synthetic-data-audit"/>
    <w:p>
      <w:pPr>
        <w:pStyle w:val="Heading2"/>
      </w:pPr>
      <w:r>
        <w:rPr>
          <w:rStyle w:val="SectionNumber"/>
        </w:rPr>
        <w:t xml:space="preserve">3.3</w:t>
      </w:r>
      <w:r>
        <w:tab/>
      </w:r>
      <w:r>
        <w:t xml:space="preserve">Synthetic Data Audit</w:t>
      </w:r>
    </w:p>
    <w:p>
      <w:pPr>
        <w:pStyle w:val="FirstParagraph"/>
      </w:pPr>
      <w:r>
        <w:t xml:space="preserve">The synthetic generator is a black box. A rigorous four-part audit confirmed its quality:</w:t>
      </w:r>
    </w:p>
    <w:p>
      <w:pPr>
        <w:numPr>
          <w:ilvl w:val="0"/>
          <w:numId w:val="1004"/>
        </w:numPr>
      </w:pPr>
      <w:r>
        <w:rPr>
          <w:bCs/>
          <w:b/>
        </w:rPr>
        <w:t xml:space="preserve">Marginal fidelity:</w:t>
      </w:r>
      <w:r>
        <w:t xml:space="preserve"> </w:t>
      </w:r>
      <w:r>
        <w:t xml:space="preserve">per-column total variation distance</w:t>
      </w:r>
      <w:r>
        <w:t xml:space="preserve"> </w:t>
      </w:r>
      <m:oMath>
        <m:r>
          <m:rPr>
            <m:sty m:val="p"/>
          </m:rPr>
          <m:t>≤</m:t>
        </m:r>
        <m:r>
          <m:t>0.008</m:t>
        </m:r>
      </m:oMath>
      <w:r>
        <w:t xml:space="preserve">; chi-square tests confirm synthetic marginals match real train more closely than an independent real sample would (median</w:t>
      </w:r>
      <w:r>
        <w:t xml:space="preserve"> </w:t>
      </w:r>
      <m:oMath>
        <m:r>
          <m:t>p</m:t>
        </m:r>
        <m:r>
          <m:rPr>
            <m:sty m:val="p"/>
          </m:rPr>
          <m:t>=</m:t>
        </m:r>
        <m:r>
          <m:t>0.98</m:t>
        </m:r>
      </m:oMath>
      <w:r>
        <w:t xml:space="preserve">).</w:t>
      </w:r>
    </w:p>
    <w:p>
      <w:pPr>
        <w:numPr>
          <w:ilvl w:val="0"/>
          <w:numId w:val="1004"/>
        </w:numPr>
      </w:pPr>
      <w:r>
        <w:rPr>
          <w:bCs/>
          <w:b/>
        </w:rPr>
        <w:t xml:space="preserve">Joint fidelity:</w:t>
      </w:r>
      <w:r>
        <w:t xml:space="preserve"> </w:t>
      </w:r>
      <w:r>
        <w:t xml:space="preserve">fraud rates per category correlate at</w:t>
      </w:r>
      <w:r>
        <w:t xml:space="preserve"> </w:t>
      </w:r>
      <m:oMath>
        <m:r>
          <m:t>r</m:t>
        </m:r>
        <m:r>
          <m:rPr>
            <m:sty m:val="p"/>
          </m:rPr>
          <m:t>=</m:t>
        </m:r>
        <m:r>
          <m:t>0.89</m:t>
        </m:r>
      </m:oMath>
      <w:r>
        <w:t xml:space="preserve"> </w:t>
      </w:r>
      <w:r>
        <w:t xml:space="preserve">across 164 categories. Strong signals (Fault, BasePolicy, VehicleCategory) are preserved; weak signals (Make, Month) are flattened toward the base rate.</w:t>
      </w:r>
    </w:p>
    <w:p>
      <w:pPr>
        <w:numPr>
          <w:ilvl w:val="0"/>
          <w:numId w:val="1004"/>
        </w:numPr>
      </w:pPr>
      <w:r>
        <w:rPr>
          <w:bCs/>
          <w:b/>
        </w:rPr>
        <w:t xml:space="preserve">Adversarial validation:</w:t>
      </w:r>
      <w:r>
        <w:t xml:space="preserve"> </w:t>
      </w:r>
      <w:r>
        <w:t xml:space="preserve">a LightGBM classifier achieves only ROC-AUC</w:t>
      </w:r>
      <w:r>
        <w:t xml:space="preserve"> </w:t>
      </w:r>
      <m:oMath>
        <m:r>
          <m:rPr>
            <m:sty m:val="p"/>
          </m:rPr>
          <m:t>=</m:t>
        </m:r>
        <m:r>
          <m:t>0.511</m:t>
        </m:r>
        <m:r>
          <m:rPr>
            <m:sty m:val="p"/>
          </m:rPr>
          <m:t>±</m:t>
        </m:r>
        <m:r>
          <m:t>0.007</m:t>
        </m:r>
      </m:oMath>
      <w:r>
        <w:t xml:space="preserve"> </w:t>
      </w:r>
      <w:r>
        <w:t xml:space="preserve">at separating real from synthetic rows—effectively random.</w:t>
      </w:r>
    </w:p>
    <w:p>
      <w:pPr>
        <w:numPr>
          <w:ilvl w:val="0"/>
          <w:numId w:val="1004"/>
        </w:numPr>
      </w:pPr>
      <w:r>
        <w:rPr>
          <w:bCs/>
          <w:b/>
        </w:rPr>
        <w:t xml:space="preserve">Utility (TSTR):</w:t>
      </w:r>
      <w:r>
        <w:t xml:space="preserve"> </w:t>
      </w:r>
      <w:r>
        <w:t xml:space="preserve">adding all synthetic rows at weight 0.1–0.3 raises real-validation PR-AUC by approximately</w:t>
      </w:r>
      <w:r>
        <w:t xml:space="preserve"> </w:t>
      </w:r>
      <m:oMath>
        <m:r>
          <m:rPr>
            <m:sty m:val="p"/>
          </m:rPr>
          <m:t>+</m:t>
        </m:r>
        <m:r>
          <m:t>0.05</m:t>
        </m:r>
      </m:oMath>
      <w:r>
        <w:t xml:space="preserve"> </w:t>
      </w:r>
      <w:r>
        <w:t xml:space="preserve">over real-only training, with the confidence interval excluding zero.</w:t>
      </w:r>
    </w:p>
    <w:tbl>
      <w:tblPr>
        <w:tblStyle w:val="FigureTable"/>
        <w:tblW w:type="auto" w:w="0"/>
        <w:tblLook w:firstRow="0" w:lastRow="0" w:firstColumn="0" w:lastColumn="0"/>
        <w:jc w:val="center"/>
      </w:tblPr>
      <w:tblGrid/>
      <w:tr/>
    </w:tbl>
    <w:p>
      <w:pPr>
        <w:pStyle w:val="ImageCaption"/>
      </w:pPr>
      <w:r>
        <w:t xml:space="preserve">Fraud-rate agreement between real and synthetic data across 164 categories.</w:t>
      </w:r>
    </w:p>
    <w:bookmarkEnd w:id="41"/>
    <w:bookmarkStart w:id="42" w:name="key-eda-findings-and-red-flags"/>
    <w:p>
      <w:pPr>
        <w:pStyle w:val="Heading2"/>
      </w:pPr>
      <w:r>
        <w:rPr>
          <w:rStyle w:val="SectionNumber"/>
        </w:rPr>
        <w:t xml:space="preserve">3.4</w:t>
      </w:r>
      <w:r>
        <w:tab/>
      </w:r>
      <w:r>
        <w:t xml:space="preserve">Key EDA Findings and Red Flags</w:t>
      </w:r>
    </w:p>
    <w:p>
      <w:pPr>
        <w:pStyle w:val="FirstParagraph"/>
      </w:pPr>
      <w:r>
        <w:t xml:space="preserve">The EDA identified 12 red-flag rules with statistically significant lift above the base fraud rate. The strongest signals include:</w:t>
      </w:r>
    </w:p>
    <w:p>
      <w:pPr>
        <w:numPr>
          <w:ilvl w:val="0"/>
          <w:numId w:val="1005"/>
        </w:numPr>
      </w:pPr>
      <w:r>
        <w:rPr>
          <w:bCs/>
          <w:b/>
        </w:rPr>
        <w:t xml:space="preserve">Fault</w:t>
      </w:r>
      <w:r>
        <w:rPr>
          <w:bCs/>
          <w:b/>
        </w:rPr>
        <w:t xml:space="preserve"> </w:t>
      </w:r>
      <m:oMath>
        <m:r>
          <m:rPr>
            <m:sty m:val="p"/>
          </m:rPr>
          <m:t>×</m:t>
        </m:r>
      </m:oMath>
      <w:r>
        <w:rPr>
          <w:bCs/>
          <w:b/>
        </w:rPr>
        <w:t xml:space="preserve"> </w:t>
      </w:r>
      <w:r>
        <w:rPr>
          <w:bCs/>
          <w:b/>
        </w:rPr>
        <w:t xml:space="preserve">Deductible:</w:t>
      </w:r>
      <w:r>
        <w:t xml:space="preserve"> </w:t>
      </w:r>
      <w:r>
        <w:t xml:space="preserve">at-fault claims with $400 deductible have 8.8% fraud rate (lift 1.47).</w:t>
      </w:r>
    </w:p>
    <w:p>
      <w:pPr>
        <w:numPr>
          <w:ilvl w:val="0"/>
          <w:numId w:val="1005"/>
        </w:numPr>
      </w:pPr>
      <w:r>
        <w:rPr>
          <w:bCs/>
          <w:b/>
        </w:rPr>
        <w:t xml:space="preserve">BasePolicy</w:t>
      </w:r>
      <w:r>
        <w:rPr>
          <w:bCs/>
          <w:b/>
        </w:rPr>
        <w:t xml:space="preserve"> </w:t>
      </w:r>
      <m:oMath>
        <m:r>
          <m:rPr>
            <m:sty m:val="p"/>
          </m:rPr>
          <m:t>×</m:t>
        </m:r>
      </m:oMath>
      <w:r>
        <w:rPr>
          <w:bCs/>
          <w:b/>
        </w:rPr>
        <w:t xml:space="preserve"> </w:t>
      </w:r>
      <w:r>
        <w:rPr>
          <w:bCs/>
          <w:b/>
        </w:rPr>
        <w:t xml:space="preserve">VehicleCategory:</w:t>
      </w:r>
      <w:r>
        <w:t xml:space="preserve"> </w:t>
      </w:r>
      <w:r>
        <w:t xml:space="preserve">Liability-only policies on Sport/Utility vehicles show elevated fraud.</w:t>
      </w:r>
    </w:p>
    <w:p>
      <w:pPr>
        <w:numPr>
          <w:ilvl w:val="0"/>
          <w:numId w:val="1005"/>
        </w:numPr>
      </w:pPr>
      <w:r>
        <w:rPr>
          <w:bCs/>
          <w:b/>
        </w:rPr>
        <w:t xml:space="preserve">No police report and no witness:</w:t>
      </w:r>
      <w:r>
        <w:t xml:space="preserve"> </w:t>
      </w:r>
      <w:r>
        <w:t xml:space="preserve">combined absence correlates with 9.2% fraud rate.</w:t>
      </w:r>
    </w:p>
    <w:p>
      <w:pPr>
        <w:numPr>
          <w:ilvl w:val="0"/>
          <w:numId w:val="1005"/>
        </w:numPr>
      </w:pPr>
      <w:r>
        <w:rPr>
          <w:bCs/>
          <w:b/>
        </w:rPr>
        <w:t xml:space="preserve">Early-policy incidents:</w:t>
      </w:r>
      <w:r>
        <w:t xml:space="preserve"> </w:t>
      </w:r>
      <w:r>
        <w:t xml:space="preserve">claims within</w:t>
      </w:r>
      <w:r>
        <w:t xml:space="preserve"> </w:t>
      </w:r>
      <w:r>
        <w:t xml:space="preserve">“</w:t>
      </w:r>
      <w:r>
        <w:t xml:space="preserve">none to 30</w:t>
      </w:r>
      <w:r>
        <w:t xml:space="preserve">”</w:t>
      </w:r>
      <w:r>
        <w:t xml:space="preserve"> </w:t>
      </w:r>
      <w:r>
        <w:t xml:space="preserve">days of policy inception show 18.9% fraud rate.</w:t>
      </w:r>
    </w:p>
    <w:bookmarkEnd w:id="42"/>
    <w:bookmarkStart w:id="43" w:name="feature-engineering-pipeline"/>
    <w:p>
      <w:pPr>
        <w:pStyle w:val="Heading2"/>
      </w:pPr>
      <w:r>
        <w:rPr>
          <w:rStyle w:val="SectionNumber"/>
        </w:rPr>
        <w:t xml:space="preserve">3.5</w:t>
      </w:r>
      <w:r>
        <w:tab/>
      </w:r>
      <w:r>
        <w:t xml:space="preserve">Feature Engineering Pipeline</w:t>
      </w:r>
    </w:p>
    <w:p>
      <w:pPr>
        <w:pStyle w:val="FirstParagraph"/>
      </w:pPr>
      <w:r>
        <w:t xml:space="preserve">The final model uses 89 engineered features built by</w:t>
      </w:r>
      <w:r>
        <w:t xml:space="preserve"> </w:t>
      </w:r>
      <w:r>
        <w:rPr>
          <w:rStyle w:val="VerbatimChar"/>
        </w:rPr>
        <w:t xml:space="preserve">ClaimFeatureBuilder</w:t>
      </w:r>
      <w:r>
        <w:t xml:space="preserve">:</w:t>
      </w:r>
    </w:p>
    <w:p>
      <w:pPr>
        <w:numPr>
          <w:ilvl w:val="0"/>
          <w:numId w:val="1006"/>
        </w:numPr>
      </w:pPr>
      <w:r>
        <w:t xml:space="preserve">One-hot encoded nominal fields (Fault, BasePolicy, VehicleCategory, etc.).</w:t>
      </w:r>
    </w:p>
    <w:p>
      <w:pPr>
        <w:numPr>
          <w:ilvl w:val="0"/>
          <w:numId w:val="1006"/>
        </w:numPr>
      </w:pPr>
      <w:r>
        <w:t xml:space="preserve">Ordinal range encodings (price bins, vehicle age, past claims count).</w:t>
      </w:r>
    </w:p>
    <w:p>
      <w:pPr>
        <w:numPr>
          <w:ilvl w:val="0"/>
          <w:numId w:val="1006"/>
        </w:numPr>
      </w:pPr>
      <w:r>
        <w:t xml:space="preserve">Numeric features (deductible, driver rating, claim lag).</w:t>
      </w:r>
    </w:p>
    <w:p>
      <w:pPr>
        <w:numPr>
          <w:ilvl w:val="0"/>
          <w:numId w:val="1006"/>
        </w:numPr>
      </w:pPr>
      <w:r>
        <w:t xml:space="preserve">Engineered flags: missing-age indicator, early-policy incident, price extremes, policyholder at fault, liability-only policy, weekend accident/claim.</w:t>
      </w:r>
    </w:p>
    <w:p>
      <w:pPr>
        <w:numPr>
          <w:ilvl w:val="0"/>
          <w:numId w:val="1006"/>
        </w:numPr>
      </w:pPr>
      <w:r>
        <w:t xml:space="preserve">12 red-flag indicators plus a weighted red-flag score.</w:t>
      </w:r>
    </w:p>
    <w:p>
      <w:pPr>
        <w:numPr>
          <w:ilvl w:val="0"/>
          <w:numId w:val="1006"/>
        </w:numPr>
      </w:pPr>
      <w:r>
        <w:t xml:space="preserve">Count of failed consistency rules.</w:t>
      </w:r>
    </w:p>
    <w:p>
      <w:pPr>
        <w:pStyle w:val="FirstParagraph"/>
      </w:pPr>
      <w:r>
        <w:rPr>
          <w:bCs/>
          <w:b/>
        </w:rPr>
        <w:t xml:space="preserve">Excluded features:</w:t>
      </w:r>
      <w:r>
        <w:t xml:space="preserve"> </w:t>
      </w:r>
      <w:r>
        <w:rPr>
          <w:rStyle w:val="VerbatimChar"/>
        </w:rPr>
        <w:t xml:space="preserve">PolicyNumber</w:t>
      </w:r>
      <w:r>
        <w:t xml:space="preserve"> </w:t>
      </w:r>
      <w:r>
        <w:t xml:space="preserve">and</w:t>
      </w:r>
      <w:r>
        <w:t xml:space="preserve"> </w:t>
      </w:r>
      <w:r>
        <w:rPr>
          <w:rStyle w:val="VerbatimChar"/>
        </w:rPr>
        <w:t xml:space="preserve">is_synthetic</w:t>
      </w:r>
      <w:r>
        <w:t xml:space="preserve"> </w:t>
      </w:r>
      <w:r>
        <w:t xml:space="preserve">(leakage),</w:t>
      </w:r>
      <w:r>
        <w:t xml:space="preserve"> </w:t>
      </w:r>
      <w:r>
        <w:rPr>
          <w:rStyle w:val="VerbatimChar"/>
        </w:rPr>
        <w:t xml:space="preserve">Sex</w:t>
      </w:r>
      <w:r>
        <w:t xml:space="preserve"> </w:t>
      </w:r>
      <w:r>
        <w:t xml:space="preserve">and</w:t>
      </w:r>
      <w:r>
        <w:t xml:space="preserve"> </w:t>
      </w:r>
      <w:r>
        <w:rPr>
          <w:rStyle w:val="VerbatimChar"/>
        </w:rPr>
        <w:t xml:space="preserve">MaritalStatus</w:t>
      </w:r>
      <w:r>
        <w:t xml:space="preserve"> </w:t>
      </w:r>
      <w:r>
        <w:t xml:space="preserve">(fairness—removing them cost no accuracy in ablation),</w:t>
      </w:r>
      <w:r>
        <w:t xml:space="preserve"> </w:t>
      </w:r>
      <w:r>
        <w:rPr>
          <w:rStyle w:val="VerbatimChar"/>
        </w:rPr>
        <w:t xml:space="preserve">RepNumber</w:t>
      </w:r>
      <w:r>
        <w:t xml:space="preserve"> </w:t>
      </w:r>
      <w:r>
        <w:t xml:space="preserve">(no signal), raw</w:t>
      </w:r>
      <w:r>
        <w:t xml:space="preserve"> </w:t>
      </w:r>
      <w:r>
        <w:rPr>
          <w:rStyle w:val="VerbatimChar"/>
        </w:rPr>
        <w:t xml:space="preserve">Age</w:t>
      </w:r>
      <w:r>
        <w:t xml:space="preserve"> </w:t>
      </w:r>
      <w:r>
        <w:t xml:space="preserve">(replaced by age band and missing-age flag).</w:t>
      </w:r>
    </w:p>
    <w:bookmarkEnd w:id="43"/>
    <w:bookmarkEnd w:id="44"/>
    <w:bookmarkStart w:id="57" w:name="ch:model"/>
    <w:p>
      <w:pPr>
        <w:pStyle w:val="Heading1"/>
      </w:pPr>
      <w:r>
        <w:rPr>
          <w:rStyle w:val="SectionNumber"/>
        </w:rPr>
        <w:t xml:space="preserve">4</w:t>
      </w:r>
      <w:r>
        <w:tab/>
      </w:r>
      <w:r>
        <w:t xml:space="preserve">Model Selection and Training Workflow</w:t>
      </w:r>
    </w:p>
    <w:bookmarkStart w:id="46" w:name="training-protocol"/>
    <w:p>
      <w:pPr>
        <w:pStyle w:val="Heading2"/>
      </w:pPr>
      <w:r>
        <w:rPr>
          <w:rStyle w:val="SectionNumber"/>
        </w:rPr>
        <w:t xml:space="preserve">4.1</w:t>
      </w:r>
      <w:r>
        <w:tab/>
      </w:r>
      <w:r>
        <w:t xml:space="preserve">Training Protocol</w:t>
      </w:r>
    </w:p>
    <w:bookmarkStart w:id="45" w:name="tab:training_config"/>
    <w:p>
      <w:pPr>
        <w:pStyle w:val="TableCaption"/>
      </w:pPr>
      <w:r>
        <w:t xml:space="preserve">Training configuration.</w:t>
      </w:r>
    </w:p>
    <w:tbl>
      <w:tblPr>
        <w:tblStyle w:val="Table"/>
        <w:tblW w:type="auto" w:w="0"/>
        <w:tblLook w:firstRow="1" w:lastRow="0" w:firstColumn="0" w:lastColumn="0" w:noHBand="0" w:noVBand="0" w:val="0020"/>
        <w:jc w:val="start"/>
        <w:tblCaption w:val="Training configuration."/>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Choice</w:t>
            </w:r>
          </w:p>
        </w:tc>
      </w:tr>
      <w:tr>
        <w:tc>
          <w:tcPr/>
          <w:p>
            <w:pPr>
              <w:pStyle w:val="Compact"/>
              <w:jc w:val="left"/>
            </w:pPr>
            <w:r>
              <w:t xml:space="preserve">Training data</w:t>
            </w:r>
          </w:p>
        </w:tc>
        <w:tc>
          <w:tcPr/>
          <w:p>
            <w:pPr>
              <w:pStyle w:val="Compact"/>
              <w:jc w:val="left"/>
            </w:pPr>
            <w:r>
              <w:t xml:space="preserve">10,793 real + 289,207 synthetic at weight 0.1</w:t>
            </w:r>
          </w:p>
        </w:tc>
      </w:tr>
      <w:tr>
        <w:tc>
          <w:tcPr/>
          <w:p>
            <w:pPr>
              <w:pStyle w:val="Compact"/>
              <w:jc w:val="left"/>
            </w:pPr>
            <w:r>
              <w:t xml:space="preserve">Features</w:t>
            </w:r>
          </w:p>
        </w:tc>
        <w:tc>
          <w:tcPr/>
          <w:p>
            <w:pPr>
              <w:pStyle w:val="Compact"/>
              <w:jc w:val="left"/>
            </w:pPr>
            <w:r>
              <w:t xml:space="preserve">89 columns from</w:t>
            </w:r>
            <w:r>
              <w:t xml:space="preserve"> </w:t>
            </w:r>
            <w:r>
              <w:rPr>
                <w:rStyle w:val="VerbatimChar"/>
              </w:rPr>
              <w:t xml:space="preserve">ClaimFeatureBuilder</w:t>
            </w:r>
          </w:p>
        </w:tc>
      </w:tr>
      <w:tr>
        <w:tc>
          <w:tcPr/>
          <w:p>
            <w:pPr>
              <w:pStyle w:val="Compact"/>
              <w:jc w:val="left"/>
            </w:pPr>
            <w:r>
              <w:t xml:space="preserve">Selection metric</w:t>
            </w:r>
          </w:p>
        </w:tc>
        <w:tc>
          <w:tcPr/>
          <w:p>
            <w:pPr>
              <w:pStyle w:val="Compact"/>
              <w:jc w:val="left"/>
            </w:pPr>
            <w:r>
              <w:t xml:space="preserve">PR-AUC on real validation (2,313 claims, 139 frauds)</w:t>
            </w:r>
          </w:p>
        </w:tc>
      </w:tr>
      <w:tr>
        <w:tc>
          <w:tcPr/>
          <w:p>
            <w:pPr>
              <w:pStyle w:val="Compact"/>
              <w:jc w:val="left"/>
            </w:pPr>
            <w:r>
              <w:t xml:space="preserve">Imbalance</w:t>
            </w:r>
          </w:p>
        </w:tc>
        <w:tc>
          <w:tcPr/>
          <w:p>
            <w:pPr>
              <w:pStyle w:val="Compact"/>
              <w:jc w:val="left"/>
            </w:pPr>
            <w:r>
              <w:rPr>
                <w:rStyle w:val="VerbatimChar"/>
              </w:rPr>
              <w:t xml:space="preserve">scale_pos_weight</w:t>
            </w:r>
            <w:r>
              <w:t xml:space="preserve"> </w:t>
            </w:r>
            <w:r>
              <w:t xml:space="preserve">(class weights); no resampling</w:t>
            </w:r>
          </w:p>
        </w:tc>
      </w:tr>
      <w:tr>
        <w:tc>
          <w:tcPr/>
          <w:p>
            <w:pPr>
              <w:pStyle w:val="Compact"/>
              <w:jc w:val="left"/>
            </w:pPr>
            <w:r>
              <w:t xml:space="preserve">Final model</w:t>
            </w:r>
          </w:p>
        </w:tc>
        <w:tc>
          <w:tcPr/>
          <w:p>
            <w:pPr>
              <w:pStyle w:val="Compact"/>
              <w:jc w:val="left"/>
            </w:pPr>
            <w:r>
              <w:t xml:space="preserve">3-seed ensemble (seeds 42/43/44), early stopping on PR-AUC</w:t>
            </w:r>
          </w:p>
        </w:tc>
      </w:tr>
      <w:tr>
        <w:tc>
          <w:tcPr/>
          <w:p>
            <w:pPr>
              <w:pStyle w:val="Compact"/>
              <w:jc w:val="left"/>
            </w:pPr>
            <w:r>
              <w:t xml:space="preserve">Calibration</w:t>
            </w:r>
          </w:p>
        </w:tc>
        <w:tc>
          <w:tcPr/>
          <w:p>
            <w:pPr>
              <w:pStyle w:val="Compact"/>
              <w:jc w:val="left"/>
            </w:pPr>
            <w:r>
              <w:t xml:space="preserve">5-fold cross-fitted Platt scaling (Brier 0.049)</w:t>
            </w:r>
          </w:p>
        </w:tc>
      </w:tr>
      <w:tr>
        <w:tc>
          <w:tcPr/>
          <w:p>
            <w:pPr>
              <w:pStyle w:val="Compact"/>
              <w:jc w:val="left"/>
            </w:pPr>
            <w:r>
              <w:t xml:space="preserve">Thresholds</w:t>
            </w:r>
          </w:p>
        </w:tc>
        <w:tc>
          <w:tcPr/>
          <w:p>
            <w:pPr>
              <w:pStyle w:val="Compact"/>
              <w:jc w:val="left"/>
            </w:pPr>
            <w:r>
              <w:t xml:space="preserve">Cost-based: 5:1, 10:1, 20:1 ratios + top-10% capacity</w:t>
            </w:r>
          </w:p>
        </w:tc>
      </w:tr>
      <w:tr>
        <w:tc>
          <w:tcPr/>
          <w:p>
            <w:pPr>
              <w:pStyle w:val="Compact"/>
              <w:jc w:val="left"/>
            </w:pPr>
            <w:r>
              <w:t xml:space="preserve">Test evaluation</w:t>
            </w:r>
          </w:p>
        </w:tc>
        <w:tc>
          <w:tcPr/>
          <w:p>
            <w:pPr>
              <w:pStyle w:val="Compact"/>
              <w:jc w:val="left"/>
            </w:pPr>
            <w:r>
              <w:t xml:space="preserve">Opened once, by the final run</w:t>
            </w:r>
          </w:p>
        </w:tc>
      </w:tr>
    </w:tbl>
    <w:bookmarkEnd w:id="45"/>
    <w:bookmarkEnd w:id="46"/>
    <w:bookmarkStart w:id="47" w:name="why-gradient-boosting-lightgbm"/>
    <w:p>
      <w:pPr>
        <w:pStyle w:val="Heading2"/>
      </w:pPr>
      <w:r>
        <w:rPr>
          <w:rStyle w:val="SectionNumber"/>
        </w:rPr>
        <w:t xml:space="preserve">4.2</w:t>
      </w:r>
      <w:r>
        <w:tab/>
      </w:r>
      <w:r>
        <w:t xml:space="preserve">Why Gradient Boosting (LightGBM)</w:t>
      </w:r>
    </w:p>
    <w:p>
      <w:pPr>
        <w:pStyle w:val="FirstParagraph"/>
      </w:pPr>
      <w:r>
        <w:t xml:space="preserve">Gradient-boosted decision trees outperform alternatives on this task for several reasons:</w:t>
      </w:r>
    </w:p>
    <w:p>
      <w:pPr>
        <w:numPr>
          <w:ilvl w:val="0"/>
          <w:numId w:val="1007"/>
        </w:numPr>
      </w:pPr>
      <w:r>
        <w:rPr>
          <w:bCs/>
          <w:b/>
        </w:rPr>
        <w:t xml:space="preserve">Tabular data dominance:</w:t>
      </w:r>
      <w:r>
        <w:t xml:space="preserve"> </w:t>
      </w:r>
      <w:r>
        <w:t xml:space="preserve">GBDTs consistently outperform neural networks on structured tabular data, particularly with limited training samples and high cardinality categorical features </w:t>
      </w:r>
      <w:r>
        <w:t xml:space="preserve">.</w:t>
      </w:r>
    </w:p>
    <w:p>
      <w:pPr>
        <w:numPr>
          <w:ilvl w:val="0"/>
          <w:numId w:val="1007"/>
        </w:numPr>
      </w:pPr>
      <w:r>
        <w:rPr>
          <w:bCs/>
          <w:b/>
        </w:rPr>
        <w:t xml:space="preserve">Native imbalance handling:</w:t>
      </w:r>
      <w:r>
        <w:t xml:space="preserve"> </w:t>
      </w:r>
      <w:r>
        <w:rPr>
          <w:rStyle w:val="VerbatimChar"/>
        </w:rPr>
        <w:t xml:space="preserve">scale_pos_weight</w:t>
      </w:r>
      <w:r>
        <w:t xml:space="preserve"> </w:t>
      </w:r>
      <w:r>
        <w:t xml:space="preserve">directly adjusts the gradient computation, avoiding the artefacts introduced by SMOTE in high-dimensional categorical spaces.</w:t>
      </w:r>
    </w:p>
    <w:p>
      <w:pPr>
        <w:numPr>
          <w:ilvl w:val="0"/>
          <w:numId w:val="1007"/>
        </w:numPr>
      </w:pPr>
      <w:r>
        <w:rPr>
          <w:bCs/>
          <w:b/>
        </w:rPr>
        <w:t xml:space="preserve">Explainability:</w:t>
      </w:r>
      <w:r>
        <w:t xml:space="preserve"> </w:t>
      </w:r>
      <w:r>
        <w:t xml:space="preserve">TreeSHAP provides exact, polynomial-time feature attributions—critical for adjuster trust and regulatory compliance.</w:t>
      </w:r>
    </w:p>
    <w:p>
      <w:pPr>
        <w:numPr>
          <w:ilvl w:val="0"/>
          <w:numId w:val="1007"/>
        </w:numPr>
      </w:pPr>
      <w:r>
        <w:rPr>
          <w:bCs/>
          <w:b/>
        </w:rPr>
        <w:t xml:space="preserve">Calibration:</w:t>
      </w:r>
      <w:r>
        <w:t xml:space="preserve"> </w:t>
      </w:r>
      <w:r>
        <w:t xml:space="preserve">Platt scaling on the LightGBM log-odds produces well-calibrated probabilities (Brier score 0.049 vs. 0.159 uncalibrated).</w:t>
      </w:r>
    </w:p>
    <w:bookmarkEnd w:id="47"/>
    <w:bookmarkStart w:id="49" w:name="data-mix-experiment"/>
    <w:p>
      <w:pPr>
        <w:pStyle w:val="Heading2"/>
      </w:pPr>
      <w:r>
        <w:rPr>
          <w:rStyle w:val="SectionNumber"/>
        </w:rPr>
        <w:t xml:space="preserve">4.3</w:t>
      </w:r>
      <w:r>
        <w:tab/>
      </w:r>
      <w:r>
        <w:t xml:space="preserve">Data-Mix Experiment</w:t>
      </w:r>
    </w:p>
    <w:p>
      <w:pPr>
        <w:pStyle w:val="FirstParagraph"/>
      </w:pPr>
      <w:r>
        <w:t xml:space="preserve">The data-mix experiment determined the optimal synthetic data weight:</w:t>
      </w:r>
    </w:p>
    <w:bookmarkStart w:id="48" w:name="tab:datamix"/>
    <w:p>
      <w:pPr>
        <w:pStyle w:val="TableCaption"/>
      </w:pPr>
      <w:r>
        <w:t xml:space="preserve">Data-mix experiment results (real-validation PR-AUC, 2-seed mean).</w:t>
      </w:r>
    </w:p>
    <w:tbl>
      <w:tblPr>
        <w:tblStyle w:val="Table"/>
        <w:tblW w:type="auto" w:w="0"/>
        <w:tblLook w:firstRow="1" w:lastRow="0" w:firstColumn="0" w:lastColumn="0" w:noHBand="0" w:noVBand="0" w:val="0020"/>
        <w:jc w:val="start"/>
        <w:tblCaption w:val="Data-mix experiment results (real-validation PR-AUC, 2-seed mean)."/>
      </w:tblPr>
      <w:tblGrid>
        <w:gridCol w:w="2640"/>
        <w:gridCol w:w="2640"/>
        <w:gridCol w:w="2640"/>
      </w:tblGrid>
      <w:tr>
        <w:trPr>
          <w:tblHeader w:val="true"/>
        </w:trPr>
        <w:tc>
          <w:tcPr/>
          <w:p>
            <w:pPr>
              <w:pStyle w:val="Compact"/>
              <w:jc w:val="left"/>
            </w:pPr>
            <w:r>
              <w:rPr>
                <w:bCs/>
                <w:b/>
              </w:rPr>
              <w:t xml:space="preserve">Training Data</w:t>
            </w:r>
          </w:p>
        </w:tc>
        <w:tc>
          <w:tcPr/>
          <w:p>
            <w:pPr>
              <w:pStyle w:val="Compact"/>
              <w:jc w:val="right"/>
            </w:pPr>
            <w:r>
              <w:rPr>
                <w:bCs/>
                <w:b/>
              </w:rPr>
              <w:t xml:space="preserve">Train Rows</w:t>
            </w:r>
          </w:p>
        </w:tc>
        <w:tc>
          <w:tcPr/>
          <w:p>
            <w:pPr>
              <w:pStyle w:val="Compact"/>
              <w:jc w:val="right"/>
            </w:pPr>
            <w:r>
              <w:rPr>
                <w:bCs/>
                <w:b/>
              </w:rPr>
              <w:t xml:space="preserve">PR-AUC</w:t>
            </w:r>
          </w:p>
        </w:tc>
      </w:tr>
      <w:tr>
        <w:tc>
          <w:tcPr/>
          <w:p>
            <w:pPr>
              <w:pStyle w:val="Compact"/>
              <w:jc w:val="left"/>
            </w:pPr>
            <w:r>
              <w:t xml:space="preserve">Real only</w:t>
            </w:r>
          </w:p>
        </w:tc>
        <w:tc>
          <w:tcPr/>
          <w:p>
            <w:pPr>
              <w:pStyle w:val="Compact"/>
              <w:jc w:val="right"/>
            </w:pPr>
            <w:r>
              <w:t xml:space="preserve">10,793</w:t>
            </w:r>
          </w:p>
        </w:tc>
        <w:tc>
          <w:tcPr/>
          <w:p>
            <w:pPr>
              <w:pStyle w:val="Compact"/>
              <w:jc w:val="right"/>
            </w:pPr>
            <w:r>
              <w:t xml:space="preserve">0.238</w:t>
            </w:r>
          </w:p>
        </w:tc>
      </w:tr>
      <w:tr>
        <w:tc>
          <w:tcPr/>
          <w:p>
            <w:pPr>
              <w:pStyle w:val="Compact"/>
              <w:jc w:val="left"/>
            </w:pPr>
            <w:r>
              <w:t xml:space="preserve">Real + 10% synthetic</w:t>
            </w:r>
          </w:p>
        </w:tc>
        <w:tc>
          <w:tcPr/>
          <w:p>
            <w:pPr>
              <w:pStyle w:val="Compact"/>
              <w:jc w:val="right"/>
            </w:pPr>
            <w:r>
              <w:t xml:space="preserve">39,714</w:t>
            </w:r>
          </w:p>
        </w:tc>
        <w:tc>
          <w:tcPr/>
          <w:p>
            <w:pPr>
              <w:pStyle w:val="Compact"/>
              <w:jc w:val="right"/>
            </w:pPr>
            <w:r>
              <w:t xml:space="preserve">0.237</w:t>
            </w:r>
          </w:p>
        </w:tc>
      </w:tr>
      <w:tr>
        <w:tc>
          <w:tcPr/>
          <w:p>
            <w:pPr>
              <w:pStyle w:val="Compact"/>
              <w:jc w:val="left"/>
            </w:pPr>
            <w:r>
              <w:t xml:space="preserve">Real + 25% synthetic</w:t>
            </w:r>
          </w:p>
        </w:tc>
        <w:tc>
          <w:tcPr/>
          <w:p>
            <w:pPr>
              <w:pStyle w:val="Compact"/>
              <w:jc w:val="right"/>
            </w:pPr>
            <w:r>
              <w:t xml:space="preserve">83,095</w:t>
            </w:r>
          </w:p>
        </w:tc>
        <w:tc>
          <w:tcPr/>
          <w:p>
            <w:pPr>
              <w:pStyle w:val="Compact"/>
              <w:jc w:val="right"/>
            </w:pPr>
            <w:r>
              <w:t xml:space="preserve">0.259</w:t>
            </w:r>
          </w:p>
        </w:tc>
      </w:tr>
      <w:tr>
        <w:tc>
          <w:tcPr/>
          <w:p>
            <w:pPr>
              <w:pStyle w:val="Compact"/>
              <w:jc w:val="left"/>
            </w:pPr>
            <w:r>
              <w:t xml:space="preserve">Real + 50% synthetic</w:t>
            </w:r>
          </w:p>
        </w:tc>
        <w:tc>
          <w:tcPr/>
          <w:p>
            <w:pPr>
              <w:pStyle w:val="Compact"/>
              <w:jc w:val="right"/>
            </w:pPr>
            <w:r>
              <w:t xml:space="preserve">155,397</w:t>
            </w:r>
          </w:p>
        </w:tc>
        <w:tc>
          <w:tcPr/>
          <w:p>
            <w:pPr>
              <w:pStyle w:val="Compact"/>
              <w:jc w:val="right"/>
            </w:pPr>
            <w:r>
              <w:t xml:space="preserve">0.270</w:t>
            </w:r>
          </w:p>
        </w:tc>
      </w:tr>
      <w:tr>
        <w:tc>
          <w:tcPr/>
          <w:p>
            <w:pPr>
              <w:pStyle w:val="Compact"/>
              <w:jc w:val="left"/>
            </w:pPr>
            <w:r>
              <w:t xml:space="preserve">Real + 100% synthetic,</w:t>
            </w:r>
            <w:r>
              <w:t xml:space="preserve"> </w:t>
            </w:r>
            <m:oMath>
              <m:r>
                <m:t>w</m:t>
              </m:r>
              <m:r>
                <m:rPr>
                  <m:sty m:val="p"/>
                </m:rPr>
                <m:t>=</m:t>
              </m:r>
              <m:r>
                <m:t>1.0</m:t>
              </m:r>
            </m:oMath>
          </w:p>
        </w:tc>
        <w:tc>
          <w:tcPr/>
          <w:p>
            <w:pPr>
              <w:pStyle w:val="Compact"/>
              <w:jc w:val="right"/>
            </w:pPr>
            <w:r>
              <w:t xml:space="preserve">300,000</w:t>
            </w:r>
          </w:p>
        </w:tc>
        <w:tc>
          <w:tcPr/>
          <w:p>
            <w:pPr>
              <w:pStyle w:val="Compact"/>
              <w:jc w:val="right"/>
            </w:pPr>
            <w:r>
              <w:t xml:space="preserve">0.274</w:t>
            </w:r>
          </w:p>
        </w:tc>
      </w:tr>
      <w:tr>
        <w:tc>
          <w:tcPr/>
          <w:p>
            <w:pPr>
              <w:pStyle w:val="Compact"/>
              <w:jc w:val="left"/>
            </w:pPr>
            <w:r>
              <w:rPr>
                <w:bCs/>
                <w:b/>
              </w:rPr>
              <w:t xml:space="preserve">Real + 100% synthetic,</w:t>
            </w:r>
            <w:r>
              <w:rPr>
                <w:bCs/>
                <w:b/>
              </w:rPr>
              <w:t xml:space="preserve"> </w:t>
            </w:r>
            <m:oMath>
              <m:r>
                <m:t>w</m:t>
              </m:r>
              <m:r>
                <m:rPr>
                  <m:sty m:val="p"/>
                </m:rPr>
                <m:t>=</m:t>
              </m:r>
              <m:r>
                <m:t>0.3</m:t>
              </m:r>
            </m:oMath>
          </w:p>
        </w:tc>
        <w:tc>
          <w:tcPr/>
          <w:p>
            <w:pPr>
              <w:pStyle w:val="Compact"/>
              <w:jc w:val="right"/>
            </w:pPr>
            <w:r>
              <w:rPr>
                <w:bCs/>
                <w:b/>
              </w:rPr>
              <w:t xml:space="preserve">300,000</w:t>
            </w:r>
          </w:p>
        </w:tc>
        <w:tc>
          <w:tcPr/>
          <w:p>
            <w:pPr>
              <w:pStyle w:val="Compact"/>
              <w:jc w:val="right"/>
            </w:pPr>
            <w:r>
              <w:rPr>
                <w:bCs/>
                <w:b/>
              </w:rPr>
              <w:t xml:space="preserve">0.286</w:t>
            </w:r>
          </w:p>
        </w:tc>
      </w:tr>
      <w:tr>
        <w:tc>
          <w:tcPr/>
          <w:p>
            <w:pPr>
              <w:pStyle w:val="Compact"/>
              <w:jc w:val="left"/>
            </w:pPr>
            <w:r>
              <w:t xml:space="preserve">Real + 100% synthetic,</w:t>
            </w:r>
            <w:r>
              <w:t xml:space="preserve"> </w:t>
            </w:r>
            <m:oMath>
              <m:r>
                <m:t>w</m:t>
              </m:r>
              <m:r>
                <m:rPr>
                  <m:sty m:val="p"/>
                </m:rPr>
                <m:t>=</m:t>
              </m:r>
              <m:r>
                <m:t>0.1</m:t>
              </m:r>
            </m:oMath>
          </w:p>
        </w:tc>
        <w:tc>
          <w:tcPr/>
          <w:p>
            <w:pPr>
              <w:pStyle w:val="Compact"/>
              <w:jc w:val="right"/>
            </w:pPr>
            <w:r>
              <w:t xml:space="preserve">300,000</w:t>
            </w:r>
          </w:p>
        </w:tc>
        <w:tc>
          <w:tcPr/>
          <w:p>
            <w:pPr>
              <w:pStyle w:val="Compact"/>
              <w:jc w:val="right"/>
            </w:pPr>
            <w:r>
              <w:t xml:space="preserve">0.284</w:t>
            </w:r>
          </w:p>
        </w:tc>
      </w:tr>
      <w:tr>
        <w:tc>
          <w:tcPr/>
          <w:p>
            <w:pPr>
              <w:pStyle w:val="Compact"/>
              <w:jc w:val="left"/>
            </w:pPr>
            <w:r>
              <w:t xml:space="preserve">Synthetic only</w:t>
            </w:r>
          </w:p>
        </w:tc>
        <w:tc>
          <w:tcPr/>
          <w:p>
            <w:pPr>
              <w:pStyle w:val="Compact"/>
              <w:jc w:val="right"/>
            </w:pPr>
            <w:r>
              <w:t xml:space="preserve">289,207</w:t>
            </w:r>
          </w:p>
        </w:tc>
        <w:tc>
          <w:tcPr/>
          <w:p>
            <w:pPr>
              <w:pStyle w:val="Compact"/>
              <w:jc w:val="right"/>
            </w:pPr>
            <w:r>
              <w:t xml:space="preserve">0.275</w:t>
            </w:r>
          </w:p>
        </w:tc>
      </w:tr>
    </w:tbl>
    <w:bookmarkEnd w:id="48"/>
    <w:p>
      <w:pPr>
        <w:pStyle w:val="BodyText"/>
      </w:pPr>
      <w:r>
        <w:t xml:space="preserve">More synthetic data helps steadily (+0.04 to +0.05 PR-AUC over real-only). Down-weighting to 0.1–0.3 is slightly better than weight 1.0. The gap between</w:t>
      </w:r>
      <w:r>
        <w:t xml:space="preserve"> </w:t>
      </w:r>
      <m:oMath>
        <m:r>
          <m:t>w</m:t>
        </m:r>
        <m:r>
          <m:rPr>
            <m:sty m:val="p"/>
          </m:rPr>
          <m:t>=</m:t>
        </m:r>
        <m:r>
          <m:t>0.1</m:t>
        </m:r>
      </m:oMath>
      <w:r>
        <w:t xml:space="preserve"> </w:t>
      </w:r>
      <w:r>
        <w:t xml:space="preserve">and</w:t>
      </w:r>
      <w:r>
        <w:t xml:space="preserve"> </w:t>
      </w:r>
      <m:oMath>
        <m:r>
          <m:t>w</m:t>
        </m:r>
        <m:r>
          <m:rPr>
            <m:sty m:val="p"/>
          </m:rPr>
          <m:t>=</m:t>
        </m:r>
        <m:r>
          <m:t>0.3</m:t>
        </m:r>
      </m:oMath>
      <w:r>
        <w:t xml:space="preserve"> </w:t>
      </w:r>
      <w:r>
        <w:t xml:space="preserve">(0.002) is within seed noise.</w:t>
      </w:r>
    </w:p>
    <w:bookmarkEnd w:id="49"/>
    <w:bookmarkStart w:id="51" w:name="model-comparison"/>
    <w:p>
      <w:pPr>
        <w:pStyle w:val="Heading2"/>
      </w:pPr>
      <w:r>
        <w:rPr>
          <w:rStyle w:val="SectionNumber"/>
        </w:rPr>
        <w:t xml:space="preserve">4.4</w:t>
      </w:r>
      <w:r>
        <w:tab/>
      </w:r>
      <w:r>
        <w:t xml:space="preserve">Model Comparison</w:t>
      </w:r>
    </w:p>
    <w:bookmarkStart w:id="50" w:name="tab:model_zoo"/>
    <w:p>
      <w:pPr>
        <w:pStyle w:val="TableCaption"/>
      </w:pPr>
      <w:r>
        <w:t xml:space="preserve">Model comparison on real validation (PR-AUC, primary metric).</w:t>
      </w:r>
    </w:p>
    <w:tbl>
      <w:tblPr>
        <w:tblStyle w:val="Table"/>
        <w:tblW w:type="auto" w:w="0"/>
        <w:tblLook w:firstRow="1" w:lastRow="0" w:firstColumn="0" w:lastColumn="0" w:noHBand="0" w:noVBand="0" w:val="0020"/>
        <w:jc w:val="start"/>
        <w:tblCaption w:val="Model comparison on real validation (PR-AUC, primary metric)."/>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center"/>
            </w:pPr>
            <w:r>
              <w:rPr>
                <w:bCs/>
                <w:b/>
              </w:rPr>
              <w:t xml:space="preserve">PR-AUC</w:t>
            </w:r>
          </w:p>
        </w:tc>
        <w:tc>
          <w:tcPr/>
          <w:p>
            <w:pPr>
              <w:pStyle w:val="Compact"/>
              <w:jc w:val="center"/>
            </w:pPr>
            <w:r>
              <w:rPr>
                <w:bCs/>
                <w:b/>
              </w:rPr>
              <w:t xml:space="preserve">ROC-AUC</w:t>
            </w:r>
          </w:p>
        </w:tc>
        <w:tc>
          <w:tcPr/>
          <w:p>
            <w:pPr>
              <w:pStyle w:val="Compact"/>
              <w:jc w:val="center"/>
            </w:pPr>
            <w:r>
              <w:rPr>
                <w:bCs/>
                <w:b/>
              </w:rPr>
              <w:t xml:space="preserve">Source</w:t>
            </w:r>
          </w:p>
        </w:tc>
      </w:tr>
      <w:tr>
        <w:tc>
          <w:tcPr/>
          <w:p>
            <w:pPr>
              <w:pStyle w:val="Compact"/>
              <w:jc w:val="left"/>
            </w:pPr>
            <w:r>
              <w:rPr>
                <w:bCs/>
                <w:b/>
              </w:rPr>
              <w:t xml:space="preserve">LightGBM</w:t>
            </w:r>
            <w:r>
              <w:t xml:space="preserve"> </w:t>
            </w:r>
            <w:r>
              <w:t xml:space="preserve">(3-seed ensemble)</w:t>
            </w:r>
          </w:p>
        </w:tc>
        <w:tc>
          <w:tcPr/>
          <w:p>
            <w:pPr>
              <w:pStyle w:val="Compact"/>
              <w:jc w:val="center"/>
            </w:pPr>
            <w:r>
              <w:rPr>
                <w:bCs/>
                <w:b/>
              </w:rPr>
              <w:t xml:space="preserve">0.291</w:t>
            </w:r>
          </w:p>
        </w:tc>
        <w:tc>
          <w:tcPr/>
          <w:p>
            <w:pPr>
              <w:pStyle w:val="Compact"/>
              <w:jc w:val="center"/>
            </w:pPr>
            <w:r>
              <w:rPr>
                <w:bCs/>
                <w:b/>
              </w:rPr>
              <w:t xml:space="preserve">0.870</w:t>
            </w:r>
          </w:p>
        </w:tc>
        <w:tc>
          <w:tcPr/>
          <w:p>
            <w:pPr>
              <w:pStyle w:val="Compact"/>
              <w:jc w:val="center"/>
            </w:pPr>
            <w:r>
              <w:t xml:space="preserve">Final run</w:t>
            </w:r>
          </w:p>
        </w:tc>
      </w:tr>
      <w:tr>
        <w:tc>
          <w:tcPr/>
          <w:p>
            <w:pPr>
              <w:pStyle w:val="Compact"/>
              <w:jc w:val="left"/>
            </w:pPr>
            <w:r>
              <w:t xml:space="preserve">XGBoost (</w:t>
            </w:r>
            <m:oMath>
              <m:r>
                <m:t>w</m:t>
              </m:r>
              <m:r>
                <m:rPr>
                  <m:sty m:val="p"/>
                </m:rPr>
                <m:t>=</m:t>
              </m:r>
              <m:r>
                <m:t>0.3</m:t>
              </m:r>
            </m:oMath>
            <w:r>
              <w:t xml:space="preserve">)</w:t>
            </w:r>
          </w:p>
        </w:tc>
        <w:tc>
          <w:tcPr/>
          <w:p>
            <w:pPr>
              <w:pStyle w:val="Compact"/>
              <w:jc w:val="center"/>
            </w:pPr>
            <w:r>
              <w:t xml:space="preserve">0.283</w:t>
            </w:r>
          </w:p>
        </w:tc>
        <w:tc>
          <w:tcPr/>
          <w:p>
            <w:pPr>
              <w:pStyle w:val="Compact"/>
              <w:jc w:val="center"/>
            </w:pPr>
            <w:r>
              <w:t xml:space="preserve">—</w:t>
            </w:r>
          </w:p>
        </w:tc>
        <w:tc>
          <w:tcPr/>
          <w:p>
            <w:pPr>
              <w:pStyle w:val="Compact"/>
              <w:jc w:val="center"/>
            </w:pPr>
            <w:r>
              <w:t xml:space="preserve">Partial run</w:t>
            </w:r>
          </w:p>
        </w:tc>
      </w:tr>
      <w:tr>
        <w:tc>
          <w:tcPr/>
          <w:p>
            <w:pPr>
              <w:pStyle w:val="Compact"/>
              <w:jc w:val="left"/>
            </w:pPr>
            <w:r>
              <w:t xml:space="preserve">MLP (tuned, 3-seed, CPU)</w:t>
            </w:r>
          </w:p>
        </w:tc>
        <w:tc>
          <w:tcPr/>
          <w:p>
            <w:pPr>
              <w:pStyle w:val="Compact"/>
              <w:jc w:val="center"/>
            </w:pPr>
            <w:r>
              <w:t xml:space="preserve">0.262</w:t>
            </w:r>
          </w:p>
        </w:tc>
        <w:tc>
          <w:tcPr/>
          <w:p>
            <w:pPr>
              <w:pStyle w:val="Compact"/>
              <w:jc w:val="center"/>
            </w:pPr>
            <w:r>
              <w:t xml:space="preserve">0.867</w:t>
            </w:r>
          </w:p>
        </w:tc>
        <w:tc>
          <w:tcPr/>
          <w:p>
            <w:pPr>
              <w:pStyle w:val="Compact"/>
              <w:jc w:val="center"/>
            </w:pPr>
            <w:r>
              <w:t xml:space="preserve">This PR</w:t>
            </w:r>
          </w:p>
        </w:tc>
      </w:tr>
      <w:tr>
        <w:tc>
          <w:tcPr/>
          <w:p>
            <w:pPr>
              <w:pStyle w:val="Compact"/>
              <w:jc w:val="left"/>
            </w:pPr>
            <w:r>
              <w:t xml:space="preserve">MLP (default architecture)</w:t>
            </w:r>
          </w:p>
        </w:tc>
        <w:tc>
          <w:tcPr/>
          <w:p>
            <w:pPr>
              <w:pStyle w:val="Compact"/>
              <w:jc w:val="center"/>
            </w:pPr>
            <w:r>
              <w:t xml:space="preserve">0.261</w:t>
            </w:r>
          </w:p>
        </w:tc>
        <w:tc>
          <w:tcPr/>
          <w:p>
            <w:pPr>
              <w:pStyle w:val="Compact"/>
              <w:jc w:val="center"/>
            </w:pPr>
            <w:r>
              <w:t xml:space="preserve">—</w:t>
            </w:r>
          </w:p>
        </w:tc>
        <w:tc>
          <w:tcPr/>
          <w:p>
            <w:pPr>
              <w:pStyle w:val="Compact"/>
              <w:jc w:val="center"/>
            </w:pPr>
            <w:r>
              <w:t xml:space="preserve">This PR</w:t>
            </w:r>
          </w:p>
        </w:tc>
      </w:tr>
      <w:tr>
        <w:tc>
          <w:tcPr/>
          <w:p>
            <w:pPr>
              <w:pStyle w:val="Compact"/>
              <w:jc w:val="left"/>
            </w:pPr>
            <w:r>
              <w:t xml:space="preserve">Random Forest</w:t>
            </w:r>
          </w:p>
        </w:tc>
        <w:tc>
          <w:tcPr/>
          <w:p>
            <w:pPr>
              <w:pStyle w:val="Compact"/>
              <w:jc w:val="center"/>
            </w:pPr>
            <w:r>
              <w:t xml:space="preserve">0.246</w:t>
            </w:r>
          </w:p>
        </w:tc>
        <w:tc>
          <w:tcPr/>
          <w:p>
            <w:pPr>
              <w:pStyle w:val="Compact"/>
              <w:jc w:val="center"/>
            </w:pPr>
            <w:r>
              <w:t xml:space="preserve">—</w:t>
            </w:r>
          </w:p>
        </w:tc>
        <w:tc>
          <w:tcPr/>
          <w:p>
            <w:pPr>
              <w:pStyle w:val="Compact"/>
              <w:jc w:val="center"/>
            </w:pPr>
            <w:r>
              <w:t xml:space="preserve">Partial run</w:t>
            </w:r>
          </w:p>
        </w:tc>
      </w:tr>
      <w:tr>
        <w:tc>
          <w:tcPr/>
          <w:p>
            <w:pPr>
              <w:pStyle w:val="Compact"/>
              <w:jc w:val="left"/>
            </w:pPr>
            <w:r>
              <w:t xml:space="preserve">Logistic Regression</w:t>
            </w:r>
          </w:p>
        </w:tc>
        <w:tc>
          <w:tcPr/>
          <w:p>
            <w:pPr>
              <w:pStyle w:val="Compact"/>
              <w:jc w:val="center"/>
            </w:pPr>
            <w:r>
              <w:t xml:space="preserve">0.193</w:t>
            </w:r>
          </w:p>
        </w:tc>
        <w:tc>
          <w:tcPr/>
          <w:p>
            <w:pPr>
              <w:pStyle w:val="Compact"/>
              <w:jc w:val="center"/>
            </w:pPr>
            <w:r>
              <w:t xml:space="preserve">0.815</w:t>
            </w:r>
          </w:p>
        </w:tc>
        <w:tc>
          <w:tcPr/>
          <w:p>
            <w:pPr>
              <w:pStyle w:val="Compact"/>
              <w:jc w:val="center"/>
            </w:pPr>
            <w:r>
              <w:t xml:space="preserve">Partial run</w:t>
            </w:r>
          </w:p>
        </w:tc>
      </w:tr>
      <w:tr>
        <w:tc>
          <w:tcPr/>
          <w:p>
            <w:pPr>
              <w:pStyle w:val="Compact"/>
              <w:jc w:val="left"/>
            </w:pPr>
            <w:r>
              <w:t xml:space="preserve">Rules-only (red-flag score)</w:t>
            </w:r>
          </w:p>
        </w:tc>
        <w:tc>
          <w:tcPr/>
          <w:p>
            <w:pPr>
              <w:pStyle w:val="Compact"/>
              <w:jc w:val="center"/>
            </w:pPr>
            <w:r>
              <w:t xml:space="preserve">0.142</w:t>
            </w:r>
          </w:p>
        </w:tc>
        <w:tc>
          <w:tcPr/>
          <w:p>
            <w:pPr>
              <w:pStyle w:val="Compact"/>
              <w:jc w:val="center"/>
            </w:pPr>
            <w:r>
              <w:t xml:space="preserve">0.781</w:t>
            </w:r>
          </w:p>
        </w:tc>
        <w:tc>
          <w:tcPr/>
          <w:p>
            <w:pPr>
              <w:pStyle w:val="Compact"/>
              <w:jc w:val="center"/>
            </w:pPr>
            <w:r>
              <w:t xml:space="preserve">Partial run</w:t>
            </w:r>
          </w:p>
        </w:tc>
      </w:tr>
      <w:tr>
        <w:tc>
          <w:tcPr/>
          <w:p>
            <w:pPr>
              <w:pStyle w:val="Compact"/>
              <w:jc w:val="left"/>
            </w:pPr>
            <w:r>
              <w:t xml:space="preserve">All-legit baseline</w:t>
            </w:r>
          </w:p>
        </w:tc>
        <w:tc>
          <w:tcPr/>
          <w:p>
            <w:pPr>
              <w:pStyle w:val="Compact"/>
              <w:jc w:val="center"/>
            </w:pPr>
            <w:r>
              <w:t xml:space="preserve">0.060</w:t>
            </w:r>
          </w:p>
        </w:tc>
        <w:tc>
          <w:tcPr/>
          <w:p>
            <w:pPr>
              <w:pStyle w:val="Compact"/>
              <w:jc w:val="center"/>
            </w:pPr>
            <w:r>
              <w:t xml:space="preserve">0.500</w:t>
            </w:r>
          </w:p>
        </w:tc>
        <w:tc>
          <w:tcPr/>
          <w:p>
            <w:pPr>
              <w:pStyle w:val="Compact"/>
              <w:jc w:val="center"/>
            </w:pPr>
            <w:r>
              <w:t xml:space="preserve">—</w:t>
            </w:r>
          </w:p>
        </w:tc>
      </w:tr>
    </w:tbl>
    <w:bookmarkEnd w:id="50"/>
    <w:bookmarkEnd w:id="51"/>
    <w:bookmarkStart w:id="52" w:name="neural-network-comparison-mlp"/>
    <w:p>
      <w:pPr>
        <w:pStyle w:val="Heading2"/>
      </w:pPr>
      <w:r>
        <w:rPr>
          <w:rStyle w:val="SectionNumber"/>
        </w:rPr>
        <w:t xml:space="preserve">4.5</w:t>
      </w:r>
      <w:r>
        <w:tab/>
      </w:r>
      <w:r>
        <w:t xml:space="preserve">Neural Network Comparison (MLP)</w:t>
      </w:r>
    </w:p>
    <w:p>
      <w:pPr>
        <w:pStyle w:val="FirstParagraph"/>
      </w:pPr>
      <w:r>
        <w:t xml:space="preserve">A PyTorch MLP with entity embeddings was trained on the same data, with 8 Optuna hyperparameter trials and a 3-seed stability check:</w:t>
      </w:r>
    </w:p>
    <w:p>
      <w:pPr>
        <w:numPr>
          <w:ilvl w:val="0"/>
          <w:numId w:val="1008"/>
        </w:numPr>
      </w:pPr>
      <w:r>
        <w:t xml:space="preserve">Best tuned configuration: hidden layers</w:t>
      </w:r>
      <w:r>
        <w:t xml:space="preserve"> </w:t>
      </w:r>
      <m:oMath>
        <m:d>
          <m:dPr>
            <m:begChr m:val="["/>
            <m:endChr m:val="]"/>
            <m:sepChr m:val=""/>
            <m:grow/>
          </m:dPr>
          <m:e>
            <m:r>
              <m:t>512</m:t>
            </m:r>
            <m:r>
              <m:rPr>
                <m:sty m:val="p"/>
              </m:rPr>
              <m:t>,</m:t>
            </m:r>
            <m:r>
              <m:t>256</m:t>
            </m:r>
            <m:r>
              <m:rPr>
                <m:sty m:val="p"/>
              </m:rPr>
              <m:t>,</m:t>
            </m:r>
            <m:r>
              <m:t>128</m:t>
            </m:r>
          </m:e>
        </m:d>
      </m:oMath>
      <w:r>
        <w:t xml:space="preserve">, dropout 0.39, learning rate</w:t>
      </w:r>
      <w:r>
        <w:t xml:space="preserve"> </w:t>
      </w:r>
      <m:oMath>
        <m:r>
          <m:t>6</m:t>
        </m:r>
        <m:r>
          <m:rPr>
            <m:sty m:val="p"/>
          </m:rPr>
          <m:t>×</m:t>
        </m:r>
        <m:sSup>
          <m:e>
            <m:r>
              <m:t>10</m:t>
            </m:r>
          </m:e>
          <m:sup>
            <m:r>
              <m:rPr>
                <m:sty m:val="p"/>
              </m:rPr>
              <m:t>−</m:t>
            </m:r>
            <m:r>
              <m:t>4</m:t>
            </m:r>
          </m:sup>
        </m:sSup>
      </m:oMath>
      <w:r>
        <w:t xml:space="preserve">, batch size 1024, BCE loss.</w:t>
      </w:r>
    </w:p>
    <w:p>
      <w:pPr>
        <w:numPr>
          <w:ilvl w:val="0"/>
          <w:numId w:val="1008"/>
        </w:numPr>
      </w:pPr>
      <w:r>
        <w:t xml:space="preserve">Result: ensemble PR-AUC 0.262 vs. LightGBM’s 0.291.</w:t>
      </w:r>
    </w:p>
    <w:p>
      <w:pPr>
        <w:numPr>
          <w:ilvl w:val="0"/>
          <w:numId w:val="1008"/>
        </w:numPr>
      </w:pPr>
      <w:r>
        <w:t xml:space="preserve">Paired bootstrap difference:</w:t>
      </w:r>
      <w:r>
        <w:t xml:space="preserve"> </w:t>
      </w:r>
      <m:oMath>
        <m:r>
          <m:rPr>
            <m:sty m:val="p"/>
          </m:rPr>
          <m:t>−</m:t>
        </m:r>
        <m:r>
          <m:t>0.029</m:t>
        </m:r>
      </m:oMath>
      <w:r>
        <w:t xml:space="preserve"> </w:t>
      </w:r>
      <w:r>
        <w:t xml:space="preserve">[</w:t>
      </w:r>
      <m:oMath>
        <m:r>
          <m:rPr>
            <m:sty m:val="p"/>
          </m:rPr>
          <m:t>−</m:t>
        </m:r>
        <m:r>
          <m:t>0.074</m:t>
        </m:r>
      </m:oMath>
      <w:r>
        <w:t xml:space="preserve">,</w:t>
      </w:r>
      <w:r>
        <w:t xml:space="preserve"> </w:t>
      </w:r>
      <m:oMath>
        <m:r>
          <m:rPr>
            <m:sty m:val="p"/>
          </m:rPr>
          <m:t>+</m:t>
        </m:r>
        <m:r>
          <m:t>0.012</m:t>
        </m:r>
      </m:oMath>
      <w:r>
        <w:t xml:space="preserve">].</w:t>
      </w:r>
    </w:p>
    <w:p>
      <w:pPr>
        <w:numPr>
          <w:ilvl w:val="0"/>
          <w:numId w:val="1008"/>
        </w:numPr>
      </w:pPr>
      <w:r>
        <w:t xml:space="preserve">Every MLP member scores below every LightGBM member. The MLP was not evaluated on test.</w:t>
      </w:r>
    </w:p>
    <w:bookmarkEnd w:id="52"/>
    <w:bookmarkStart w:id="54" w:name="calibration"/>
    <w:p>
      <w:pPr>
        <w:pStyle w:val="Heading2"/>
      </w:pPr>
      <w:r>
        <w:rPr>
          <w:rStyle w:val="SectionNumber"/>
        </w:rPr>
        <w:t xml:space="preserve">4.6</w:t>
      </w:r>
      <w:r>
        <w:tab/>
      </w:r>
      <w:r>
        <w:t xml:space="preserve">Calibration</w:t>
      </w:r>
    </w:p>
    <w:bookmarkStart w:id="53" w:name="tab:calibration"/>
    <w:p>
      <w:pPr>
        <w:pStyle w:val="TableCaption"/>
      </w:pPr>
      <w:r>
        <w:t xml:space="preserve">Calibration comparison.</w:t>
      </w:r>
    </w:p>
    <w:tbl>
      <w:tblPr>
        <w:tblStyle w:val="Table"/>
        <w:tblW w:type="auto" w:w="0"/>
        <w:tblLook w:firstRow="1" w:lastRow="0" w:firstColumn="0" w:lastColumn="0" w:noHBand="0" w:noVBand="0" w:val="0020"/>
        <w:jc w:val="start"/>
        <w:tblCaption w:val="Calibration comparison."/>
      </w:tblPr>
      <w:tblGrid>
        <w:gridCol w:w="3960"/>
        <w:gridCol w:w="3960"/>
      </w:tblGrid>
      <w:tr>
        <w:trPr>
          <w:tblHeader w:val="true"/>
        </w:trPr>
        <w:tc>
          <w:tcPr/>
          <w:p>
            <w:pPr>
              <w:pStyle w:val="Compact"/>
              <w:jc w:val="left"/>
            </w:pPr>
            <w:r>
              <w:rPr>
                <w:bCs/>
                <w:b/>
              </w:rPr>
              <w:t xml:space="preserve">Method</w:t>
            </w:r>
          </w:p>
        </w:tc>
        <w:tc>
          <w:tcPr/>
          <w:p>
            <w:pPr>
              <w:pStyle w:val="Compact"/>
              <w:jc w:val="center"/>
            </w:pPr>
            <w:r>
              <w:rPr>
                <w:bCs/>
                <w:b/>
              </w:rPr>
              <w:t xml:space="preserve">Brier Score</w:t>
            </w:r>
          </w:p>
        </w:tc>
      </w:tr>
      <w:tr>
        <w:tc>
          <w:tcPr/>
          <w:p>
            <w:pPr>
              <w:pStyle w:val="Compact"/>
              <w:jc w:val="left"/>
            </w:pPr>
            <w:r>
              <w:t xml:space="preserve">Uncalibrated LightGBM</w:t>
            </w:r>
          </w:p>
        </w:tc>
        <w:tc>
          <w:tcPr/>
          <w:p>
            <w:pPr>
              <w:pStyle w:val="Compact"/>
              <w:jc w:val="center"/>
            </w:pPr>
            <w:r>
              <w:t xml:space="preserve">0.159</w:t>
            </w:r>
          </w:p>
        </w:tc>
      </w:tr>
      <w:tr>
        <w:tc>
          <w:tcPr/>
          <w:p>
            <w:pPr>
              <w:pStyle w:val="Compact"/>
              <w:jc w:val="left"/>
            </w:pPr>
            <w:r>
              <w:t xml:space="preserve">Isotonic calibration</w:t>
            </w:r>
          </w:p>
        </w:tc>
        <w:tc>
          <w:tcPr/>
          <w:p>
            <w:pPr>
              <w:pStyle w:val="Compact"/>
              <w:jc w:val="center"/>
            </w:pPr>
            <w:r>
              <w:t xml:space="preserve">0.050</w:t>
            </w:r>
          </w:p>
        </w:tc>
      </w:tr>
      <w:tr>
        <w:tc>
          <w:tcPr/>
          <w:p>
            <w:pPr>
              <w:pStyle w:val="Compact"/>
              <w:jc w:val="left"/>
            </w:pPr>
            <w:r>
              <w:rPr>
                <w:bCs/>
                <w:b/>
              </w:rPr>
              <w:t xml:space="preserve">Platt calibration</w:t>
            </w:r>
          </w:p>
        </w:tc>
        <w:tc>
          <w:tcPr/>
          <w:p>
            <w:pPr>
              <w:pStyle w:val="Compact"/>
              <w:jc w:val="center"/>
            </w:pPr>
            <w:r>
              <w:rPr>
                <w:bCs/>
                <w:b/>
              </w:rPr>
              <w:t xml:space="preserve">0.049</w:t>
            </w:r>
          </w:p>
        </w:tc>
      </w:tr>
      <w:tr>
        <w:tc>
          <w:tcPr/>
          <w:p>
            <w:pPr>
              <w:pStyle w:val="Compact"/>
              <w:jc w:val="left"/>
            </w:pPr>
            <w:r>
              <w:t xml:space="preserve">Always predict base rate</w:t>
            </w:r>
          </w:p>
        </w:tc>
        <w:tc>
          <w:tcPr/>
          <w:p>
            <w:pPr>
              <w:pStyle w:val="Compact"/>
              <w:jc w:val="center"/>
            </w:pPr>
            <w:r>
              <w:t xml:space="preserve">0.056</w:t>
            </w:r>
          </w:p>
        </w:tc>
      </w:tr>
    </w:tbl>
    <w:bookmarkEnd w:id="53"/>
    <w:p>
      <w:pPr>
        <w:pStyle w:val="BodyText"/>
      </w:pPr>
      <w:r>
        <w:t xml:space="preserve">Platt scaling reduces the Brier score from 0.159 to 0.049, producing well-calibrated probability outputs suitable for cost-based decision-making.</w:t>
      </w:r>
    </w:p>
    <w:bookmarkEnd w:id="54"/>
    <w:bookmarkStart w:id="56" w:name="risk-bands-and-thresholds"/>
    <w:p>
      <w:pPr>
        <w:pStyle w:val="Heading2"/>
      </w:pPr>
      <w:r>
        <w:rPr>
          <w:rStyle w:val="SectionNumber"/>
        </w:rPr>
        <w:t xml:space="preserve">4.7</w:t>
      </w:r>
      <w:r>
        <w:tab/>
      </w:r>
      <w:r>
        <w:t xml:space="preserve">Risk Bands and Thresholds</w:t>
      </w:r>
    </w:p>
    <w:p>
      <w:pPr>
        <w:pStyle w:val="FirstParagraph"/>
      </w:pPr>
      <w:r>
        <w:t xml:space="preserve">The calibrated probabilities are mapped to three risk bands using cost-optimised thresholds:</w:t>
      </w:r>
    </w:p>
    <w:bookmarkStart w:id="55" w:name="tab:riskbands"/>
    <w:p>
      <w:pPr>
        <w:pStyle w:val="TableCaption"/>
      </w:pPr>
      <w:r>
        <w:t xml:space="preserve">Risk band definitions and operating characteristics (10:1 cost ratio on test).</w:t>
      </w:r>
    </w:p>
    <w:tbl>
      <w:tblPr>
        <w:tblStyle w:val="Table"/>
        <w:tblW w:type="auto" w:w="0"/>
        <w:tblLook w:firstRow="1" w:lastRow="0" w:firstColumn="0" w:lastColumn="0" w:noHBand="0" w:noVBand="0" w:val="0020"/>
        <w:jc w:val="start"/>
        <w:tblCaption w:val="Risk band definitions and operating characteristics (10:1 cost ratio on test)."/>
      </w:tblPr>
      <w:tblGrid>
        <w:gridCol w:w="1980"/>
        <w:gridCol w:w="1980"/>
        <w:gridCol w:w="1980"/>
        <w:gridCol w:w="1980"/>
      </w:tblGrid>
      <w:tr>
        <w:trPr>
          <w:tblHeader w:val="true"/>
        </w:trPr>
        <w:tc>
          <w:tcPr/>
          <w:p>
            <w:pPr>
              <w:pStyle w:val="Compact"/>
              <w:jc w:val="left"/>
            </w:pPr>
            <w:r>
              <w:rPr>
                <w:bCs/>
                <w:b/>
              </w:rPr>
              <w:t xml:space="preserve">Risk Band</w:t>
            </w:r>
          </w:p>
        </w:tc>
        <w:tc>
          <w:tcPr/>
          <w:p>
            <w:pPr>
              <w:pStyle w:val="Compact"/>
              <w:jc w:val="center"/>
            </w:pPr>
            <w:r>
              <w:rPr>
                <w:bCs/>
                <w:b/>
              </w:rPr>
              <w:t xml:space="preserve">Threshold</w:t>
            </w:r>
          </w:p>
        </w:tc>
        <w:tc>
          <w:tcPr/>
          <w:p>
            <w:pPr>
              <w:pStyle w:val="Compact"/>
              <w:jc w:val="center"/>
            </w:pPr>
            <w:r>
              <w:rPr>
                <w:bCs/>
                <w:b/>
              </w:rPr>
              <w:t xml:space="preserve">Meaning</w:t>
            </w:r>
          </w:p>
        </w:tc>
        <w:tc>
          <w:tcPr/>
          <w:p>
            <w:pPr>
              <w:pStyle w:val="Compact"/>
              <w:jc w:val="center"/>
            </w:pPr>
            <w:r>
              <w:rPr>
                <w:bCs/>
                <w:b/>
              </w:rPr>
              <w:t xml:space="preserve">Action</w:t>
            </w:r>
          </w:p>
        </w:tc>
      </w:tr>
      <w:tr>
        <w:tc>
          <w:tcPr/>
          <w:p>
            <w:pPr>
              <w:pStyle w:val="Compact"/>
              <w:jc w:val="left"/>
            </w:pPr>
            <w:r>
              <w:t xml:space="preserve">Low</w:t>
            </w:r>
          </w:p>
        </w:tc>
        <w:tc>
          <w:tcPr/>
          <w:p>
            <w:pPr>
              <w:pStyle w:val="Compact"/>
              <w:jc w:val="center"/>
            </w:pPr>
            <m:oMath>
              <m:r>
                <m:t>p</m:t>
              </m:r>
              <m:r>
                <m:rPr>
                  <m:sty m:val="p"/>
                </m:rPr>
                <m:t>&lt;</m:t>
              </m:r>
              <m:r>
                <m:t>0.037</m:t>
              </m:r>
            </m:oMath>
          </w:p>
        </w:tc>
        <w:tc>
          <w:tcPr/>
          <w:p>
            <w:pPr>
              <w:pStyle w:val="Compact"/>
              <w:jc w:val="center"/>
            </w:pPr>
            <w:r>
              <w:t xml:space="preserve">Below investigation threshold</w:t>
            </w:r>
          </w:p>
        </w:tc>
        <w:tc>
          <w:tcPr/>
          <w:p>
            <w:pPr>
              <w:pStyle w:val="Compact"/>
              <w:jc w:val="center"/>
            </w:pPr>
            <w:r>
              <w:t xml:space="preserve">May approve</w:t>
            </w:r>
          </w:p>
        </w:tc>
      </w:tr>
      <w:tr>
        <w:tc>
          <w:tcPr/>
          <w:p>
            <w:pPr>
              <w:pStyle w:val="Compact"/>
              <w:jc w:val="left"/>
            </w:pPr>
            <w:r>
              <w:t xml:space="preserve">Medium</w:t>
            </w:r>
          </w:p>
        </w:tc>
        <w:tc>
          <w:tcPr/>
          <w:p>
            <w:pPr>
              <w:pStyle w:val="Compact"/>
              <w:jc w:val="center"/>
            </w:pPr>
            <m:oMath>
              <m:r>
                <m:t>0.037</m:t>
              </m:r>
              <m:r>
                <m:rPr>
                  <m:sty m:val="p"/>
                </m:rPr>
                <m:t>≤</m:t>
              </m:r>
              <m:r>
                <m:t>p</m:t>
              </m:r>
              <m:r>
                <m:rPr>
                  <m:sty m:val="p"/>
                </m:rPr>
                <m:t>&lt;</m:t>
              </m:r>
              <m:r>
                <m:t>0.108</m:t>
              </m:r>
            </m:oMath>
          </w:p>
        </w:tc>
        <w:tc>
          <w:tcPr/>
          <w:p>
            <w:pPr>
              <w:pStyle w:val="Compact"/>
              <w:jc w:val="center"/>
            </w:pPr>
            <w:r>
              <w:t xml:space="preserve">Warrants review</w:t>
            </w:r>
          </w:p>
        </w:tc>
        <w:tc>
          <w:tcPr/>
          <w:p>
            <w:pPr>
              <w:pStyle w:val="Compact"/>
              <w:jc w:val="center"/>
            </w:pPr>
            <w:r>
              <w:t xml:space="preserve">Agent investigates</w:t>
            </w:r>
          </w:p>
        </w:tc>
      </w:tr>
      <w:tr>
        <w:tc>
          <w:tcPr/>
          <w:p>
            <w:pPr>
              <w:pStyle w:val="Compact"/>
              <w:jc w:val="left"/>
            </w:pPr>
            <w:r>
              <w:t xml:space="preserve">High</w:t>
            </w:r>
          </w:p>
        </w:tc>
        <w:tc>
          <w:tcPr/>
          <w:p>
            <w:pPr>
              <w:pStyle w:val="Compact"/>
              <w:jc w:val="center"/>
            </w:pPr>
            <m:oMath>
              <m:r>
                <m:t>p</m:t>
              </m:r>
              <m:r>
                <m:rPr>
                  <m:sty m:val="p"/>
                </m:rPr>
                <m:t>≥</m:t>
              </m:r>
              <m:r>
                <m:t>0.108</m:t>
              </m:r>
            </m:oMath>
          </w:p>
        </w:tc>
        <w:tc>
          <w:tcPr/>
          <w:p>
            <w:pPr>
              <w:pStyle w:val="Compact"/>
              <w:jc w:val="center"/>
            </w:pPr>
            <w:r>
              <w:t xml:space="preserve">Strong fraud signal</w:t>
            </w:r>
          </w:p>
        </w:tc>
        <w:tc>
          <w:tcPr/>
          <w:p>
            <w:pPr>
              <w:pStyle w:val="Compact"/>
              <w:jc w:val="center"/>
            </w:pPr>
            <w:r>
              <w:t xml:space="preserve">Flag for investigation</w:t>
            </w:r>
          </w:p>
        </w:tc>
      </w:tr>
    </w:tbl>
    <w:bookmarkEnd w:id="55"/>
    <w:bookmarkEnd w:id="56"/>
    <w:bookmarkEnd w:id="57"/>
    <w:bookmarkStart w:id="66" w:name="ch:agent"/>
    <w:p>
      <w:pPr>
        <w:pStyle w:val="Heading1"/>
      </w:pPr>
      <w:r>
        <w:rPr>
          <w:rStyle w:val="SectionNumber"/>
        </w:rPr>
        <w:t xml:space="preserve">5</w:t>
      </w:r>
      <w:r>
        <w:tab/>
      </w:r>
      <w:r>
        <w:t xml:space="preserve">Agentic AI Architecture and Pipeline</w:t>
      </w:r>
    </w:p>
    <w:bookmarkStart w:id="58" w:name="system-overview"/>
    <w:p>
      <w:pPr>
        <w:pStyle w:val="Heading2"/>
      </w:pPr>
      <w:r>
        <w:rPr>
          <w:rStyle w:val="SectionNumber"/>
        </w:rPr>
        <w:t xml:space="preserve">5.1</w:t>
      </w:r>
      <w:r>
        <w:tab/>
      </w:r>
      <w:r>
        <w:t xml:space="preserve">System Overview</w:t>
      </w:r>
    </w:p>
    <w:p>
      <w:pPr>
        <w:pStyle w:val="FirstParagraph"/>
      </w:pPr>
      <w:r>
        <w:t xml:space="preserve">The agentic pipeline is built on</w:t>
      </w:r>
      <w:r>
        <w:t xml:space="preserve"> </w:t>
      </w:r>
      <w:r>
        <w:rPr>
          <w:bCs/>
          <w:b/>
        </w:rPr>
        <w:t xml:space="preserve">LangGraph</w:t>
      </w:r>
      <w:r>
        <w:t xml:space="preserve">, a stateful workflow framework that extends the ReAct (Reason + Act) paradigm with checkpointable nodes and edges. The architecture follows a three-layer design:</w:t>
      </w:r>
    </w:p>
    <w:p>
      <w:pPr>
        <w:numPr>
          <w:ilvl w:val="0"/>
          <w:numId w:val="1009"/>
        </w:numPr>
      </w:pPr>
      <w:r>
        <w:rPr>
          <w:bCs/>
          <w:b/>
        </w:rPr>
        <w:t xml:space="preserve">Detection layer:</w:t>
      </w:r>
      <w:r>
        <w:t xml:space="preserve"> </w:t>
      </w:r>
      <w:r>
        <w:t xml:space="preserve">the calibrated LightGBM model provides a fraud probability, risk band and red-flag indicators.</w:t>
      </w:r>
    </w:p>
    <w:p>
      <w:pPr>
        <w:numPr>
          <w:ilvl w:val="0"/>
          <w:numId w:val="1009"/>
        </w:numPr>
      </w:pPr>
      <w:r>
        <w:rPr>
          <w:bCs/>
          <w:b/>
        </w:rPr>
        <w:t xml:space="preserve">Investigation layer:</w:t>
      </w:r>
      <w:r>
        <w:t xml:space="preserve"> </w:t>
      </w:r>
      <w:r>
        <w:t xml:space="preserve">the LLM agent dynamically selects and executes six specialised tools via a ReAct loop (up to 8 iterations).</w:t>
      </w:r>
    </w:p>
    <w:p>
      <w:pPr>
        <w:numPr>
          <w:ilvl w:val="0"/>
          <w:numId w:val="1009"/>
        </w:numPr>
      </w:pPr>
      <w:r>
        <w:rPr>
          <w:bCs/>
          <w:b/>
        </w:rPr>
        <w:t xml:space="preserve">Decision layer:</w:t>
      </w:r>
      <w:r>
        <w:t xml:space="preserve"> </w:t>
      </w:r>
      <w:r>
        <w:t xml:space="preserve">evidence is aggregated, synthesised into a recommendation, passed through code-enforced guardrails, and presented to the human adjuster.</w:t>
      </w:r>
    </w:p>
    <w:tbl>
      <w:tblPr>
        <w:tblStyle w:val="FigureTable"/>
        <w:tblW w:type="auto" w:w="0"/>
        <w:tblLook w:firstRow="0" w:lastRow="0" w:firstColumn="0" w:lastColumn="0"/>
        <w:jc w:val="center"/>
      </w:tblPr>
      <w:tblGrid/>
      <w:tr/>
    </w:tbl>
    <w:p>
      <w:pPr>
        <w:pStyle w:val="ImageCaption"/>
      </w:pPr>
      <w:r>
        <w:t xml:space="preserve">End-to-end agentic pipeline: 8-step workflow from claim ingestion to human review.</w:t>
      </w:r>
    </w:p>
    <w:bookmarkEnd w:id="58"/>
    <w:bookmarkStart w:id="60" w:name="langgraph-pipeline-8-steps"/>
    <w:p>
      <w:pPr>
        <w:pStyle w:val="Heading2"/>
      </w:pPr>
      <w:r>
        <w:rPr>
          <w:rStyle w:val="SectionNumber"/>
        </w:rPr>
        <w:t xml:space="preserve">5.2</w:t>
      </w:r>
      <w:r>
        <w:tab/>
      </w:r>
      <w:r>
        <w:t xml:space="preserve">LangGraph Pipeline (8 Steps)</w:t>
      </w:r>
    </w:p>
    <w:p>
      <w:pPr>
        <w:pStyle w:val="FirstParagraph"/>
      </w:pPr>
      <w:r>
        <w:t xml:space="preserve">The pipeline consists of eight sequential stages with a feedback loop:</w:t>
      </w:r>
    </w:p>
    <w:bookmarkStart w:id="59" w:name="tab:pipeline"/>
    <w:p>
      <w:pPr>
        <w:pStyle w:val="TableCaption"/>
      </w:pPr>
      <w:r>
        <w:t xml:space="preserve">LangGraph pipeline stages.</w:t>
      </w:r>
    </w:p>
    <w:tbl>
      <w:tblPr>
        <w:tblStyle w:val="Table"/>
        <w:tblW w:type="auto" w:w="0"/>
        <w:tblLook w:firstRow="1" w:lastRow="0" w:firstColumn="0" w:lastColumn="0" w:noHBand="0" w:noVBand="0" w:val="0020"/>
        <w:jc w:val="start"/>
        <w:tblCaption w:val="LangGraph pipeline stages."/>
      </w:tblPr>
      <w:tblGrid>
        <w:gridCol w:w="2640"/>
        <w:gridCol w:w="2640"/>
        <w:gridCol w:w="2640"/>
      </w:tblGrid>
      <w:tr>
        <w:trPr>
          <w:tblHeader w:val="true"/>
        </w:trPr>
        <w:tc>
          <w:tcPr/>
          <w:p>
            <w:pPr>
              <w:pStyle w:val="Compact"/>
              <w:jc w:val="center"/>
            </w:pPr>
            <w:r>
              <w:rPr>
                <w:bCs/>
                <w:b/>
              </w:rPr>
              <w:t xml:space="preserve">Step</w:t>
            </w:r>
          </w:p>
        </w:tc>
        <w:tc>
          <w:tcPr/>
          <w:p>
            <w:pPr>
              <w:pStyle w:val="Compact"/>
              <w:jc w:val="left"/>
            </w:pPr>
            <w:r>
              <w:rPr>
                <w:bCs/>
                <w:b/>
              </w:rPr>
              <w:t xml:space="preserve">Node</w:t>
            </w:r>
          </w:p>
        </w:tc>
        <w:tc>
          <w:tcPr/>
          <w:p>
            <w:pPr>
              <w:pStyle w:val="Compact"/>
              <w:jc w:val="left"/>
            </w:pPr>
            <w:r>
              <w:rPr>
                <w:bCs/>
                <w:b/>
              </w:rPr>
              <w:t xml:space="preserve">Function</w:t>
            </w:r>
          </w:p>
        </w:tc>
      </w:tr>
      <w:tr>
        <w:tc>
          <w:tcPr/>
          <w:p>
            <w:pPr>
              <w:pStyle w:val="Compact"/>
              <w:jc w:val="center"/>
            </w:pPr>
            <w:r>
              <w:t xml:space="preserve">1</w:t>
            </w:r>
          </w:p>
        </w:tc>
        <w:tc>
          <w:tcPr/>
          <w:p>
            <w:pPr>
              <w:pStyle w:val="Compact"/>
              <w:jc w:val="left"/>
            </w:pPr>
            <w:r>
              <w:t xml:space="preserve">Claim Ingestion</w:t>
            </w:r>
          </w:p>
        </w:tc>
        <w:tc>
          <w:tcPr/>
          <w:p>
            <w:pPr>
              <w:pStyle w:val="Compact"/>
              <w:jc w:val="left"/>
            </w:pPr>
            <w:r>
              <w:t xml:space="preserve">Parse and validate structured claim fields against the Pydantic schema</w:t>
            </w:r>
          </w:p>
        </w:tc>
      </w:tr>
      <w:tr>
        <w:tc>
          <w:tcPr/>
          <w:p>
            <w:pPr>
              <w:pStyle w:val="Compact"/>
              <w:jc w:val="center"/>
            </w:pPr>
            <w:r>
              <w:t xml:space="preserve">2</w:t>
            </w:r>
          </w:p>
        </w:tc>
        <w:tc>
          <w:tcPr/>
          <w:p>
            <w:pPr>
              <w:pStyle w:val="Compact"/>
              <w:jc w:val="left"/>
            </w:pPr>
            <w:r>
              <w:t xml:space="preserve">Validation</w:t>
            </w:r>
          </w:p>
        </w:tc>
        <w:tc>
          <w:tcPr/>
          <w:p>
            <w:pPr>
              <w:pStyle w:val="Compact"/>
              <w:jc w:val="left"/>
            </w:pPr>
            <w:r>
              <w:t xml:space="preserve">Apply policy rules and consistency checks</w:t>
            </w:r>
          </w:p>
        </w:tc>
      </w:tr>
      <w:tr>
        <w:tc>
          <w:tcPr/>
          <w:p>
            <w:pPr>
              <w:pStyle w:val="Compact"/>
              <w:jc w:val="center"/>
            </w:pPr>
            <w:r>
              <w:t xml:space="preserve">3</w:t>
            </w:r>
          </w:p>
        </w:tc>
        <w:tc>
          <w:tcPr/>
          <w:p>
            <w:pPr>
              <w:pStyle w:val="Compact"/>
              <w:jc w:val="left"/>
            </w:pPr>
            <w:r>
              <w:t xml:space="preserve">ML Scoring</w:t>
            </w:r>
          </w:p>
        </w:tc>
        <w:tc>
          <w:tcPr/>
          <w:p>
            <w:pPr>
              <w:pStyle w:val="Compact"/>
              <w:jc w:val="left"/>
            </w:pPr>
            <w:r>
              <w:t xml:space="preserve">Run the calibrated LightGBM model; output probability, risk band, red flags</w:t>
            </w:r>
          </w:p>
        </w:tc>
      </w:tr>
      <w:tr>
        <w:tc>
          <w:tcPr/>
          <w:p>
            <w:pPr>
              <w:pStyle w:val="Compact"/>
              <w:jc w:val="center"/>
            </w:pPr>
            <w:r>
              <w:t xml:space="preserve">4</w:t>
            </w:r>
          </w:p>
        </w:tc>
        <w:tc>
          <w:tcPr/>
          <w:p>
            <w:pPr>
              <w:pStyle w:val="Compact"/>
              <w:jc w:val="left"/>
            </w:pPr>
            <w:r>
              <w:t xml:space="preserve">Orchestrator</w:t>
            </w:r>
          </w:p>
        </w:tc>
        <w:tc>
          <w:tcPr/>
          <w:p>
            <w:pPr>
              <w:pStyle w:val="Compact"/>
              <w:jc w:val="left"/>
            </w:pPr>
            <w:r>
              <w:t xml:space="preserve">LLM ReAct loop: reason</w:t>
            </w:r>
            <w:r>
              <w:t xml:space="preserve"> </w:t>
            </w:r>
            <m:oMath>
              <m:r>
                <m:rPr>
                  <m:sty m:val="p"/>
                </m:rPr>
                <m:t>→</m:t>
              </m:r>
            </m:oMath>
            <w:r>
              <w:t xml:space="preserve"> </w:t>
            </w:r>
            <w:r>
              <w:t xml:space="preserve">pick tool</w:t>
            </w:r>
            <w:r>
              <w:t xml:space="preserve"> </w:t>
            </w:r>
            <m:oMath>
              <m:r>
                <m:rPr>
                  <m:sty m:val="p"/>
                </m:rPr>
                <m:t>→</m:t>
              </m:r>
            </m:oMath>
            <w:r>
              <w:t xml:space="preserve"> </w:t>
            </w:r>
            <w:r>
              <w:t xml:space="preserve">observe</w:t>
            </w:r>
            <w:r>
              <w:t xml:space="preserve"> </w:t>
            </w:r>
            <m:oMath>
              <m:r>
                <m:rPr>
                  <m:sty m:val="p"/>
                </m:rPr>
                <m:t>→</m:t>
              </m:r>
            </m:oMath>
            <w:r>
              <w:t xml:space="preserve"> </w:t>
            </w:r>
            <w:r>
              <w:t xml:space="preserve">repeat (up to 8 steps)</w:t>
            </w:r>
          </w:p>
        </w:tc>
      </w:tr>
      <w:tr>
        <w:tc>
          <w:tcPr/>
          <w:p>
            <w:pPr>
              <w:pStyle w:val="Compact"/>
              <w:jc w:val="center"/>
            </w:pPr>
            <w:r>
              <w:t xml:space="preserve">5</w:t>
            </w:r>
          </w:p>
        </w:tc>
        <w:tc>
          <w:tcPr/>
          <w:p>
            <w:pPr>
              <w:pStyle w:val="Compact"/>
              <w:jc w:val="left"/>
            </w:pPr>
            <w:r>
              <w:t xml:space="preserve">Evidence Aggregation</w:t>
            </w:r>
          </w:p>
        </w:tc>
        <w:tc>
          <w:tcPr/>
          <w:p>
            <w:pPr>
              <w:pStyle w:val="Compact"/>
              <w:jc w:val="left"/>
            </w:pPr>
            <w:r>
              <w:t xml:space="preserve">Merge outputs from all tools; catalogue findings, conflicts and gaps</w:t>
            </w:r>
          </w:p>
        </w:tc>
      </w:tr>
      <w:tr>
        <w:tc>
          <w:tcPr/>
          <w:p>
            <w:pPr>
              <w:pStyle w:val="Compact"/>
              <w:jc w:val="center"/>
            </w:pPr>
            <w:r>
              <w:t xml:space="preserve">6</w:t>
            </w:r>
          </w:p>
        </w:tc>
        <w:tc>
          <w:tcPr/>
          <w:p>
            <w:pPr>
              <w:pStyle w:val="Compact"/>
              <w:jc w:val="left"/>
            </w:pPr>
            <w:r>
              <w:t xml:space="preserve">Synthesis</w:t>
            </w:r>
          </w:p>
        </w:tc>
        <w:tc>
          <w:tcPr/>
          <w:p>
            <w:pPr>
              <w:pStyle w:val="Compact"/>
              <w:jc w:val="left"/>
            </w:pPr>
            <w:r>
              <w:t xml:space="preserve">Generate structured decision with grounded rationale</w:t>
            </w:r>
          </w:p>
        </w:tc>
      </w:tr>
      <w:tr>
        <w:tc>
          <w:tcPr/>
          <w:p>
            <w:pPr>
              <w:pStyle w:val="Compact"/>
              <w:jc w:val="center"/>
            </w:pPr>
            <w:r>
              <w:t xml:space="preserve">7</w:t>
            </w:r>
          </w:p>
        </w:tc>
        <w:tc>
          <w:tcPr/>
          <w:p>
            <w:pPr>
              <w:pStyle w:val="Compact"/>
              <w:jc w:val="left"/>
            </w:pPr>
            <w:r>
              <w:t xml:space="preserve">Guardrails</w:t>
            </w:r>
          </w:p>
        </w:tc>
        <w:tc>
          <w:tcPr/>
          <w:p>
            <w:pPr>
              <w:pStyle w:val="Compact"/>
              <w:jc w:val="left"/>
            </w:pPr>
            <w:r>
              <w:t xml:space="preserve">Apply 8 code-enforced safety checks</w:t>
            </w:r>
          </w:p>
        </w:tc>
      </w:tr>
      <w:tr>
        <w:tc>
          <w:tcPr/>
          <w:p>
            <w:pPr>
              <w:pStyle w:val="Compact"/>
              <w:jc w:val="center"/>
            </w:pPr>
            <w:r>
              <w:t xml:space="preserve">8</w:t>
            </w:r>
          </w:p>
        </w:tc>
        <w:tc>
          <w:tcPr/>
          <w:p>
            <w:pPr>
              <w:pStyle w:val="Compact"/>
              <w:jc w:val="left"/>
            </w:pPr>
            <w:r>
              <w:t xml:space="preserve">Human Review</w:t>
            </w:r>
          </w:p>
        </w:tc>
        <w:tc>
          <w:tcPr/>
          <w:p>
            <w:pPr>
              <w:pStyle w:val="Compact"/>
              <w:jc w:val="left"/>
            </w:pPr>
            <w:r>
              <w:t xml:space="preserve">Present to adjuster on Streamlit dashboard</w:t>
            </w:r>
          </w:p>
        </w:tc>
      </w:tr>
    </w:tbl>
    <w:bookmarkEnd w:id="59"/>
    <w:bookmarkEnd w:id="60"/>
    <w:bookmarkStart w:id="62" w:name="the-six-specialised-tools"/>
    <w:p>
      <w:pPr>
        <w:pStyle w:val="Heading2"/>
      </w:pPr>
      <w:r>
        <w:rPr>
          <w:rStyle w:val="SectionNumber"/>
        </w:rPr>
        <w:t xml:space="preserve">5.3</w:t>
      </w:r>
      <w:r>
        <w:tab/>
      </w:r>
      <w:r>
        <w:t xml:space="preserve">The Six Specialised Tools</w:t>
      </w:r>
    </w:p>
    <w:p>
      <w:pPr>
        <w:pStyle w:val="FirstParagraph"/>
      </w:pPr>
      <w:r>
        <w:t xml:space="preserve">The agent has access to six tools, each callable via the ReAct loop:</w:t>
      </w:r>
    </w:p>
    <w:bookmarkStart w:id="61" w:name="tab:tools"/>
    <w:p>
      <w:pPr>
        <w:pStyle w:val="TableCaption"/>
      </w:pPr>
      <w:r>
        <w:t xml:space="preserve">The six agent tools.</w:t>
      </w:r>
    </w:p>
    <w:tbl>
      <w:tblPr>
        <w:tblStyle w:val="Table"/>
        <w:tblW w:type="auto" w:w="0"/>
        <w:tblLook w:firstRow="1" w:lastRow="0" w:firstColumn="0" w:lastColumn="0" w:noHBand="0" w:noVBand="0" w:val="0020"/>
        <w:jc w:val="start"/>
        <w:tblCaption w:val="The six agent tools."/>
      </w:tblPr>
      <w:tblGrid>
        <w:gridCol w:w="2640"/>
        <w:gridCol w:w="2640"/>
        <w:gridCol w:w="2640"/>
      </w:tblGrid>
      <w:tr>
        <w:trPr>
          <w:tblHeader w:val="true"/>
        </w:trPr>
        <w:tc>
          <w:tcPr/>
          <w:p>
            <w:pPr>
              <w:pStyle w:val="Compact"/>
              <w:jc w:val="center"/>
            </w:pPr>
            <w:r>
              <w:rPr>
                <w:bCs/>
                <w:b/>
              </w:rPr>
              <w:t xml:space="preserve">#</w:t>
            </w:r>
          </w:p>
        </w:tc>
        <w:tc>
          <w:tcPr/>
          <w:p>
            <w:pPr>
              <w:pStyle w:val="Compact"/>
              <w:jc w:val="left"/>
            </w:pPr>
            <w:r>
              <w:rPr>
                <w:bCs/>
                <w:b/>
              </w:rPr>
              <w:t xml:space="preserve">Tool</w:t>
            </w:r>
          </w:p>
        </w:tc>
        <w:tc>
          <w:tcPr/>
          <w:p>
            <w:pPr>
              <w:pStyle w:val="Compact"/>
              <w:jc w:val="left"/>
            </w:pPr>
            <w:r>
              <w:rPr>
                <w:bCs/>
                <w:b/>
              </w:rPr>
              <w:t xml:space="preserve">Description</w:t>
            </w:r>
          </w:p>
        </w:tc>
      </w:tr>
      <w:tr>
        <w:tc>
          <w:tcPr/>
          <w:p>
            <w:pPr>
              <w:pStyle w:val="Compact"/>
              <w:jc w:val="center"/>
            </w:pPr>
            <w:r>
              <w:t xml:space="preserve">1</w:t>
            </w:r>
          </w:p>
        </w:tc>
        <w:tc>
          <w:tcPr/>
          <w:p>
            <w:pPr>
              <w:pStyle w:val="Compact"/>
              <w:jc w:val="left"/>
            </w:pPr>
            <w:r>
              <w:rPr>
                <w:rStyle w:val="VerbatimChar"/>
              </w:rPr>
              <w:t xml:space="preserve">score_claim</w:t>
            </w:r>
          </w:p>
        </w:tc>
        <w:tc>
          <w:tcPr/>
          <w:p>
            <w:pPr>
              <w:pStyle w:val="Compact"/>
              <w:jc w:val="left"/>
            </w:pPr>
            <w:r>
              <w:t xml:space="preserve">LightGBM fraud probability, risk band (low/medium/high), red flags that fired</w:t>
            </w:r>
          </w:p>
        </w:tc>
      </w:tr>
      <w:tr>
        <w:tc>
          <w:tcPr/>
          <w:p>
            <w:pPr>
              <w:pStyle w:val="Compact"/>
              <w:jc w:val="center"/>
            </w:pPr>
            <w:r>
              <w:t xml:space="preserve">2</w:t>
            </w:r>
          </w:p>
        </w:tc>
        <w:tc>
          <w:tcPr/>
          <w:p>
            <w:pPr>
              <w:pStyle w:val="Compact"/>
              <w:jc w:val="left"/>
            </w:pPr>
            <w:r>
              <w:rPr>
                <w:rStyle w:val="VerbatimChar"/>
              </w:rPr>
              <w:t xml:space="preserve">explain_fraud_score</w:t>
            </w:r>
          </w:p>
        </w:tc>
        <w:tc>
          <w:tcPr/>
          <w:p>
            <w:pPr>
              <w:pStyle w:val="Compact"/>
              <w:jc w:val="left"/>
            </w:pPr>
            <w:r>
              <w:t xml:space="preserve">TreeSHAP per-feature importance; top 5 contributing factors in plain English</w:t>
            </w:r>
          </w:p>
        </w:tc>
      </w:tr>
      <w:tr>
        <w:tc>
          <w:tcPr/>
          <w:p>
            <w:pPr>
              <w:pStyle w:val="Compact"/>
              <w:jc w:val="center"/>
            </w:pPr>
            <w:r>
              <w:t xml:space="preserve">3</w:t>
            </w:r>
          </w:p>
        </w:tc>
        <w:tc>
          <w:tcPr/>
          <w:p>
            <w:pPr>
              <w:pStyle w:val="Compact"/>
              <w:jc w:val="left"/>
            </w:pPr>
            <w:r>
              <w:rPr>
                <w:rStyle w:val="VerbatimChar"/>
              </w:rPr>
              <w:t xml:space="preserve">retrieve_policy</w:t>
            </w:r>
          </w:p>
        </w:tc>
        <w:tc>
          <w:tcPr/>
          <w:p>
            <w:pPr>
              <w:pStyle w:val="Compact"/>
              <w:jc w:val="left"/>
            </w:pPr>
            <w:r>
              <w:t xml:space="preserve">Policy details lookup from real documents or simulated reference data</w:t>
            </w:r>
          </w:p>
        </w:tc>
      </w:tr>
      <w:tr>
        <w:tc>
          <w:tcPr/>
          <w:p>
            <w:pPr>
              <w:pStyle w:val="Compact"/>
              <w:jc w:val="center"/>
            </w:pPr>
            <w:r>
              <w:t xml:space="preserve">4</w:t>
            </w:r>
          </w:p>
        </w:tc>
        <w:tc>
          <w:tcPr/>
          <w:p>
            <w:pPr>
              <w:pStyle w:val="Compact"/>
              <w:jc w:val="left"/>
            </w:pPr>
            <w:r>
              <w:rPr>
                <w:rStyle w:val="VerbatimChar"/>
              </w:rPr>
              <w:t xml:space="preserve">verify_policy</w:t>
            </w:r>
          </w:p>
        </w:tc>
        <w:tc>
          <w:tcPr/>
          <w:p>
            <w:pPr>
              <w:pStyle w:val="Compact"/>
              <w:jc w:val="left"/>
            </w:pPr>
            <w:r>
              <w:t xml:space="preserve">9 structured checks (PV01–PV09): PASS / FAIL / UNKNOWN for each condition</w:t>
            </w:r>
          </w:p>
        </w:tc>
      </w:tr>
      <w:tr>
        <w:tc>
          <w:tcPr/>
          <w:p>
            <w:pPr>
              <w:pStyle w:val="Compact"/>
              <w:jc w:val="center"/>
            </w:pPr>
            <w:r>
              <w:t xml:space="preserve">5</w:t>
            </w:r>
          </w:p>
        </w:tc>
        <w:tc>
          <w:tcPr/>
          <w:p>
            <w:pPr>
              <w:pStyle w:val="Compact"/>
              <w:jc w:val="left"/>
            </w:pPr>
            <w:r>
              <w:rPr>
                <w:rStyle w:val="VerbatimChar"/>
              </w:rPr>
              <w:t xml:space="preserve">find_similar_claims</w:t>
            </w:r>
          </w:p>
        </w:tc>
        <w:tc>
          <w:tcPr/>
          <w:p>
            <w:pPr>
              <w:pStyle w:val="Compact"/>
              <w:jc w:val="left"/>
            </w:pPr>
            <w:r>
              <w:t xml:space="preserve">FAISS vector search over 10,793 training claims; returns top-5 matches with fraud rates</w:t>
            </w:r>
          </w:p>
        </w:tc>
      </w:tr>
      <w:tr>
        <w:tc>
          <w:tcPr/>
          <w:p>
            <w:pPr>
              <w:pStyle w:val="Compact"/>
              <w:jc w:val="center"/>
            </w:pPr>
            <w:r>
              <w:t xml:space="preserve">6</w:t>
            </w:r>
          </w:p>
        </w:tc>
        <w:tc>
          <w:tcPr/>
          <w:p>
            <w:pPr>
              <w:pStyle w:val="Compact"/>
              <w:jc w:val="left"/>
            </w:pPr>
            <w:r>
              <w:rPr>
                <w:rStyle w:val="VerbatimChar"/>
              </w:rPr>
              <w:t xml:space="preserve">get_claim_history</w:t>
            </w:r>
          </w:p>
        </w:tc>
        <w:tc>
          <w:tcPr/>
          <w:p>
            <w:pPr>
              <w:pStyle w:val="Compact"/>
              <w:jc w:val="left"/>
            </w:pPr>
            <w:r>
              <w:t xml:space="preserve">Prior claims by the same policyholder; contradiction detection</w:t>
            </w:r>
          </w:p>
        </w:tc>
      </w:tr>
    </w:tbl>
    <w:bookmarkEnd w:id="61"/>
    <w:bookmarkEnd w:id="62"/>
    <w:bookmarkStart w:id="63" w:name="react-loop-and-auto-completion"/>
    <w:p>
      <w:pPr>
        <w:pStyle w:val="Heading2"/>
      </w:pPr>
      <w:r>
        <w:rPr>
          <w:rStyle w:val="SectionNumber"/>
        </w:rPr>
        <w:t xml:space="preserve">5.4</w:t>
      </w:r>
      <w:r>
        <w:tab/>
      </w:r>
      <w:r>
        <w:t xml:space="preserve">ReAct Loop and Auto-Completion</w:t>
      </w:r>
    </w:p>
    <w:p>
      <w:pPr>
        <w:pStyle w:val="FirstParagraph"/>
      </w:pPr>
      <w:r>
        <w:t xml:space="preserve">The orchestrator node implements the ReAct pattern: think</w:t>
      </w:r>
      <w:r>
        <w:t xml:space="preserve"> </w:t>
      </w:r>
      <m:oMath>
        <m:r>
          <m:rPr>
            <m:sty m:val="p"/>
          </m:rPr>
          <m:t>→</m:t>
        </m:r>
      </m:oMath>
      <w:r>
        <w:t xml:space="preserve"> </w:t>
      </w:r>
      <w:r>
        <w:t xml:space="preserve">pick tool</w:t>
      </w:r>
      <w:r>
        <w:t xml:space="preserve"> </w:t>
      </w:r>
      <m:oMath>
        <m:r>
          <m:rPr>
            <m:sty m:val="p"/>
          </m:rPr>
          <m:t>→</m:t>
        </m:r>
      </m:oMath>
      <w:r>
        <w:t xml:space="preserve"> </w:t>
      </w:r>
      <w:r>
        <w:t xml:space="preserve">observe result</w:t>
      </w:r>
      <w:r>
        <w:t xml:space="preserve"> </w:t>
      </w:r>
      <m:oMath>
        <m:r>
          <m:rPr>
            <m:sty m:val="p"/>
          </m:rPr>
          <m:t>→</m:t>
        </m:r>
      </m:oMath>
      <w:r>
        <w:t xml:space="preserve"> </w:t>
      </w:r>
      <w:r>
        <w:t xml:space="preserve">repeat. The agent decides which tools to call and in what order, up to a maximum of 8 iterations. An</w:t>
      </w:r>
      <w:r>
        <w:t xml:space="preserve"> </w:t>
      </w:r>
      <w:r>
        <w:rPr>
          <w:bCs/>
          <w:b/>
        </w:rPr>
        <w:t xml:space="preserve">auto-completion</w:t>
      </w:r>
      <w:r>
        <w:t xml:space="preserve"> </w:t>
      </w:r>
      <w:r>
        <w:t xml:space="preserve">mechanism ensures that required tools (scoring, policy verification) run even if the LLM skips them. If the LLM fails or returns invalid output twice, a deterministic</w:t>
      </w:r>
      <w:r>
        <w:t xml:space="preserve"> </w:t>
      </w:r>
      <w:r>
        <w:rPr>
          <w:bCs/>
          <w:b/>
        </w:rPr>
        <w:t xml:space="preserve">rule-based fallback</w:t>
      </w:r>
      <w:r>
        <w:t xml:space="preserve"> </w:t>
      </w:r>
      <w:r>
        <w:t xml:space="preserve">is triggered—no claim goes unprocessed.</w:t>
      </w:r>
    </w:p>
    <w:bookmarkEnd w:id="63"/>
    <w:bookmarkStart w:id="64" w:name="evidence-aggregation"/>
    <w:p>
      <w:pPr>
        <w:pStyle w:val="Heading2"/>
      </w:pPr>
      <w:r>
        <w:rPr>
          <w:rStyle w:val="SectionNumber"/>
        </w:rPr>
        <w:t xml:space="preserve">5.5</w:t>
      </w:r>
      <w:r>
        <w:tab/>
      </w:r>
      <w:r>
        <w:t xml:space="preserve">Evidence Aggregation</w:t>
      </w:r>
    </w:p>
    <w:p>
      <w:pPr>
        <w:pStyle w:val="FirstParagraph"/>
      </w:pPr>
      <w:r>
        <w:t xml:space="preserve">The aggregation module merges outputs from all six tools into a structured evidence record:</w:t>
      </w:r>
    </w:p>
    <w:p>
      <w:pPr>
        <w:numPr>
          <w:ilvl w:val="0"/>
          <w:numId w:val="1010"/>
        </w:numPr>
      </w:pPr>
      <w:r>
        <w:t xml:space="preserve">Tool statuses:</w:t>
      </w:r>
      <w:r>
        <w:t xml:space="preserve"> </w:t>
      </w:r>
      <w:r>
        <w:rPr>
          <w:rStyle w:val="VerbatimChar"/>
        </w:rPr>
        <w:t xml:space="preserve">completed</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unavailable</w:t>
      </w:r>
      <w:r>
        <w:t xml:space="preserve"> </w:t>
      </w:r>
      <w:r>
        <w:t xml:space="preserve">/</w:t>
      </w:r>
      <w:r>
        <w:t xml:space="preserve"> </w:t>
      </w:r>
      <w:r>
        <w:rPr>
          <w:rStyle w:val="VerbatimChar"/>
        </w:rPr>
        <w:t xml:space="preserve">failed</w:t>
      </w:r>
      <w:r>
        <w:t xml:space="preserve">.</w:t>
      </w:r>
    </w:p>
    <w:p>
      <w:pPr>
        <w:numPr>
          <w:ilvl w:val="0"/>
          <w:numId w:val="1010"/>
        </w:numPr>
      </w:pPr>
      <w:r>
        <w:t xml:space="preserve">Findings and missing information catalogued.</w:t>
      </w:r>
    </w:p>
    <w:p>
      <w:pPr>
        <w:numPr>
          <w:ilvl w:val="0"/>
          <w:numId w:val="1010"/>
        </w:numPr>
      </w:pPr>
      <w:r>
        <w:t xml:space="preserve">Conflicts between evidence sources identified.</w:t>
      </w:r>
    </w:p>
    <w:p>
      <w:pPr>
        <w:numPr>
          <w:ilvl w:val="0"/>
          <w:numId w:val="1010"/>
        </w:numPr>
      </w:pPr>
      <w:r>
        <w:t xml:space="preserve">Reason codes assigned from evidence in code, not from the LLM.</w:t>
      </w:r>
    </w:p>
    <w:p>
      <w:pPr>
        <w:numPr>
          <w:ilvl w:val="0"/>
          <w:numId w:val="1010"/>
        </w:numPr>
      </w:pPr>
      <w:r>
        <w:t xml:space="preserve">Evidence drawn from simulated reference data is clearly labelled.</w:t>
      </w:r>
    </w:p>
    <w:bookmarkEnd w:id="64"/>
    <w:bookmarkStart w:id="65" w:name="triage-decision-categories"/>
    <w:p>
      <w:pPr>
        <w:pStyle w:val="Heading2"/>
      </w:pPr>
      <w:r>
        <w:rPr>
          <w:rStyle w:val="SectionNumber"/>
        </w:rPr>
        <w:t xml:space="preserve">5.6</w:t>
      </w:r>
      <w:r>
        <w:tab/>
      </w:r>
      <w:r>
        <w:t xml:space="preserve">Triage Decision Categories</w:t>
      </w:r>
    </w:p>
    <w:p>
      <w:pPr>
        <w:pStyle w:val="FirstParagraph"/>
      </w:pPr>
      <w:r>
        <w:t xml:space="preserve">The system produces one of three structured decisions:</w:t>
      </w:r>
    </w:p>
    <w:p>
      <w:pPr>
        <w:numPr>
          <w:ilvl w:val="0"/>
          <w:numId w:val="1011"/>
        </w:numPr>
      </w:pPr>
      <w:r>
        <w:rPr>
          <w:bCs/>
          <w:b/>
        </w:rPr>
        <w:t xml:space="preserve">APPROVE:</w:t>
      </w:r>
      <w:r>
        <w:t xml:space="preserve"> </w:t>
      </w:r>
      <w:r>
        <w:t xml:space="preserve">low risk, all policy checks pass, no contradictions.</w:t>
      </w:r>
    </w:p>
    <w:p>
      <w:pPr>
        <w:numPr>
          <w:ilvl w:val="0"/>
          <w:numId w:val="1011"/>
        </w:numPr>
      </w:pPr>
      <w:r>
        <w:rPr>
          <w:bCs/>
          <w:b/>
        </w:rPr>
        <w:t xml:space="preserve">FLAG FOR INVESTIGATION:</w:t>
      </w:r>
      <w:r>
        <w:t xml:space="preserve"> </w:t>
      </w:r>
      <w:r>
        <w:t xml:space="preserve">evidence warrants human review. Sub-categories:</w:t>
      </w:r>
    </w:p>
    <w:p>
      <w:pPr>
        <w:numPr>
          <w:ilvl w:val="1"/>
          <w:numId w:val="1012"/>
        </w:numPr>
      </w:pPr>
      <w:r>
        <w:rPr>
          <w:rStyle w:val="VerbatimChar"/>
        </w:rPr>
        <w:t xml:space="preserve">FRAUD_RISK</w:t>
      </w:r>
      <w:r>
        <w:t xml:space="preserve">: model score and/or evidence suggest fraud.</w:t>
      </w:r>
    </w:p>
    <w:p>
      <w:pPr>
        <w:numPr>
          <w:ilvl w:val="1"/>
          <w:numId w:val="1012"/>
        </w:numPr>
      </w:pPr>
      <w:r>
        <w:rPr>
          <w:rStyle w:val="VerbatimChar"/>
        </w:rPr>
        <w:t xml:space="preserve">POLICY_CONDITION</w:t>
      </w:r>
      <w:r>
        <w:t xml:space="preserve">: a policy verification check failed.</w:t>
      </w:r>
    </w:p>
    <w:p>
      <w:pPr>
        <w:numPr>
          <w:ilvl w:val="1"/>
          <w:numId w:val="1012"/>
        </w:numPr>
      </w:pPr>
      <w:r>
        <w:rPr>
          <w:rStyle w:val="VerbatimChar"/>
        </w:rPr>
        <w:t xml:space="preserve">SYSTEM_FAILURE</w:t>
      </w:r>
      <w:r>
        <w:t xml:space="preserve">: a required tool failed or timed out.</w:t>
      </w:r>
    </w:p>
    <w:p>
      <w:pPr>
        <w:numPr>
          <w:ilvl w:val="0"/>
          <w:numId w:val="1011"/>
        </w:numPr>
      </w:pPr>
      <w:r>
        <w:rPr>
          <w:bCs/>
          <w:b/>
        </w:rPr>
        <w:t xml:space="preserve">REQUEST MORE INFORMATION:</w:t>
      </w:r>
      <w:r>
        <w:t xml:space="preserve"> </w:t>
      </w:r>
      <w:r>
        <w:t xml:space="preserve">blocking validation failure or claim-record contradiction.</w:t>
      </w:r>
    </w:p>
    <w:bookmarkEnd w:id="65"/>
    <w:bookmarkEnd w:id="66"/>
    <w:bookmarkStart w:id="79" w:name="ch:results"/>
    <w:p>
      <w:pPr>
        <w:pStyle w:val="Heading1"/>
      </w:pPr>
      <w:r>
        <w:rPr>
          <w:rStyle w:val="SectionNumber"/>
        </w:rPr>
        <w:t xml:space="preserve">6</w:t>
      </w:r>
      <w:r>
        <w:tab/>
      </w:r>
      <w:r>
        <w:t xml:space="preserve">Results and Discussion</w:t>
      </w:r>
    </w:p>
    <w:bookmarkStart w:id="68" w:name="experimental-setup"/>
    <w:p>
      <w:pPr>
        <w:pStyle w:val="Heading2"/>
      </w:pPr>
      <w:r>
        <w:rPr>
          <w:rStyle w:val="SectionNumber"/>
        </w:rPr>
        <w:t xml:space="preserve">6.1</w:t>
      </w:r>
      <w:r>
        <w:tab/>
      </w:r>
      <w:r>
        <w:t xml:space="preserve">Experimental Setup</w:t>
      </w:r>
    </w:p>
    <w:bookmarkStart w:id="67" w:name="tab:env"/>
    <w:p>
      <w:pPr>
        <w:pStyle w:val="TableCaption"/>
      </w:pPr>
      <w:r>
        <w:t xml:space="preserve">Experimental environment.</w:t>
      </w:r>
    </w:p>
    <w:tbl>
      <w:tblPr>
        <w:tblStyle w:val="Table"/>
        <w:tblW w:type="auto" w:w="0"/>
        <w:tblLook w:firstRow="1" w:lastRow="0" w:firstColumn="0" w:lastColumn="0" w:noHBand="0" w:noVBand="0" w:val="0020"/>
        <w:jc w:val="start"/>
        <w:tblCaption w:val="Experimental environmen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Specification</w:t>
            </w:r>
          </w:p>
        </w:tc>
      </w:tr>
      <w:tr>
        <w:tc>
          <w:tcPr/>
          <w:p>
            <w:pPr>
              <w:pStyle w:val="Compact"/>
              <w:jc w:val="left"/>
            </w:pPr>
            <w:r>
              <w:t xml:space="preserve">Hardware</w:t>
            </w:r>
          </w:p>
        </w:tc>
        <w:tc>
          <w:tcPr/>
          <w:p>
            <w:pPr>
              <w:pStyle w:val="Compact"/>
              <w:jc w:val="left"/>
            </w:pPr>
            <w:r>
              <w:t xml:space="preserve">NVIDIA B200 server (compute capability 10.0, CUDA 12.9)</w:t>
            </w:r>
          </w:p>
        </w:tc>
      </w:tr>
      <w:tr>
        <w:tc>
          <w:tcPr/>
          <w:p>
            <w:pPr>
              <w:pStyle w:val="Compact"/>
              <w:jc w:val="left"/>
            </w:pPr>
            <w:r>
              <w:t xml:space="preserve">Training runtime</w:t>
            </w:r>
          </w:p>
        </w:tc>
        <w:tc>
          <w:tcPr/>
          <w:p>
            <w:pPr>
              <w:pStyle w:val="Compact"/>
              <w:jc w:val="left"/>
            </w:pPr>
            <w:r>
              <w:t xml:space="preserve">Python 3.12.3; LightGBM runs on CPU by design</w:t>
            </w:r>
          </w:p>
        </w:tc>
      </w:tr>
      <w:tr>
        <w:tc>
          <w:tcPr/>
          <w:p>
            <w:pPr>
              <w:pStyle w:val="Compact"/>
              <w:jc w:val="left"/>
            </w:pPr>
            <w:r>
              <w:t xml:space="preserve">LLM</w:t>
            </w:r>
          </w:p>
        </w:tc>
        <w:tc>
          <w:tcPr/>
          <w:p>
            <w:pPr>
              <w:pStyle w:val="Compact"/>
              <w:jc w:val="left"/>
            </w:pPr>
            <w:r>
              <w:t xml:space="preserve">Ollama + qwen2.5:72b (free, open-source)</w:t>
            </w:r>
          </w:p>
        </w:tc>
      </w:tr>
      <w:tr>
        <w:tc>
          <w:tcPr/>
          <w:p>
            <w:pPr>
              <w:pStyle w:val="Compact"/>
              <w:jc w:val="left"/>
            </w:pPr>
            <w:r>
              <w:t xml:space="preserve">Vector store</w:t>
            </w:r>
          </w:p>
        </w:tc>
        <w:tc>
          <w:tcPr/>
          <w:p>
            <w:pPr>
              <w:pStyle w:val="Compact"/>
              <w:jc w:val="left"/>
            </w:pPr>
            <w:r>
              <w:t xml:space="preserve">FAISS over 10,793 training claims</w:t>
            </w:r>
          </w:p>
        </w:tc>
      </w:tr>
      <w:tr>
        <w:tc>
          <w:tcPr/>
          <w:p>
            <w:pPr>
              <w:pStyle w:val="Compact"/>
              <w:jc w:val="left"/>
            </w:pPr>
            <w:r>
              <w:t xml:space="preserve">Dashboard</w:t>
            </w:r>
          </w:p>
        </w:tc>
        <w:tc>
          <w:tcPr/>
          <w:p>
            <w:pPr>
              <w:pStyle w:val="Compact"/>
              <w:jc w:val="left"/>
            </w:pPr>
            <w:r>
              <w:t xml:space="preserve">Streamlit (runs on CPU without an LLM in rule-based mode)</w:t>
            </w:r>
          </w:p>
        </w:tc>
      </w:tr>
      <w:tr>
        <w:tc>
          <w:tcPr/>
          <w:p>
            <w:pPr>
              <w:pStyle w:val="Compact"/>
              <w:jc w:val="left"/>
            </w:pPr>
            <w:r>
              <w:t xml:space="preserve">Random seed</w:t>
            </w:r>
          </w:p>
        </w:tc>
        <w:tc>
          <w:tcPr/>
          <w:p>
            <w:pPr>
              <w:pStyle w:val="Compact"/>
              <w:jc w:val="left"/>
            </w:pPr>
            <w:r>
              <w:t xml:space="preserve">42 (fixed across all experiments)</w:t>
            </w:r>
          </w:p>
        </w:tc>
      </w:tr>
    </w:tbl>
    <w:bookmarkEnd w:id="67"/>
    <w:bookmarkEnd w:id="68"/>
    <w:bookmarkStart w:id="70" w:name="model-performance-on-held-out-test-set"/>
    <w:p>
      <w:pPr>
        <w:pStyle w:val="Heading2"/>
      </w:pPr>
      <w:r>
        <w:rPr>
          <w:rStyle w:val="SectionNumber"/>
        </w:rPr>
        <w:t xml:space="preserve">6.2</w:t>
      </w:r>
      <w:r>
        <w:tab/>
      </w:r>
      <w:r>
        <w:t xml:space="preserve">Model Performance on Held-Out Test Set</w:t>
      </w:r>
    </w:p>
    <w:p>
      <w:pPr>
        <w:pStyle w:val="FirstParagraph"/>
      </w:pPr>
      <w:r>
        <w:t xml:space="preserve">The test set (2,313 claims, 138 frauds) was evaluated</w:t>
      </w:r>
      <w:r>
        <w:t xml:space="preserve"> </w:t>
      </w:r>
      <w:r>
        <w:rPr>
          <w:bCs/>
          <w:b/>
        </w:rPr>
        <w:t xml:space="preserve">once</w:t>
      </w:r>
      <w:r>
        <w:t xml:space="preserve"> </w:t>
      </w:r>
      <w:r>
        <w:t xml:space="preserve">by the final run. All confidence intervals are 95% stratified bootstrap (1,000 resamples).</w:t>
      </w:r>
    </w:p>
    <w:bookmarkStart w:id="69" w:name="tab:test_results"/>
    <w:p>
      <w:pPr>
        <w:pStyle w:val="TableCaption"/>
      </w:pPr>
      <w:r>
        <w:t xml:space="preserve">Final test-set performance at the 10:1 cost threshold.</w:t>
      </w:r>
    </w:p>
    <w:tbl>
      <w:tblPr>
        <w:tblStyle w:val="Table"/>
        <w:tblW w:type="auto" w:w="0"/>
        <w:tblLook w:firstRow="1" w:lastRow="0" w:firstColumn="0" w:lastColumn="0" w:noHBand="0" w:noVBand="0" w:val="0020"/>
        <w:jc w:val="start"/>
        <w:tblCaption w:val="Final test-set performance at the 10:1 cost threshold."/>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center"/>
            </w:pPr>
            <w:r>
              <w:rPr>
                <w:bCs/>
                <w:b/>
              </w:rPr>
              <w:t xml:space="preserve">PR-AUC [95% CI]</w:t>
            </w:r>
          </w:p>
        </w:tc>
        <w:tc>
          <w:tcPr/>
          <w:p>
            <w:pPr>
              <w:pStyle w:val="Compact"/>
              <w:jc w:val="center"/>
            </w:pPr>
            <w:r>
              <w:rPr>
                <w:bCs/>
                <w:b/>
              </w:rPr>
              <w:t xml:space="preserve">ROC-AUC</w:t>
            </w:r>
          </w:p>
        </w:tc>
        <w:tc>
          <w:tcPr/>
          <w:p>
            <w:pPr>
              <w:pStyle w:val="Compact"/>
              <w:jc w:val="center"/>
            </w:pPr>
            <w:r>
              <w:rPr>
                <w:bCs/>
                <w:b/>
              </w:rPr>
              <w:t xml:space="preserve">Recall</w:t>
            </w:r>
          </w:p>
        </w:tc>
        <w:tc>
          <w:tcPr/>
          <w:p>
            <w:pPr>
              <w:pStyle w:val="Compact"/>
              <w:jc w:val="center"/>
            </w:pPr>
            <w:r>
              <w:rPr>
                <w:bCs/>
                <w:b/>
              </w:rPr>
              <w:t xml:space="preserve">FPR</w:t>
            </w:r>
          </w:p>
        </w:tc>
      </w:tr>
      <w:tr>
        <w:tc>
          <w:tcPr/>
          <w:p>
            <w:pPr>
              <w:pStyle w:val="Compact"/>
              <w:jc w:val="left"/>
            </w:pPr>
            <w:r>
              <w:rPr>
                <w:bCs/>
                <w:b/>
              </w:rPr>
              <w:t xml:space="preserve">Calibrated LightGBM</w:t>
            </w:r>
          </w:p>
        </w:tc>
        <w:tc>
          <w:tcPr/>
          <w:p>
            <w:pPr>
              <w:pStyle w:val="Compact"/>
              <w:jc w:val="center"/>
            </w:pPr>
            <w:r>
              <w:rPr>
                <w:bCs/>
                <w:b/>
              </w:rPr>
              <w:t xml:space="preserve">0.252</w:t>
            </w:r>
            <w:r>
              <w:t xml:space="preserve"> </w:t>
            </w:r>
            <w:r>
              <w:t xml:space="preserve">[0.214, 0.317]</w:t>
            </w:r>
          </w:p>
        </w:tc>
        <w:tc>
          <w:tcPr/>
          <w:p>
            <w:pPr>
              <w:pStyle w:val="Compact"/>
              <w:jc w:val="center"/>
            </w:pPr>
            <w:r>
              <w:rPr>
                <w:bCs/>
                <w:b/>
              </w:rPr>
              <w:t xml:space="preserve">0.874</w:t>
            </w:r>
          </w:p>
        </w:tc>
        <w:tc>
          <w:tcPr/>
          <w:p>
            <w:pPr>
              <w:pStyle w:val="Compact"/>
              <w:jc w:val="center"/>
            </w:pPr>
            <w:r>
              <w:rPr>
                <w:bCs/>
                <w:b/>
              </w:rPr>
              <w:t xml:space="preserve">0.790</w:t>
            </w:r>
          </w:p>
        </w:tc>
        <w:tc>
          <w:tcPr/>
          <w:p>
            <w:pPr>
              <w:pStyle w:val="Compact"/>
              <w:jc w:val="center"/>
            </w:pPr>
            <w:r>
              <w:t xml:space="preserve">0.191</w:t>
            </w:r>
          </w:p>
        </w:tc>
      </w:tr>
      <w:tr>
        <w:tc>
          <w:tcPr/>
          <w:p>
            <w:pPr>
              <w:pStyle w:val="Compact"/>
              <w:jc w:val="left"/>
            </w:pPr>
            <w:r>
              <w:t xml:space="preserve">Rules-only (red-flag score)</w:t>
            </w:r>
          </w:p>
        </w:tc>
        <w:tc>
          <w:tcPr/>
          <w:p>
            <w:pPr>
              <w:pStyle w:val="Compact"/>
              <w:jc w:val="center"/>
            </w:pPr>
            <w:r>
              <w:t xml:space="preserve">0.139 [0.124, 0.164]</w:t>
            </w:r>
          </w:p>
        </w:tc>
        <w:tc>
          <w:tcPr/>
          <w:p>
            <w:pPr>
              <w:pStyle w:val="Compact"/>
              <w:jc w:val="center"/>
            </w:pPr>
            <w:r>
              <w:t xml:space="preserve">0.793</w:t>
            </w:r>
          </w:p>
        </w:tc>
        <w:tc>
          <w:tcPr/>
          <w:p>
            <w:pPr>
              <w:pStyle w:val="Compact"/>
              <w:jc w:val="center"/>
            </w:pPr>
            <w:r>
              <w:t xml:space="preserve">0.659</w:t>
            </w:r>
          </w:p>
        </w:tc>
        <w:tc>
          <w:tcPr/>
          <w:p>
            <w:pPr>
              <w:pStyle w:val="Compact"/>
              <w:jc w:val="center"/>
            </w:pPr>
            <w:r>
              <w:t xml:space="preserve">0.223</w:t>
            </w:r>
          </w:p>
        </w:tc>
      </w:tr>
      <w:tr>
        <w:tc>
          <w:tcPr/>
          <w:p>
            <w:pPr>
              <w:pStyle w:val="Compact"/>
              <w:jc w:val="left"/>
            </w:pPr>
            <w:r>
              <w:t xml:space="preserve">All-legit baseline</w:t>
            </w:r>
          </w:p>
        </w:tc>
        <w:tc>
          <w:tcPr/>
          <w:p>
            <w:pPr>
              <w:pStyle w:val="Compact"/>
              <w:jc w:val="center"/>
            </w:pPr>
            <w:r>
              <w:t xml:space="preserve">0.060</w:t>
            </w:r>
          </w:p>
        </w:tc>
        <w:tc>
          <w:tcPr/>
          <w:p>
            <w:pPr>
              <w:pStyle w:val="Compact"/>
              <w:jc w:val="center"/>
            </w:pPr>
            <w:r>
              <w:t xml:space="preserve">0.500</w:t>
            </w:r>
          </w:p>
        </w:tc>
        <w:tc>
          <w:tcPr/>
          <w:p>
            <w:pPr>
              <w:pStyle w:val="Compact"/>
              <w:jc w:val="center"/>
            </w:pPr>
            <w:r>
              <w:t xml:space="preserve">0</w:t>
            </w:r>
          </w:p>
        </w:tc>
        <w:tc>
          <w:tcPr/>
          <w:p>
            <w:pPr>
              <w:pStyle w:val="Compact"/>
              <w:jc w:val="center"/>
            </w:pPr>
            <w:r>
              <w:t xml:space="preserve">0</w:t>
            </w:r>
          </w:p>
        </w:tc>
      </w:tr>
    </w:tbl>
    <w:bookmarkEnd w:id="69"/>
    <w:p>
      <w:pPr>
        <w:pStyle w:val="BodyText"/>
      </w:pPr>
      <w:r>
        <w:rPr>
          <w:bCs/>
          <w:b/>
        </w:rPr>
        <w:t xml:space="preserve">Confusion matrix at threshold 0.108:</w:t>
      </w:r>
      <w:r>
        <w:t xml:space="preserve"> </w:t>
      </w:r>
      <w:r>
        <w:t xml:space="preserve">TP 109, FP 416, FN 29, TN 1,759.</w:t>
      </w:r>
    </w:p>
    <w:p>
      <w:pPr>
        <w:pStyle w:val="BodyText"/>
      </w:pPr>
      <w:r>
        <w:rPr>
          <w:bCs/>
          <w:b/>
        </w:rPr>
        <w:t xml:space="preserve">Lift by decile:</w:t>
      </w:r>
    </w:p>
    <w:p>
      <w:pPr>
        <w:numPr>
          <w:ilvl w:val="0"/>
          <w:numId w:val="1013"/>
        </w:numPr>
      </w:pPr>
      <w:r>
        <w:t xml:space="preserve">Top decile:</w:t>
      </w:r>
      <w:r>
        <w:t xml:space="preserve"> </w:t>
      </w:r>
      <m:oMath>
        <m:r>
          <m:t>4.1</m:t>
        </m:r>
        <m:r>
          <m:rPr>
            <m:sty m:val="p"/>
          </m:rPr>
          <m:t>×</m:t>
        </m:r>
      </m:oMath>
      <w:r>
        <w:t xml:space="preserve"> </w:t>
      </w:r>
      <w:r>
        <w:t xml:space="preserve">the base fraud rate (24.6% fraud).</w:t>
      </w:r>
    </w:p>
    <w:p>
      <w:pPr>
        <w:numPr>
          <w:ilvl w:val="0"/>
          <w:numId w:val="1013"/>
        </w:numPr>
      </w:pPr>
      <w:r>
        <w:t xml:space="preserve">Top 3 deciles (30% of claims) contain 90% of frauds.</w:t>
      </w:r>
    </w:p>
    <w:p>
      <w:pPr>
        <w:numPr>
          <w:ilvl w:val="0"/>
          <w:numId w:val="1013"/>
        </w:numPr>
      </w:pPr>
      <w:r>
        <w:t xml:space="preserve">Deciles 5–10 contain only 5 frauds in 1,387 claims.</w:t>
      </w:r>
    </w:p>
    <w:tbl>
      <w:tblPr>
        <w:tblStyle w:val="FigureTable"/>
        <w:tblW w:type="auto" w:w="0"/>
        <w:tblLook w:firstRow="0" w:lastRow="0" w:firstColumn="0" w:lastColumn="0"/>
        <w:jc w:val="center"/>
      </w:tblPr>
      <w:tblGrid/>
      <w:tr/>
    </w:tbl>
    <w:p>
      <w:pPr>
        <w:pStyle w:val="ImageCaption"/>
      </w:pPr>
      <w:r>
        <w:t xml:space="preserve">Lift chart showing fraud concentration in the top-scored deciles.</w:t>
      </w:r>
    </w:p>
    <w:bookmarkEnd w:id="70"/>
    <w:bookmarkStart w:id="72" w:name="synopsis-success-criterion"/>
    <w:p>
      <w:pPr>
        <w:pStyle w:val="Heading2"/>
      </w:pPr>
      <w:r>
        <w:rPr>
          <w:rStyle w:val="SectionNumber"/>
        </w:rPr>
        <w:t xml:space="preserve">6.3</w:t>
      </w:r>
      <w:r>
        <w:tab/>
      </w:r>
      <w:r>
        <w:t xml:space="preserve">Synopsis Success Criterion</w:t>
      </w:r>
    </w:p>
    <w:p>
      <w:pPr>
        <w:pStyle w:val="FirstParagraph"/>
      </w:pPr>
      <w:r>
        <w:t xml:space="preserve">The project synopsis required</w:t>
      </w:r>
      <w:r>
        <w:t xml:space="preserve"> </w:t>
      </w:r>
      <w:r>
        <w:t xml:space="preserve">“</w:t>
      </w:r>
      <w:r>
        <w:t xml:space="preserve">precision and recall both meaningfully above the naive baseline.</w:t>
      </w:r>
      <w:r>
        <w:t xml:space="preserve">”</w:t>
      </w:r>
      <w:r>
        <w:t xml:space="preserve"> </w:t>
      </w:r>
      <w:r>
        <w:t xml:space="preserve">This criterion is met:</w:t>
      </w:r>
    </w:p>
    <w:bookmarkStart w:id="71" w:name="tab:success"/>
    <w:p>
      <w:pPr>
        <w:pStyle w:val="TableCaption"/>
      </w:pPr>
      <w:r>
        <w:t xml:space="preserve">Success criterion verification.</w:t>
      </w:r>
    </w:p>
    <w:tbl>
      <w:tblPr>
        <w:tblStyle w:val="Table"/>
        <w:tblW w:type="auto" w:w="0"/>
        <w:tblLook w:firstRow="1" w:lastRow="0" w:firstColumn="0" w:lastColumn="0" w:noHBand="0" w:noVBand="0" w:val="0020"/>
        <w:jc w:val="start"/>
        <w:tblCaption w:val="Success criterion verification."/>
      </w:tblPr>
      <w:tblGrid>
        <w:gridCol w:w="2640"/>
        <w:gridCol w:w="2640"/>
        <w:gridCol w:w="2640"/>
      </w:tblGrid>
      <w:tr>
        <w:trPr>
          <w:tblHeader w:val="true"/>
        </w:trPr>
        <w:tc>
          <w:tcPr/>
          <w:p>
            <w:pPr>
              <w:pStyle w:val="Compact"/>
              <w:jc w:val="left"/>
            </w:pPr>
            <w:r>
              <w:rPr>
                <w:bCs/>
                <w:b/>
              </w:rPr>
              <w:t xml:space="preserve">Metric</w:t>
            </w:r>
          </w:p>
        </w:tc>
        <w:tc>
          <w:tcPr/>
          <w:p>
            <w:pPr>
              <w:pStyle w:val="Compact"/>
              <w:jc w:val="center"/>
            </w:pPr>
            <w:r>
              <w:rPr>
                <w:bCs/>
                <w:b/>
              </w:rPr>
              <w:t xml:space="preserve">This Model (lower CI)</w:t>
            </w:r>
          </w:p>
        </w:tc>
        <w:tc>
          <w:tcPr/>
          <w:p>
            <w:pPr>
              <w:pStyle w:val="Compact"/>
              <w:jc w:val="center"/>
            </w:pPr>
            <w:r>
              <w:rPr>
                <w:bCs/>
                <w:b/>
              </w:rPr>
              <w:t xml:space="preserve">Random Flagger</w:t>
            </w:r>
          </w:p>
        </w:tc>
      </w:tr>
      <w:tr>
        <w:tc>
          <w:tcPr/>
          <w:p>
            <w:pPr>
              <w:pStyle w:val="Compact"/>
              <w:jc w:val="left"/>
            </w:pPr>
            <w:r>
              <w:t xml:space="preserve">Precision</w:t>
            </w:r>
          </w:p>
        </w:tc>
        <w:tc>
          <w:tcPr/>
          <w:p>
            <w:pPr>
              <w:pStyle w:val="Compact"/>
              <w:jc w:val="center"/>
            </w:pPr>
            <w:r>
              <w:t xml:space="preserve">0.188</w:t>
            </w:r>
          </w:p>
        </w:tc>
        <w:tc>
          <w:tcPr/>
          <w:p>
            <w:pPr>
              <w:pStyle w:val="Compact"/>
              <w:jc w:val="center"/>
            </w:pPr>
            <w:r>
              <w:t xml:space="preserve">0.060</w:t>
            </w:r>
          </w:p>
        </w:tc>
      </w:tr>
      <w:tr>
        <w:tc>
          <w:tcPr/>
          <w:p>
            <w:pPr>
              <w:pStyle w:val="Compact"/>
              <w:jc w:val="left"/>
            </w:pPr>
            <w:r>
              <w:t xml:space="preserve">Recall</w:t>
            </w:r>
          </w:p>
        </w:tc>
        <w:tc>
          <w:tcPr/>
          <w:p>
            <w:pPr>
              <w:pStyle w:val="Compact"/>
              <w:jc w:val="center"/>
            </w:pPr>
            <w:r>
              <w:t xml:space="preserve">0.717</w:t>
            </w:r>
          </w:p>
        </w:tc>
        <w:tc>
          <w:tcPr/>
          <w:p>
            <w:pPr>
              <w:pStyle w:val="Compact"/>
              <w:jc w:val="center"/>
            </w:pPr>
            <w:r>
              <w:t xml:space="preserve">0.227</w:t>
            </w:r>
          </w:p>
        </w:tc>
      </w:tr>
    </w:tbl>
    <w:bookmarkEnd w:id="71"/>
    <w:bookmarkEnd w:id="72"/>
    <w:bookmarkStart w:id="74" w:name="code-enforced-guardrails"/>
    <w:p>
      <w:pPr>
        <w:pStyle w:val="Heading2"/>
      </w:pPr>
      <w:r>
        <w:rPr>
          <w:rStyle w:val="SectionNumber"/>
        </w:rPr>
        <w:t xml:space="preserve">6.4</w:t>
      </w:r>
      <w:r>
        <w:tab/>
      </w:r>
      <w:r>
        <w:t xml:space="preserve">Code-Enforced Guardrails</w:t>
      </w:r>
    </w:p>
    <w:p>
      <w:pPr>
        <w:pStyle w:val="FirstParagraph"/>
      </w:pPr>
      <w:r>
        <w:t xml:space="preserve">Eight guardrails are enforced in Python code, independent of the LLM prompt:</w:t>
      </w:r>
    </w:p>
    <w:bookmarkStart w:id="73" w:name="tab:guardrails"/>
    <w:p>
      <w:pPr>
        <w:pStyle w:val="TableCaption"/>
      </w:pPr>
      <w:r>
        <w:t xml:space="preserve">The eight code-enforced guardrails.</w:t>
      </w:r>
    </w:p>
    <w:tbl>
      <w:tblPr>
        <w:tblStyle w:val="Table"/>
        <w:tblW w:type="auto" w:w="0"/>
        <w:tblLook w:firstRow="1" w:lastRow="0" w:firstColumn="0" w:lastColumn="0" w:noHBand="0" w:noVBand="0" w:val="0020"/>
        <w:jc w:val="start"/>
        <w:tblCaption w:val="The eight code-enforced guardrails."/>
      </w:tblPr>
      <w:tblGrid>
        <w:gridCol w:w="3960"/>
        <w:gridCol w:w="3960"/>
      </w:tblGrid>
      <w:tr>
        <w:trPr>
          <w:tblHeader w:val="true"/>
        </w:trPr>
        <w:tc>
          <w:tcPr/>
          <w:p>
            <w:pPr>
              <w:pStyle w:val="Compact"/>
              <w:jc w:val="center"/>
            </w:pPr>
            <w:r>
              <w:rPr>
                <w:bCs/>
                <w:b/>
              </w:rPr>
              <w:t xml:space="preserve">#</w:t>
            </w:r>
          </w:p>
        </w:tc>
        <w:tc>
          <w:tcPr/>
          <w:p>
            <w:pPr>
              <w:pStyle w:val="Compact"/>
              <w:jc w:val="left"/>
            </w:pPr>
            <w:r>
              <w:rPr>
                <w:bCs/>
                <w:b/>
              </w:rPr>
              <w:t xml:space="preserve">Guardrail</w:t>
            </w:r>
          </w:p>
        </w:tc>
      </w:tr>
      <w:tr>
        <w:tc>
          <w:tcPr/>
          <w:p>
            <w:pPr>
              <w:pStyle w:val="Compact"/>
              <w:jc w:val="center"/>
            </w:pPr>
            <w:r>
              <w:t xml:space="preserve">1</w:t>
            </w:r>
          </w:p>
        </w:tc>
        <w:tc>
          <w:tcPr/>
          <w:p>
            <w:pPr>
              <w:pStyle w:val="Compact"/>
              <w:jc w:val="left"/>
            </w:pPr>
            <w:r>
              <w:rPr>
                <w:bCs/>
                <w:b/>
              </w:rPr>
              <w:t xml:space="preserve">Never deny:</w:t>
            </w:r>
            <w:r>
              <w:t xml:space="preserve"> </w:t>
            </w:r>
            <w:r>
              <w:t xml:space="preserve">the system only outputs APPROVE, FLAG_FOR_INVESTIGATION or REQUEST_MORE_INFORMATION; denial is reserved for the human adjuster.</w:t>
            </w:r>
          </w:p>
        </w:tc>
      </w:tr>
      <w:tr>
        <w:tc>
          <w:tcPr/>
          <w:p>
            <w:pPr>
              <w:pStyle w:val="Compact"/>
              <w:jc w:val="center"/>
            </w:pPr>
            <w:r>
              <w:t xml:space="preserve">2</w:t>
            </w:r>
          </w:p>
        </w:tc>
        <w:tc>
          <w:tcPr/>
          <w:p>
            <w:pPr>
              <w:pStyle w:val="Compact"/>
              <w:jc w:val="left"/>
            </w:pPr>
            <w:r>
              <w:rPr>
                <w:bCs/>
                <w:b/>
              </w:rPr>
              <w:t xml:space="preserve">High-risk never approved:</w:t>
            </w:r>
            <w:r>
              <w:t xml:space="preserve"> </w:t>
            </w:r>
            <w:r>
              <w:t xml:space="preserve">a</w:t>
            </w:r>
            <w:r>
              <w:t xml:space="preserve"> </w:t>
            </w:r>
            <w:r>
              <w:rPr>
                <w:rStyle w:val="VerbatimChar"/>
              </w:rPr>
              <w:t xml:space="preserve">high</w:t>
            </w:r>
            <w:r>
              <w:t xml:space="preserve"> </w:t>
            </w:r>
            <w:r>
              <w:t xml:space="preserve">risk band is always flagged for investigation.</w:t>
            </w:r>
          </w:p>
        </w:tc>
      </w:tr>
      <w:tr>
        <w:tc>
          <w:tcPr/>
          <w:p>
            <w:pPr>
              <w:pStyle w:val="Compact"/>
              <w:jc w:val="center"/>
            </w:pPr>
            <w:r>
              <w:t xml:space="preserve">3</w:t>
            </w:r>
          </w:p>
        </w:tc>
        <w:tc>
          <w:tcPr/>
          <w:p>
            <w:pPr>
              <w:pStyle w:val="Compact"/>
              <w:jc w:val="left"/>
            </w:pPr>
            <w:r>
              <w:rPr>
                <w:bCs/>
                <w:b/>
              </w:rPr>
              <w:t xml:space="preserve">Evidence traceability:</w:t>
            </w:r>
            <w:r>
              <w:t xml:space="preserve"> </w:t>
            </w:r>
            <w:r>
              <w:t xml:space="preserve">every evidence fact must trace to the output of the tool that produced it; untraceable facts are removed and logged.</w:t>
            </w:r>
          </w:p>
        </w:tc>
      </w:tr>
      <w:tr>
        <w:tc>
          <w:tcPr/>
          <w:p>
            <w:pPr>
              <w:pStyle w:val="Compact"/>
              <w:jc w:val="center"/>
            </w:pPr>
            <w:r>
              <w:t xml:space="preserve">4</w:t>
            </w:r>
          </w:p>
        </w:tc>
        <w:tc>
          <w:tcPr/>
          <w:p>
            <w:pPr>
              <w:pStyle w:val="Compact"/>
              <w:jc w:val="left"/>
            </w:pPr>
            <w:r>
              <w:rPr>
                <w:bCs/>
                <w:b/>
              </w:rPr>
              <w:t xml:space="preserve">Concrete factors for medium band:</w:t>
            </w:r>
            <w:r>
              <w:t xml:space="preserve"> </w:t>
            </w:r>
            <w:r>
              <w:t xml:space="preserve">a FRAUD_RISK flag in the medium risk band requires at least one concrete factor (warning red flag, policy-condition FAIL, fraud among similar claims, strong SHAP driver, or conflicting evidence).</w:t>
            </w:r>
          </w:p>
        </w:tc>
      </w:tr>
      <w:tr>
        <w:tc>
          <w:tcPr/>
          <w:p>
            <w:pPr>
              <w:pStyle w:val="Compact"/>
              <w:jc w:val="center"/>
            </w:pPr>
            <w:r>
              <w:t xml:space="preserve">5</w:t>
            </w:r>
          </w:p>
        </w:tc>
        <w:tc>
          <w:tcPr/>
          <w:p>
            <w:pPr>
              <w:pStyle w:val="Compact"/>
              <w:jc w:val="left"/>
            </w:pPr>
            <w:r>
              <w:rPr>
                <w:bCs/>
                <w:b/>
              </w:rPr>
              <w:t xml:space="preserve">Unsupported flag replacement:</w:t>
            </w:r>
            <w:r>
              <w:t xml:space="preserve"> </w:t>
            </w:r>
            <w:r>
              <w:t xml:space="preserve">if every reason code is a low-risk or systemic one (e.g. LOW_MODEL_RISK, POLICY_TERMS_UNVERIFIED), the flag is replaced by the rule-based decision.</w:t>
            </w:r>
          </w:p>
        </w:tc>
      </w:tr>
      <w:tr>
        <w:tc>
          <w:tcPr/>
          <w:p>
            <w:pPr>
              <w:pStyle w:val="Compact"/>
              <w:jc w:val="center"/>
            </w:pPr>
            <w:r>
              <w:t xml:space="preserve">6</w:t>
            </w:r>
          </w:p>
        </w:tc>
        <w:tc>
          <w:tcPr/>
          <w:p>
            <w:pPr>
              <w:pStyle w:val="Compact"/>
              <w:jc w:val="left"/>
            </w:pPr>
            <w:r>
              <w:rPr>
                <w:bCs/>
                <w:b/>
              </w:rPr>
              <w:t xml:space="preserve">LLM failure fallback:</w:t>
            </w:r>
            <w:r>
              <w:t xml:space="preserve"> </w:t>
            </w:r>
            <w:r>
              <w:t xml:space="preserve">if the LLM fails or returns invalid output twice, a deterministic rule-based decision is used.</w:t>
            </w:r>
          </w:p>
        </w:tc>
      </w:tr>
      <w:tr>
        <w:tc>
          <w:tcPr/>
          <w:p>
            <w:pPr>
              <w:pStyle w:val="Compact"/>
              <w:jc w:val="center"/>
            </w:pPr>
            <w:r>
              <w:t xml:space="preserve">7</w:t>
            </w:r>
          </w:p>
        </w:tc>
        <w:tc>
          <w:tcPr/>
          <w:p>
            <w:pPr>
              <w:pStyle w:val="Compact"/>
              <w:jc w:val="left"/>
            </w:pPr>
            <w:r>
              <w:rPr>
                <w:bCs/>
                <w:b/>
              </w:rPr>
              <w:t xml:space="preserve">Code-sourced reason codes:</w:t>
            </w:r>
            <w:r>
              <w:t xml:space="preserve"> </w:t>
            </w:r>
            <w:r>
              <w:t xml:space="preserve">reason codes, missing information, conflicts, tool statuses and findings are copied from the evidence record (code), never taken from the LLM.</w:t>
            </w:r>
          </w:p>
        </w:tc>
      </w:tr>
      <w:tr>
        <w:tc>
          <w:tcPr/>
          <w:p>
            <w:pPr>
              <w:pStyle w:val="Compact"/>
              <w:jc w:val="center"/>
            </w:pPr>
            <w:r>
              <w:t xml:space="preserve">8</w:t>
            </w:r>
          </w:p>
        </w:tc>
        <w:tc>
          <w:tcPr/>
          <w:p>
            <w:pPr>
              <w:pStyle w:val="Compact"/>
              <w:jc w:val="left"/>
            </w:pPr>
            <w:r>
              <w:rPr>
                <w:bCs/>
                <w:b/>
              </w:rPr>
              <w:t xml:space="preserve">Mandatory human review:</w:t>
            </w:r>
            <w:r>
              <w:t xml:space="preserve"> </w:t>
            </w:r>
            <w:r>
              <w:t xml:space="preserve">every recommendation is marked</w:t>
            </w:r>
            <w:r>
              <w:t xml:space="preserve"> </w:t>
            </w:r>
            <w:r>
              <w:rPr>
                <w:rStyle w:val="VerbatimChar"/>
              </w:rPr>
              <w:t xml:space="preserve">requires_human_review = True</w:t>
            </w:r>
            <w:r>
              <w:t xml:space="preserve">.</w:t>
            </w:r>
          </w:p>
        </w:tc>
      </w:tr>
    </w:tbl>
    <w:bookmarkEnd w:id="73"/>
    <w:bookmarkEnd w:id="74"/>
    <w:bookmarkStart w:id="76" w:name="agent-evaluation-offline-baseline"/>
    <w:p>
      <w:pPr>
        <w:pStyle w:val="Heading2"/>
      </w:pPr>
      <w:r>
        <w:rPr>
          <w:rStyle w:val="SectionNumber"/>
        </w:rPr>
        <w:t xml:space="preserve">6.5</w:t>
      </w:r>
      <w:r>
        <w:tab/>
      </w:r>
      <w:r>
        <w:t xml:space="preserve">Agent Evaluation (Offline Baseline)</w:t>
      </w:r>
    </w:p>
    <w:p>
      <w:pPr>
        <w:pStyle w:val="FirstParagraph"/>
      </w:pPr>
      <w:r>
        <w:t xml:space="preserve">The offline evaluation ran 556 claims through the complete pipeline in rule-based mode (all six tools execute, no LLM):</w:t>
      </w:r>
    </w:p>
    <w:bookmarkStart w:id="75" w:name="tab:agent_eval"/>
    <w:p>
      <w:pPr>
        <w:pStyle w:val="TableCaption"/>
      </w:pPr>
      <w:r>
        <w:t xml:space="preserve">Agent evaluation results (offline baseline, 278 matched claims).</w:t>
      </w:r>
    </w:p>
    <w:tbl>
      <w:tblPr>
        <w:tblStyle w:val="Table"/>
        <w:tblW w:type="auto" w:w="0"/>
        <w:tblLook w:firstRow="1" w:lastRow="0" w:firstColumn="0" w:lastColumn="0" w:noHBand="0" w:noVBand="0" w:val="0020"/>
        <w:jc w:val="start"/>
        <w:tblCaption w:val="Agent evaluation results (offline baseline, 278 matched claims)."/>
      </w:tblPr>
      <w:tblGrid>
        <w:gridCol w:w="2640"/>
        <w:gridCol w:w="2640"/>
        <w:gridCol w:w="2640"/>
      </w:tblGrid>
      <w:tr>
        <w:trPr>
          <w:tblHeader w:val="true"/>
        </w:trPr>
        <w:tc>
          <w:tcPr/>
          <w:p>
            <w:pPr>
              <w:pStyle w:val="Compact"/>
              <w:jc w:val="left"/>
            </w:pPr>
            <w:r>
              <w:rPr>
                <w:bCs/>
                <w:b/>
              </w:rPr>
              <w:t xml:space="preserve">Metric</w:t>
            </w:r>
          </w:p>
        </w:tc>
        <w:tc>
          <w:tcPr/>
          <w:p>
            <w:pPr>
              <w:pStyle w:val="Compact"/>
              <w:jc w:val="center"/>
            </w:pPr>
            <w:r>
              <w:rPr>
                <w:bCs/>
                <w:b/>
              </w:rPr>
              <w:t xml:space="preserve">Sim. Data Off</w:t>
            </w:r>
          </w:p>
        </w:tc>
        <w:tc>
          <w:tcPr/>
          <w:p>
            <w:pPr>
              <w:pStyle w:val="Compact"/>
              <w:jc w:val="center"/>
            </w:pPr>
            <w:r>
              <w:rPr>
                <w:bCs/>
                <w:b/>
              </w:rPr>
              <w:t xml:space="preserve">Sim. Data On</w:t>
            </w:r>
          </w:p>
        </w:tc>
      </w:tr>
      <w:tr>
        <w:tc>
          <w:tcPr/>
          <w:p>
            <w:pPr>
              <w:pStyle w:val="Compact"/>
              <w:jc w:val="left"/>
            </w:pPr>
            <w:r>
              <w:t xml:space="preserve">Fraud</w:t>
            </w:r>
            <w:r>
              <w:t xml:space="preserve"> </w:t>
            </w:r>
            <m:oMath>
              <m:r>
                <m:rPr>
                  <m:sty m:val="p"/>
                </m:rPr>
                <m:t>→</m:t>
              </m:r>
            </m:oMath>
            <w:r>
              <w:t xml:space="preserve"> </w:t>
            </w:r>
            <w:r>
              <w:t xml:space="preserve">FRAUD_RISK flag (recall)</w:t>
            </w:r>
          </w:p>
        </w:tc>
        <w:tc>
          <w:tcPr/>
          <w:p>
            <w:pPr>
              <w:pStyle w:val="Compact"/>
              <w:jc w:val="center"/>
            </w:pPr>
            <w:r>
              <w:t xml:space="preserve">0.748</w:t>
            </w:r>
          </w:p>
        </w:tc>
        <w:tc>
          <w:tcPr/>
          <w:p>
            <w:pPr>
              <w:pStyle w:val="Compact"/>
              <w:jc w:val="center"/>
            </w:pPr>
            <w:r>
              <w:t xml:space="preserve">0.748</w:t>
            </w:r>
          </w:p>
        </w:tc>
      </w:tr>
      <w:tr>
        <w:tc>
          <w:tcPr/>
          <w:p>
            <w:pPr>
              <w:pStyle w:val="Compact"/>
              <w:jc w:val="left"/>
            </w:pPr>
            <w:r>
              <w:t xml:space="preserve">Legit</w:t>
            </w:r>
            <w:r>
              <w:t xml:space="preserve"> </w:t>
            </w:r>
            <m:oMath>
              <m:r>
                <m:rPr>
                  <m:sty m:val="p"/>
                </m:rPr>
                <m:t>→</m:t>
              </m:r>
            </m:oMath>
            <w:r>
              <w:t xml:space="preserve"> </w:t>
            </w:r>
            <w:r>
              <w:t xml:space="preserve">APPROVE</w:t>
            </w:r>
          </w:p>
        </w:tc>
        <w:tc>
          <w:tcPr/>
          <w:p>
            <w:pPr>
              <w:pStyle w:val="Compact"/>
              <w:jc w:val="center"/>
            </w:pPr>
            <w:r>
              <w:t xml:space="preserve">0.842</w:t>
            </w:r>
          </w:p>
        </w:tc>
        <w:tc>
          <w:tcPr/>
          <w:p>
            <w:pPr>
              <w:pStyle w:val="Compact"/>
              <w:jc w:val="center"/>
            </w:pPr>
            <w:r>
              <w:t xml:space="preserve">0.835</w:t>
            </w:r>
          </w:p>
        </w:tc>
      </w:tr>
      <w:tr>
        <w:tc>
          <w:tcPr/>
          <w:p>
            <w:pPr>
              <w:pStyle w:val="Compact"/>
              <w:jc w:val="left"/>
            </w:pPr>
            <w:r>
              <w:t xml:space="preserve">False-flag rate</w:t>
            </w:r>
          </w:p>
        </w:tc>
        <w:tc>
          <w:tcPr/>
          <w:p>
            <w:pPr>
              <w:pStyle w:val="Compact"/>
              <w:jc w:val="center"/>
            </w:pPr>
            <w:r>
              <w:t xml:space="preserve">0.158</w:t>
            </w:r>
          </w:p>
        </w:tc>
        <w:tc>
          <w:tcPr/>
          <w:p>
            <w:pPr>
              <w:pStyle w:val="Compact"/>
              <w:jc w:val="center"/>
            </w:pPr>
            <w:r>
              <w:t xml:space="preserve">0.158</w:t>
            </w:r>
          </w:p>
        </w:tc>
      </w:tr>
      <w:tr>
        <w:tc>
          <w:tcPr/>
          <w:p>
            <w:pPr>
              <w:pStyle w:val="Compact"/>
              <w:jc w:val="left"/>
            </w:pPr>
            <w:r>
              <w:t xml:space="preserve">REQUEST_MORE_INFORMATION</w:t>
            </w:r>
          </w:p>
        </w:tc>
        <w:tc>
          <w:tcPr/>
          <w:p>
            <w:pPr>
              <w:pStyle w:val="Compact"/>
              <w:jc w:val="center"/>
            </w:pPr>
            <w:r>
              <w:t xml:space="preserve">2.2%</w:t>
            </w:r>
          </w:p>
        </w:tc>
        <w:tc>
          <w:tcPr/>
          <w:p>
            <w:pPr>
              <w:pStyle w:val="Compact"/>
              <w:jc w:val="center"/>
            </w:pPr>
            <w:r>
              <w:t xml:space="preserve">2.2%</w:t>
            </w:r>
          </w:p>
        </w:tc>
      </w:tr>
      <w:tr>
        <w:tc>
          <w:tcPr/>
          <w:p>
            <w:pPr>
              <w:pStyle w:val="Compact"/>
              <w:jc w:val="left"/>
            </w:pPr>
            <w:r>
              <w:t xml:space="preserve">FRAUD_RISK precision (sample)</w:t>
            </w:r>
          </w:p>
        </w:tc>
        <w:tc>
          <w:tcPr/>
          <w:p>
            <w:pPr>
              <w:pStyle w:val="Compact"/>
              <w:jc w:val="center"/>
            </w:pPr>
            <w:r>
              <w:t xml:space="preserve">0.825</w:t>
            </w:r>
          </w:p>
        </w:tc>
        <w:tc>
          <w:tcPr/>
          <w:p>
            <w:pPr>
              <w:pStyle w:val="Compact"/>
              <w:jc w:val="center"/>
            </w:pPr>
            <w:r>
              <w:t xml:space="preserve">0.825</w:t>
            </w:r>
          </w:p>
        </w:tc>
      </w:tr>
      <w:tr>
        <w:tc>
          <w:tcPr/>
          <w:p>
            <w:pPr>
              <w:pStyle w:val="Compact"/>
              <w:jc w:val="left"/>
            </w:pPr>
            <w:r>
              <w:t xml:space="preserve">Consistency across runs</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Processing errors</w:t>
            </w:r>
          </w:p>
        </w:tc>
        <w:tc>
          <w:tcPr/>
          <w:p>
            <w:pPr>
              <w:pStyle w:val="Compact"/>
              <w:jc w:val="center"/>
            </w:pPr>
            <w:r>
              <w:t xml:space="preserve">0</w:t>
            </w:r>
          </w:p>
        </w:tc>
        <w:tc>
          <w:tcPr/>
          <w:p>
            <w:pPr>
              <w:pStyle w:val="Compact"/>
              <w:jc w:val="center"/>
            </w:pPr>
            <w:r>
              <w:t xml:space="preserve">0</w:t>
            </w:r>
          </w:p>
        </w:tc>
      </w:tr>
    </w:tbl>
    <w:bookmarkEnd w:id="75"/>
    <w:bookmarkEnd w:id="76"/>
    <w:bookmarkStart w:id="77" w:name="fairness-audit"/>
    <w:p>
      <w:pPr>
        <w:pStyle w:val="Heading2"/>
      </w:pPr>
      <w:r>
        <w:rPr>
          <w:rStyle w:val="SectionNumber"/>
        </w:rPr>
        <w:t xml:space="preserve">6.6</w:t>
      </w:r>
      <w:r>
        <w:tab/>
      </w:r>
      <w:r>
        <w:t xml:space="preserve">Fairness Audit</w:t>
      </w:r>
    </w:p>
    <w:p>
      <w:pPr>
        <w:pStyle w:val="FirstParagraph"/>
      </w:pPr>
      <w:r>
        <w:t xml:space="preserve">A fairness audit by Sex, age band and MaritalStatus confirmed that removing</w:t>
      </w:r>
      <w:r>
        <w:t xml:space="preserve"> </w:t>
      </w:r>
      <w:r>
        <w:rPr>
          <w:rStyle w:val="VerbatimChar"/>
        </w:rPr>
        <w:t xml:space="preserve">Sex</w:t>
      </w:r>
      <w:r>
        <w:t xml:space="preserve"> </w:t>
      </w:r>
      <w:r>
        <w:t xml:space="preserve">and</w:t>
      </w:r>
      <w:r>
        <w:t xml:space="preserve"> </w:t>
      </w:r>
      <w:r>
        <w:rPr>
          <w:rStyle w:val="VerbatimChar"/>
        </w:rPr>
        <w:t xml:space="preserve">MaritalStatus</w:t>
      </w:r>
      <w:r>
        <w:t xml:space="preserve"> </w:t>
      </w:r>
      <w:r>
        <w:t xml:space="preserve">from the feature set costs no accuracy. The model’s predictions show no statistically significant disparate impact across these protected attributes.</w:t>
      </w:r>
    </w:p>
    <w:bookmarkEnd w:id="77"/>
    <w:bookmarkStart w:id="78" w:name="limitations"/>
    <w:p>
      <w:pPr>
        <w:pStyle w:val="Heading2"/>
      </w:pPr>
      <w:r>
        <w:rPr>
          <w:rStyle w:val="SectionNumber"/>
        </w:rPr>
        <w:t xml:space="preserve">6.7</w:t>
      </w:r>
      <w:r>
        <w:tab/>
      </w:r>
      <w:r>
        <w:t xml:space="preserve">Limitations</w:t>
      </w:r>
    </w:p>
    <w:p>
      <w:pPr>
        <w:numPr>
          <w:ilvl w:val="0"/>
          <w:numId w:val="1014"/>
        </w:numPr>
      </w:pPr>
      <w:r>
        <w:t xml:space="preserve">The dataset is from 1994–1996; modern fraud patterns may differ.</w:t>
      </w:r>
    </w:p>
    <w:p>
      <w:pPr>
        <w:numPr>
          <w:ilvl w:val="0"/>
          <w:numId w:val="1014"/>
        </w:numPr>
      </w:pPr>
      <w:r>
        <w:t xml:space="preserve">With 138 test-set frauds, individual metric estimates have wide confidence intervals.</w:t>
      </w:r>
    </w:p>
    <w:p>
      <w:pPr>
        <w:numPr>
          <w:ilvl w:val="0"/>
          <w:numId w:val="1014"/>
        </w:numPr>
      </w:pPr>
      <w:r>
        <w:t xml:space="preserve">The synthetic data generator is a black box; its flattening of weak signals may bias the model.</w:t>
      </w:r>
    </w:p>
    <w:p>
      <w:pPr>
        <w:numPr>
          <w:ilvl w:val="0"/>
          <w:numId w:val="1014"/>
        </w:numPr>
      </w:pPr>
      <w:r>
        <w:t xml:space="preserve">Live LLM evaluation is pending; offline results use the rule-based fallback path only.</w:t>
      </w:r>
    </w:p>
    <w:p>
      <w:pPr>
        <w:numPr>
          <w:ilvl w:val="0"/>
          <w:numId w:val="1014"/>
        </w:numPr>
      </w:pPr>
      <w:r>
        <w:t xml:space="preserve">The system is designed for vehicle insurance only; other lines would require new features and recalibration.</w:t>
      </w:r>
    </w:p>
    <w:bookmarkEnd w:id="78"/>
    <w:bookmarkEnd w:id="79"/>
    <w:bookmarkStart w:id="86" w:name="ch:conclusion"/>
    <w:p>
      <w:pPr>
        <w:pStyle w:val="Heading1"/>
      </w:pPr>
      <w:r>
        <w:rPr>
          <w:rStyle w:val="SectionNumber"/>
        </w:rPr>
        <w:t xml:space="preserve">7</w:t>
      </w:r>
      <w:r>
        <w:tab/>
      </w:r>
      <w:r>
        <w:t xml:space="preserve">Conclusion and Future Scope</w:t>
      </w:r>
    </w:p>
    <w:bookmarkStart w:id="80" w:name="conclusion"/>
    <w:p>
      <w:pPr>
        <w:pStyle w:val="Heading2"/>
      </w:pPr>
      <w:r>
        <w:rPr>
          <w:rStyle w:val="SectionNumber"/>
        </w:rPr>
        <w:t xml:space="preserve">7.1</w:t>
      </w:r>
      <w:r>
        <w:tab/>
      </w:r>
      <w:r>
        <w:t xml:space="preserve">Conclusion</w:t>
      </w:r>
    </w:p>
    <w:p>
      <w:pPr>
        <w:pStyle w:val="FirstParagraph"/>
      </w:pPr>
      <w:r>
        <w:t xml:space="preserve">This project demonstrated a complete, autonomous insurance claims triage system that combines calibrated machine learning with agentic AI orchestration:</w:t>
      </w:r>
    </w:p>
    <w:p>
      <w:pPr>
        <w:numPr>
          <w:ilvl w:val="0"/>
          <w:numId w:val="1015"/>
        </w:numPr>
      </w:pPr>
      <w:r>
        <w:t xml:space="preserve">A</w:t>
      </w:r>
      <w:r>
        <w:t xml:space="preserve"> </w:t>
      </w:r>
      <w:r>
        <w:rPr>
          <w:bCs/>
          <w:b/>
        </w:rPr>
        <w:t xml:space="preserve">LightGBM model</w:t>
      </w:r>
      <w:r>
        <w:t xml:space="preserve"> </w:t>
      </w:r>
      <w:r>
        <w:t xml:space="preserve">was trained and calibrated to output true fraud probabilities, achieving 0.874 ROC-AUC and 79% recall on held-out real claims—significantly outperforming logistic regression (0.193 PR-AUC), random forest (0.246), XGBoost (0.283) and a PyTorch MLP (0.262).</w:t>
      </w:r>
    </w:p>
    <w:p>
      <w:pPr>
        <w:numPr>
          <w:ilvl w:val="0"/>
          <w:numId w:val="1015"/>
        </w:numPr>
      </w:pPr>
      <w:r>
        <w:t xml:space="preserve">A</w:t>
      </w:r>
      <w:r>
        <w:t xml:space="preserve"> </w:t>
      </w:r>
      <w:r>
        <w:rPr>
          <w:bCs/>
          <w:b/>
        </w:rPr>
        <w:t xml:space="preserve">LangGraph-based agent</w:t>
      </w:r>
      <w:r>
        <w:t xml:space="preserve"> </w:t>
      </w:r>
      <w:r>
        <w:t xml:space="preserve">was built with an 8-step pipeline and 6 specialised tools, autonomously investigating each claim via the ReAct pattern and synthesising evidence into structured, grounded recommendations.</w:t>
      </w:r>
    </w:p>
    <w:p>
      <w:pPr>
        <w:numPr>
          <w:ilvl w:val="0"/>
          <w:numId w:val="1015"/>
        </w:numPr>
      </w:pPr>
      <w:r>
        <w:rPr>
          <w:bCs/>
          <w:b/>
        </w:rPr>
        <w:t xml:space="preserve">Eight code-enforced guardrails</w:t>
      </w:r>
      <w:r>
        <w:t xml:space="preserve"> </w:t>
      </w:r>
      <w:r>
        <w:t xml:space="preserve">ensure safety invariants—the system never denies a claim, high-risk claims are never auto-approved, and every assertion traces to its source—independent of LLM behaviour.</w:t>
      </w:r>
    </w:p>
    <w:p>
      <w:pPr>
        <w:numPr>
          <w:ilvl w:val="0"/>
          <w:numId w:val="1015"/>
        </w:numPr>
      </w:pPr>
      <w:r>
        <w:t xml:space="preserve">A</w:t>
      </w:r>
      <w:r>
        <w:t xml:space="preserve"> </w:t>
      </w:r>
      <w:r>
        <w:rPr>
          <w:bCs/>
          <w:b/>
        </w:rPr>
        <w:t xml:space="preserve">Streamlit dashboard</w:t>
      </w:r>
      <w:r>
        <w:t xml:space="preserve"> </w:t>
      </w:r>
      <w:r>
        <w:t xml:space="preserve">enables human adjusters to review decisions, examine SHAP explanations, and record approvals or overrides with audit logging.</w:t>
      </w:r>
    </w:p>
    <w:p>
      <w:pPr>
        <w:numPr>
          <w:ilvl w:val="0"/>
          <w:numId w:val="1015"/>
        </w:numPr>
      </w:pPr>
      <w:r>
        <w:t xml:space="preserve">The system achieves</w:t>
      </w:r>
      <w:r>
        <w:t xml:space="preserve"> </w:t>
      </w:r>
      <w:r>
        <w:rPr>
          <w:bCs/>
          <w:b/>
        </w:rPr>
        <w:t xml:space="preserve">100% consistency</w:t>
      </w:r>
      <w:r>
        <w:t xml:space="preserve"> </w:t>
      </w:r>
      <w:r>
        <w:t xml:space="preserve">and</w:t>
      </w:r>
      <w:r>
        <w:t xml:space="preserve"> </w:t>
      </w:r>
      <w:r>
        <w:rPr>
          <w:bCs/>
          <w:b/>
        </w:rPr>
        <w:t xml:space="preserve">zero errors</w:t>
      </w:r>
      <w:r>
        <w:t xml:space="preserve"> </w:t>
      </w:r>
      <w:r>
        <w:t xml:space="preserve">across repeated evaluation runs, with graceful degradation to a rule-based fallback at zero cost when the LLM is unavailable.</w:t>
      </w:r>
    </w:p>
    <w:p>
      <w:pPr>
        <w:pStyle w:val="FirstParagraph"/>
      </w:pPr>
      <w:r>
        <w:t xml:space="preserve">The quantitative results explicitly satisfy the synopsis success criteria: model precision (lower CI 0.188) and recall (lower CI 0.717) are both meaningfully above the naive baseline (0.060 and 0.227 respectively).</w:t>
      </w:r>
    </w:p>
    <w:bookmarkEnd w:id="80"/>
    <w:bookmarkStart w:id="85" w:name="future-scope"/>
    <w:p>
      <w:pPr>
        <w:pStyle w:val="Heading2"/>
      </w:pPr>
      <w:r>
        <w:rPr>
          <w:rStyle w:val="SectionNumber"/>
        </w:rPr>
        <w:t xml:space="preserve">7.2</w:t>
      </w:r>
      <w:r>
        <w:tab/>
      </w:r>
      <w:r>
        <w:t xml:space="preserve">Future Scope</w:t>
      </w:r>
    </w:p>
    <w:p>
      <w:pPr>
        <w:numPr>
          <w:ilvl w:val="0"/>
          <w:numId w:val="1016"/>
        </w:numPr>
      </w:pPr>
      <w:r>
        <w:rPr>
          <w:bCs/>
          <w:b/>
        </w:rPr>
        <w:t xml:space="preserve">Live LLM evaluation:</w:t>
      </w:r>
      <w:r>
        <w:t xml:space="preserve"> </w:t>
      </w:r>
      <w:r>
        <w:t xml:space="preserve">run the full agent with qwen2.5:72b on the test set and assess rationale quality via LLM-as-judge.</w:t>
      </w:r>
    </w:p>
    <w:p>
      <w:pPr>
        <w:numPr>
          <w:ilvl w:val="0"/>
          <w:numId w:val="1016"/>
        </w:numPr>
      </w:pPr>
      <w:r>
        <w:rPr>
          <w:bCs/>
          <w:b/>
        </w:rPr>
        <w:t xml:space="preserve">Feedback loop:</w:t>
      </w:r>
      <w:r>
        <w:t xml:space="preserve"> </w:t>
      </w:r>
      <w:r>
        <w:t xml:space="preserve">use adjuster override decisions to retrain and recalibrate the model.</w:t>
      </w:r>
    </w:p>
    <w:p>
      <w:pPr>
        <w:numPr>
          <w:ilvl w:val="0"/>
          <w:numId w:val="1016"/>
        </w:numPr>
      </w:pPr>
      <w:r>
        <w:rPr>
          <w:bCs/>
          <w:b/>
        </w:rPr>
        <w:t xml:space="preserve">Free-text extraction:</w:t>
      </w:r>
      <w:r>
        <w:t xml:space="preserve"> </w:t>
      </w:r>
      <w:r>
        <w:t xml:space="preserve">parse unstructured claim narratives and repair notes using an LLM.</w:t>
      </w:r>
    </w:p>
    <w:p>
      <w:pPr>
        <w:numPr>
          <w:ilvl w:val="0"/>
          <w:numId w:val="1016"/>
        </w:numPr>
      </w:pPr>
      <w:r>
        <w:rPr>
          <w:bCs/>
          <w:b/>
        </w:rPr>
        <w:t xml:space="preserve">Multi-line extension:</w:t>
      </w:r>
      <w:r>
        <w:t xml:space="preserve"> </w:t>
      </w:r>
      <w:r>
        <w:t xml:space="preserve">adapt the pipeline for health, property and life insurance claims.</w:t>
      </w:r>
    </w:p>
    <w:p>
      <w:pPr>
        <w:numPr>
          <w:ilvl w:val="0"/>
          <w:numId w:val="1016"/>
        </w:numPr>
      </w:pPr>
      <w:r>
        <w:rPr>
          <w:bCs/>
          <w:b/>
        </w:rPr>
        <w:t xml:space="preserve">Real-time deployment:</w:t>
      </w:r>
      <w:r>
        <w:t xml:space="preserve"> </w:t>
      </w:r>
      <w:r>
        <w:t xml:space="preserve">wrap the tools in a FastAPI service with sub-second latency.</w:t>
      </w:r>
    </w:p>
    <w:p>
      <w:pPr>
        <w:numPr>
          <w:ilvl w:val="0"/>
          <w:numId w:val="1016"/>
        </w:numPr>
      </w:pPr>
      <w:r>
        <w:rPr>
          <w:bCs/>
          <w:b/>
        </w:rPr>
        <w:t xml:space="preserve">Image-based damage assessment:</w:t>
      </w:r>
      <w:r>
        <w:t xml:space="preserve"> </w:t>
      </w:r>
      <w:r>
        <w:t xml:space="preserve">integrate computer vision for vehicle damage photos (stretch goal).</w:t>
      </w:r>
    </w:p>
    <w:p>
      <w:pPr>
        <w:numPr>
          <w:ilvl w:val="0"/>
          <w:numId w:val="1016"/>
        </w:numPr>
      </w:pPr>
      <w:r>
        <w:rPr>
          <w:bCs/>
          <w:b/>
        </w:rPr>
        <w:t xml:space="preserve">Supplementary data sources:</w:t>
      </w:r>
      <w:r>
        <w:t xml:space="preserve"> </w:t>
      </w:r>
      <w:r>
        <w:t xml:space="preserve">incorporate the Kaggle Auto Insurance Claims dataset (</w:t>
      </w:r>
      <m:oMath>
        <m:r>
          <m:rPr>
            <m:sty m:val="p"/>
          </m:rPr>
          <m:t>∼</m:t>
        </m:r>
      </m:oMath>
      <w:r>
        <w:t xml:space="preserve">1,000 rows) as an additional retrieval knowledge base.</w:t>
      </w:r>
    </w:p>
    <w:p>
      <w:pPr>
        <w:pStyle w:val="FirstParagraph"/>
      </w:pPr>
      <w:r>
        <w:t xml:space="preserve">25</w:t>
      </w:r>
    </w:p>
    <w:p>
      <w:pPr>
        <w:pStyle w:val="BodyText"/>
      </w:pPr>
      <w:r>
        <w:t xml:space="preserve">R. J. Bolton and D. J. Hand,</w:t>
      </w:r>
      <w:r>
        <w:t xml:space="preserve"> </w:t>
      </w:r>
      <w:r>
        <w:t xml:space="preserve">“</w:t>
      </w:r>
      <w:r>
        <w:t xml:space="preserve">Statistical fraud detection: a review,</w:t>
      </w:r>
      <w:r>
        <w:t xml:space="preserve">”</w:t>
      </w:r>
      <w:r>
        <w:t xml:space="preserve"> </w:t>
      </w:r>
      <w:r>
        <w:rPr>
          <w:iCs/>
          <w:i/>
        </w:rPr>
        <w:t xml:space="preserve">Statistical Science</w:t>
      </w:r>
      <w:r>
        <w:t xml:space="preserve">, vol. 17, no. 3, pp. 235–249, 2002.</w:t>
      </w:r>
    </w:p>
    <w:p>
      <w:pPr>
        <w:pStyle w:val="BodyText"/>
      </w:pPr>
      <w:r>
        <w:t xml:space="preserve">C. Phua, V. Lee, K. Smith and R. Gayler,</w:t>
      </w:r>
      <w:r>
        <w:t xml:space="preserve"> </w:t>
      </w:r>
      <w:r>
        <w:t xml:space="preserve">“</w:t>
      </w:r>
      <w:r>
        <w:t xml:space="preserve">A comprehensive survey of data mining-based fraud detection research,</w:t>
      </w:r>
      <w:r>
        <w:t xml:space="preserve">”</w:t>
      </w:r>
      <w:r>
        <w:t xml:space="preserve"> </w:t>
      </w:r>
      <w:r>
        <w:rPr>
          <w:iCs/>
          <w:i/>
        </w:rPr>
        <w:t xml:space="preserve">arXiv preprint arXiv:1009.6119</w:t>
      </w:r>
      <w:r>
        <w:t xml:space="preserve">, 2010.</w:t>
      </w:r>
    </w:p>
    <w:p>
      <w:pPr>
        <w:pStyle w:val="BodyText"/>
      </w:pPr>
      <w:r>
        <w:t xml:space="preserve">T. Chen and C. Guestrin,</w:t>
      </w:r>
      <w:r>
        <w:t xml:space="preserve"> </w:t>
      </w:r>
      <w:r>
        <w:t xml:space="preserve">“</w:t>
      </w:r>
      <w:r>
        <w:t xml:space="preserve">XGBoost: a scalable tree boosting system,</w:t>
      </w:r>
      <w:r>
        <w:t xml:space="preserve">”</w:t>
      </w:r>
      <w:r>
        <w:t xml:space="preserve"> </w:t>
      </w:r>
      <w:r>
        <w:t xml:space="preserve">in</w:t>
      </w:r>
      <w:r>
        <w:t xml:space="preserve"> </w:t>
      </w:r>
      <w:r>
        <w:rPr>
          <w:iCs/>
          <w:i/>
        </w:rPr>
        <w:t xml:space="preserve">Proc. ACM SIGKDD</w:t>
      </w:r>
      <w:r>
        <w:t xml:space="preserve">, San Francisco, CA, 2016, pp. 785–794.</w:t>
      </w:r>
    </w:p>
    <w:p>
      <w:pPr>
        <w:pStyle w:val="BodyText"/>
      </w:pPr>
      <w:r>
        <w:t xml:space="preserve">G. Ke, Q. Meng, T. Finley</w:t>
      </w:r>
      <w:r>
        <w:t xml:space="preserve"> </w:t>
      </w:r>
      <w:r>
        <w:rPr>
          <w:iCs/>
          <w:i/>
        </w:rPr>
        <w:t xml:space="preserve">et al.</w:t>
      </w:r>
      <w:r>
        <w:t xml:space="preserve">,</w:t>
      </w:r>
      <w:r>
        <w:t xml:space="preserve"> </w:t>
      </w:r>
      <w:r>
        <w:t xml:space="preserve">“</w:t>
      </w:r>
      <w:r>
        <w:t xml:space="preserve">LightGBM: a highly efficient gradient boosting decision tree,</w:t>
      </w:r>
      <w:r>
        <w:t xml:space="preserve">”</w:t>
      </w:r>
      <w:r>
        <w:t xml:space="preserve"> </w:t>
      </w:r>
      <w:r>
        <w:t xml:space="preserve">in</w:t>
      </w:r>
      <w:r>
        <w:t xml:space="preserve"> </w:t>
      </w:r>
      <w:r>
        <w:rPr>
          <w:iCs/>
          <w:i/>
        </w:rPr>
        <w:t xml:space="preserve">Advances in Neural Information Processing Systems (NeurIPS)</w:t>
      </w:r>
      <w:r>
        <w:t xml:space="preserve">, vol. 30, 2017, pp. 3146–3154.</w:t>
      </w:r>
    </w:p>
    <w:p>
      <w:pPr>
        <w:pStyle w:val="BodyText"/>
      </w:pPr>
      <w:r>
        <w:t xml:space="preserve">N. V. Chawla, K. W. Bowyer, L. O. Hall and W. P. Kegelmeyer,</w:t>
      </w:r>
      <w:r>
        <w:t xml:space="preserve"> </w:t>
      </w:r>
      <w:r>
        <w:t xml:space="preserve">“</w:t>
      </w:r>
      <w:r>
        <w:t xml:space="preserve">SMOTE: synthetic minority over-sampling technique,</w:t>
      </w:r>
      <w:r>
        <w:t xml:space="preserve">”</w:t>
      </w:r>
      <w:r>
        <w:t xml:space="preserve"> </w:t>
      </w:r>
      <w:r>
        <w:rPr>
          <w:iCs/>
          <w:i/>
        </w:rPr>
        <w:t xml:space="preserve">Journal of Artificial Intelligence Research</w:t>
      </w:r>
      <w:r>
        <w:t xml:space="preserve">, vol. 16, pp. 321–357, 2002.</w:t>
      </w:r>
    </w:p>
    <w:p>
      <w:pPr>
        <w:pStyle w:val="BodyText"/>
      </w:pPr>
      <w:r>
        <w:t xml:space="preserve">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Advances in Neural Information Processing Systems (NeurIPS)</w:t>
      </w:r>
      <w:r>
        <w:t xml:space="preserve">, vol. 30, 2017, pp. 4765–4774.</w:t>
      </w:r>
    </w:p>
    <w:p>
      <w:pPr>
        <w:pStyle w:val="BodyText"/>
      </w:pPr>
      <w:r>
        <w:t xml:space="preserve">S. Yao, J. Zhao, D. Yu</w:t>
      </w:r>
      <w:r>
        <w:t xml:space="preserve"> </w:t>
      </w:r>
      <w:r>
        <w:rPr>
          <w:iCs/>
          <w:i/>
        </w:rPr>
        <w:t xml:space="preserve">et al.</w:t>
      </w:r>
      <w:r>
        <w:t xml:space="preserve">,</w:t>
      </w:r>
      <w:r>
        <w:t xml:space="preserve"> </w:t>
      </w:r>
      <w:r>
        <w:t xml:space="preserve">“</w:t>
      </w:r>
      <w:r>
        <w:t xml:space="preserve">ReAct: synergizing reasoning and acting in language models,</w:t>
      </w:r>
      <w:r>
        <w:t xml:space="preserve">”</w:t>
      </w:r>
      <w:r>
        <w:t xml:space="preserve"> </w:t>
      </w:r>
      <w:r>
        <w:t xml:space="preserve">in</w:t>
      </w:r>
      <w:r>
        <w:t xml:space="preserve"> </w:t>
      </w:r>
      <w:r>
        <w:rPr>
          <w:iCs/>
          <w:i/>
        </w:rPr>
        <w:t xml:space="preserve">Proc. ICLR</w:t>
      </w:r>
      <w:r>
        <w:t xml:space="preserve">, 2023.</w:t>
      </w:r>
    </w:p>
    <w:p>
      <w:pPr>
        <w:pStyle w:val="BodyText"/>
      </w:pPr>
      <w:r>
        <w:t xml:space="preserve">LangChain, Inc.,</w:t>
      </w:r>
      <w:r>
        <w:t xml:space="preserve"> </w:t>
      </w:r>
      <w:r>
        <w:t xml:space="preserve">“</w:t>
      </w:r>
      <w:r>
        <w:t xml:space="preserve">LangGraph: build stateful, multi-actor applications with LLMs,</w:t>
      </w:r>
      <w:r>
        <w:t xml:space="preserve">”</w:t>
      </w:r>
      <w:r>
        <w:t xml:space="preserve"> </w:t>
      </w:r>
      <w:r>
        <w:rPr>
          <w:iCs/>
          <w:i/>
        </w:rPr>
        <w:t xml:space="preserve">GitHub repository</w:t>
      </w:r>
      <w:r>
        <w:t xml:space="preserve">, 2024. Available:</w:t>
      </w:r>
      <w:r>
        <w:t xml:space="preserve"> </w:t>
      </w:r>
      <w:hyperlink r:id="rId81">
        <w:r>
          <w:rPr>
            <w:rStyle w:val="Hyperlink"/>
          </w:rPr>
          <w:t xml:space="preserve">https://github.com/langchain-ai/langgraph</w:t>
        </w:r>
      </w:hyperlink>
      <w:r>
        <w:t xml:space="preserve">.</w:t>
      </w:r>
    </w:p>
    <w:p>
      <w:pPr>
        <w:pStyle w:val="BodyText"/>
      </w:pPr>
      <w:r>
        <w:t xml:space="preserve">L. Grinsztajn, E. Oyallon and G. Varoquaux,</w:t>
      </w:r>
      <w:r>
        <w:t xml:space="preserve"> </w:t>
      </w:r>
      <w:r>
        <w:t xml:space="preserve">“</w:t>
      </w:r>
      <w:r>
        <w:t xml:space="preserve">Why do tree-based models still outperform deep learning on tabular data?</w:t>
      </w:r>
      <w:r>
        <w:t xml:space="preserve">”</w:t>
      </w:r>
      <w:r>
        <w:t xml:space="preserve"> </w:t>
      </w:r>
      <w:r>
        <w:t xml:space="preserve">in</w:t>
      </w:r>
      <w:r>
        <w:t xml:space="preserve"> </w:t>
      </w:r>
      <w:r>
        <w:rPr>
          <w:iCs/>
          <w:i/>
        </w:rPr>
        <w:t xml:space="preserve">Advances in Neural Information Processing Systems (NeurIPS)</w:t>
      </w:r>
      <w:r>
        <w:t xml:space="preserve">, vol. 35, 2022, pp. 507–520.</w:t>
      </w:r>
    </w:p>
    <w:p>
      <w:pPr>
        <w:pStyle w:val="BodyText"/>
      </w:pPr>
      <w:r>
        <w:t xml:space="preserve">J. Johnson, M. Douze and H. Jégou,</w:t>
      </w:r>
      <w:r>
        <w:t xml:space="preserve"> </w:t>
      </w:r>
      <w:r>
        <w:t xml:space="preserve">“</w:t>
      </w:r>
      <w:r>
        <w:t xml:space="preserve">Billion-scale similarity search with GPUs,</w:t>
      </w:r>
      <w:r>
        <w:t xml:space="preserve">”</w:t>
      </w:r>
      <w:r>
        <w:t xml:space="preserve"> </w:t>
      </w:r>
      <w:r>
        <w:rPr>
          <w:iCs/>
          <w:i/>
        </w:rPr>
        <w:t xml:space="preserve">IEEE Transactions on Big Data</w:t>
      </w:r>
      <w:r>
        <w:t xml:space="preserve">, vol. 7, no. 3, pp. 535–547, 2021.</w:t>
      </w:r>
    </w:p>
    <w:p>
      <w:pPr>
        <w:pStyle w:val="BodyText"/>
      </w:pPr>
      <w:r>
        <w:t xml:space="preserve">J. C. Platt,</w:t>
      </w:r>
      <w:r>
        <w:t xml:space="preserve"> </w:t>
      </w:r>
      <w:r>
        <w:t xml:space="preserve">“</w:t>
      </w:r>
      <w:r>
        <w:t xml:space="preserve">Probabilistic outputs for support vector machines and comparisons to regularized likelihood methods,</w:t>
      </w:r>
      <w:r>
        <w:t xml:space="preserve">”</w:t>
      </w:r>
      <w:r>
        <w:t xml:space="preserve"> </w:t>
      </w:r>
      <w:r>
        <w:t xml:space="preserve">in</w:t>
      </w:r>
      <w:r>
        <w:t xml:space="preserve"> </w:t>
      </w:r>
      <w:r>
        <w:rPr>
          <w:iCs/>
          <w:i/>
        </w:rPr>
        <w:t xml:space="preserve">Advances in Large Margin Classifiers</w:t>
      </w:r>
      <w:r>
        <w:t xml:space="preserve">, MIT Press, 1999, pp. 61–74.</w:t>
      </w:r>
    </w:p>
    <w:p>
      <w:pPr>
        <w:pStyle w:val="BodyText"/>
      </w:pPr>
      <w:r>
        <w:t xml:space="preserve">G. W. Brier,</w:t>
      </w:r>
      <w:r>
        <w:t xml:space="preserve"> </w:t>
      </w:r>
      <w:r>
        <w:t xml:space="preserve">“</w:t>
      </w:r>
      <w:r>
        <w:t xml:space="preserve">Verification of forecasts expressed in terms of probability,</w:t>
      </w:r>
      <w:r>
        <w:t xml:space="preserve">”</w:t>
      </w:r>
      <w:r>
        <w:t xml:space="preserve"> </w:t>
      </w:r>
      <w:r>
        <w:rPr>
          <w:iCs/>
          <w:i/>
        </w:rPr>
        <w:t xml:space="preserve">Monthly Weather Review</w:t>
      </w:r>
      <w:r>
        <w:t xml:space="preserve">, vol. 78, no. 1, pp. 1–3, 1950.</w:t>
      </w:r>
    </w:p>
    <w:p>
      <w:pPr>
        <w:pStyle w:val="BodyText"/>
      </w:pPr>
      <w:r>
        <w:t xml:space="preserve">Streamlit, Inc.,</w:t>
      </w:r>
      <w:r>
        <w:t xml:space="preserve"> </w:t>
      </w:r>
      <w:r>
        <w:t xml:space="preserve">“</w:t>
      </w:r>
      <w:r>
        <w:t xml:space="preserve">Streamlit: the fastest way to build data apps,</w:t>
      </w:r>
      <w:r>
        <w:t xml:space="preserve">”</w:t>
      </w:r>
      <w:r>
        <w:t xml:space="preserve"> </w:t>
      </w:r>
      <w:r>
        <w:t xml:space="preserve">2024. Available:</w:t>
      </w:r>
      <w:r>
        <w:t xml:space="preserve"> </w:t>
      </w:r>
      <w:hyperlink r:id="rId82">
        <w:r>
          <w:rPr>
            <w:rStyle w:val="Hyperlink"/>
          </w:rPr>
          <w:t xml:space="preserve">https://streamlit.io</w:t>
        </w:r>
      </w:hyperlink>
      <w:r>
        <w:t xml:space="preserve">.</w:t>
      </w:r>
    </w:p>
    <w:p>
      <w:pPr>
        <w:pStyle w:val="BodyText"/>
      </w:pPr>
      <w:r>
        <w:t xml:space="preserve">Ollama,</w:t>
      </w:r>
      <w:r>
        <w:t xml:space="preserve"> </w:t>
      </w:r>
      <w:r>
        <w:t xml:space="preserve">“</w:t>
      </w:r>
      <w:r>
        <w:t xml:space="preserve">Ollama: run large language models locally,</w:t>
      </w:r>
      <w:r>
        <w:t xml:space="preserve">”</w:t>
      </w:r>
      <w:r>
        <w:t xml:space="preserve"> </w:t>
      </w:r>
      <w:r>
        <w:t xml:space="preserve">2024. Available:</w:t>
      </w:r>
      <w:r>
        <w:t xml:space="preserve"> </w:t>
      </w:r>
      <w:hyperlink r:id="rId83">
        <w:r>
          <w:rPr>
            <w:rStyle w:val="Hyperlink"/>
          </w:rPr>
          <w:t xml:space="preserve">https://ollama.ai</w:t>
        </w:r>
      </w:hyperlink>
      <w:r>
        <w:t xml:space="preserve">.</w:t>
      </w:r>
    </w:p>
    <w:p>
      <w:pPr>
        <w:pStyle w:val="BodyText"/>
      </w:pPr>
      <w:r>
        <w:t xml:space="preserve">F. Pedregosa, G. Varoquaux, A. Gramfort</w:t>
      </w:r>
      <w:r>
        <w:t xml:space="preserve"> </w:t>
      </w:r>
      <w:r>
        <w:rPr>
          <w:iCs/>
          <w:i/>
        </w:rPr>
        <w:t xml:space="preserve">et al.</w:t>
      </w:r>
      <w:r>
        <w:t xml:space="preserve">,</w:t>
      </w:r>
      <w:r>
        <w:t xml:space="preserve"> </w:t>
      </w:r>
      <w:r>
        <w:t xml:space="preserve">“</w:t>
      </w:r>
      <w:r>
        <w:t xml:space="preserve">Scikit-learn: machine learning in Python,</w:t>
      </w:r>
      <w:r>
        <w:t xml:space="preserve">”</w:t>
      </w:r>
      <w:r>
        <w:t xml:space="preserve"> </w:t>
      </w:r>
      <w:r>
        <w:rPr>
          <w:iCs/>
          <w:i/>
        </w:rPr>
        <w:t xml:space="preserve">Journal of Machine Learning Research</w:t>
      </w:r>
      <w:r>
        <w:t xml:space="preserve">, vol. 12, pp. 2825–2830, 2011.</w:t>
      </w:r>
    </w:p>
    <w:p>
      <w:pPr>
        <w:pStyle w:val="BodyText"/>
      </w:pPr>
      <w:r>
        <w:t xml:space="preserve">A. Paszke, S. Gross, F. Massa</w:t>
      </w:r>
      <w:r>
        <w:t xml:space="preserve"> </w:t>
      </w:r>
      <w:r>
        <w:rPr>
          <w:iCs/>
          <w:i/>
        </w:rPr>
        <w:t xml:space="preserve">et al.</w:t>
      </w:r>
      <w:r>
        <w:t xml:space="preserve">,</w:t>
      </w:r>
      <w:r>
        <w:t xml:space="preserve"> </w:t>
      </w:r>
      <w:r>
        <w:t xml:space="preserve">“</w:t>
      </w:r>
      <w:r>
        <w:t xml:space="preserve">PyTorch: an imperative style, high-performance deep learning library,</w:t>
      </w:r>
      <w:r>
        <w:t xml:space="preserve">”</w:t>
      </w:r>
      <w:r>
        <w:t xml:space="preserve"> </w:t>
      </w:r>
      <w:r>
        <w:t xml:space="preserve">in</w:t>
      </w:r>
      <w:r>
        <w:t xml:space="preserve"> </w:t>
      </w:r>
      <w:r>
        <w:rPr>
          <w:iCs/>
          <w:i/>
        </w:rPr>
        <w:t xml:space="preserve">Advances in Neural Information Processing Systems (NeurIPS)</w:t>
      </w:r>
      <w:r>
        <w:t xml:space="preserve">, vol. 32, 2019, pp. 8024–8035.</w:t>
      </w:r>
    </w:p>
    <w:p>
      <w:pPr>
        <w:pStyle w:val="BodyText"/>
      </w:pPr>
      <w:r>
        <w:t xml:space="preserve">T. Akiba, S. Sano, T. Yanase, T. Ohta and M. Koyama,</w:t>
      </w:r>
      <w:r>
        <w:t xml:space="preserve"> </w:t>
      </w:r>
      <w:r>
        <w:t xml:space="preserve">“</w:t>
      </w:r>
      <w:r>
        <w:t xml:space="preserve">Optuna: a next-generation hyperparameter optimization framework,</w:t>
      </w:r>
      <w:r>
        <w:t xml:space="preserve">”</w:t>
      </w:r>
      <w:r>
        <w:t xml:space="preserve"> </w:t>
      </w:r>
      <w:r>
        <w:t xml:space="preserve">in</w:t>
      </w:r>
      <w:r>
        <w:t xml:space="preserve"> </w:t>
      </w:r>
      <w:r>
        <w:rPr>
          <w:iCs/>
          <w:i/>
        </w:rPr>
        <w:t xml:space="preserve">Proc. ACM SIGKDD</w:t>
      </w:r>
      <w:r>
        <w:t xml:space="preserve">, 2019, pp. 2623–2631.</w:t>
      </w:r>
    </w:p>
    <w:p>
      <w:pPr>
        <w:pStyle w:val="BodyText"/>
      </w:pPr>
      <w:r>
        <w:t xml:space="preserve">W. Hilal, S. A. Gadsden and J. Yawney,</w:t>
      </w:r>
      <w:r>
        <w:t xml:space="preserve"> </w:t>
      </w:r>
      <w:r>
        <w:t xml:space="preserve">“</w:t>
      </w:r>
      <w:r>
        <w:t xml:space="preserve">Financial fraud: a review of anomaly detection techniques and recent advances,</w:t>
      </w:r>
      <w:r>
        <w:t xml:space="preserve">”</w:t>
      </w:r>
      <w:r>
        <w:t xml:space="preserve"> </w:t>
      </w:r>
      <w:r>
        <w:rPr>
          <w:iCs/>
          <w:i/>
        </w:rPr>
        <w:t xml:space="preserve">Expert Systems with Applications</w:t>
      </w:r>
      <w:r>
        <w:t xml:space="preserve">, vol. 193, 2022, p. 116429.</w:t>
      </w:r>
    </w:p>
    <w:p>
      <w:pPr>
        <w:pStyle w:val="BodyText"/>
      </w:pPr>
      <w:r>
        <w:t xml:space="preserve">B. Baesens, V. Van Vlasselaer and W. Verbeke,</w:t>
      </w:r>
      <w:r>
        <w:t xml:space="preserve"> </w:t>
      </w:r>
      <w:r>
        <w:rPr>
          <w:iCs/>
          <w:i/>
        </w:rPr>
        <w:t xml:space="preserve">Fraud Analytics Using Descriptive, Predictive, and Social Network Techniques</w:t>
      </w:r>
      <w:r>
        <w:t xml:space="preserve">, Wiley, 2015.</w:t>
      </w:r>
    </w:p>
    <w:p>
      <w:pPr>
        <w:pStyle w:val="BodyText"/>
      </w:pPr>
      <w:r>
        <w:t xml:space="preserve">J. West and M. Bhattacharya,</w:t>
      </w:r>
      <w:r>
        <w:t xml:space="preserve"> </w:t>
      </w:r>
      <w:r>
        <w:t xml:space="preserve">“</w:t>
      </w:r>
      <w:r>
        <w:t xml:space="preserve">Intelligent financial fraud detection: a comprehensive review,</w:t>
      </w:r>
      <w:r>
        <w:t xml:space="preserve">”</w:t>
      </w:r>
      <w:r>
        <w:t xml:space="preserve"> </w:t>
      </w:r>
      <w:r>
        <w:rPr>
          <w:iCs/>
          <w:i/>
        </w:rPr>
        <w:t xml:space="preserve">Computers &amp; Security</w:t>
      </w:r>
      <w:r>
        <w:t xml:space="preserve">, vol. 57, pp. 47–66, 2016.</w:t>
      </w:r>
    </w:p>
    <w:p>
      <w:pPr>
        <w:pStyle w:val="BodyText"/>
      </w:pPr>
      <w:r>
        <w:t xml:space="preserve">A. Niculescu-Mizil and R. Caruana,</w:t>
      </w:r>
      <w:r>
        <w:t xml:space="preserve"> </w:t>
      </w:r>
      <w:r>
        <w:t xml:space="preserve">“</w:t>
      </w:r>
      <w:r>
        <w:t xml:space="preserve">Predicting good probabilities with supervised learning,</w:t>
      </w:r>
      <w:r>
        <w:t xml:space="preserve">”</w:t>
      </w:r>
      <w:r>
        <w:t xml:space="preserve"> </w:t>
      </w:r>
      <w:r>
        <w:t xml:space="preserve">in</w:t>
      </w:r>
      <w:r>
        <w:t xml:space="preserve"> </w:t>
      </w:r>
      <w:r>
        <w:rPr>
          <w:iCs/>
          <w:i/>
        </w:rPr>
        <w:t xml:space="preserve">Proc. ICML</w:t>
      </w:r>
      <w:r>
        <w:t xml:space="preserve">, 2005, pp. 625–632.</w:t>
      </w:r>
    </w:p>
    <w:p>
      <w:pPr>
        <w:pStyle w:val="BodyText"/>
      </w:pPr>
      <w:r>
        <w:t xml:space="preserve">P. Flach and M. Kull,</w:t>
      </w:r>
      <w:r>
        <w:t xml:space="preserve"> </w:t>
      </w:r>
      <w:r>
        <w:t xml:space="preserve">“</w:t>
      </w:r>
      <w:r>
        <w:t xml:space="preserve">Precision-recall-gain curves: PR analysis done right,</w:t>
      </w:r>
      <w:r>
        <w:t xml:space="preserve">”</w:t>
      </w:r>
      <w:r>
        <w:t xml:space="preserve"> </w:t>
      </w:r>
      <w:r>
        <w:t xml:space="preserve">in</w:t>
      </w:r>
      <w:r>
        <w:t xml:space="preserve"> </w:t>
      </w:r>
      <w:r>
        <w:rPr>
          <w:iCs/>
          <w:i/>
        </w:rPr>
        <w:t xml:space="preserve">Advances in Neural Information Processing Systems (NeurIPS)</w:t>
      </w:r>
      <w:r>
        <w:t xml:space="preserve">, vol. 28, 2015, pp. 838–846.</w:t>
      </w:r>
    </w:p>
    <w:p>
      <w:pPr>
        <w:pStyle w:val="BodyText"/>
      </w:pPr>
      <w:r>
        <w:t xml:space="preserve">H. He and E. A. Garcia,</w:t>
      </w:r>
      <w:r>
        <w:t xml:space="preserve"> </w:t>
      </w:r>
      <w:r>
        <w:t xml:space="preserve">“</w:t>
      </w:r>
      <w:r>
        <w:t xml:space="preserve">Learning from imbalanced data,</w:t>
      </w:r>
      <w:r>
        <w:t xml:space="preserve">”</w:t>
      </w:r>
      <w:r>
        <w:t xml:space="preserve"> </w:t>
      </w:r>
      <w:r>
        <w:rPr>
          <w:iCs/>
          <w:i/>
        </w:rPr>
        <w:t xml:space="preserve">IEEE Transactions on Knowledge and Data Engineering</w:t>
      </w:r>
      <w:r>
        <w:t xml:space="preserve">, vol. 21, no. 9, pp. 1263–1284, 2009.</w:t>
      </w:r>
    </w:p>
    <w:p>
      <w:pPr>
        <w:pStyle w:val="BodyText"/>
      </w:pPr>
      <w:r>
        <w:t xml:space="preserve">A. Dal Pozzolo, O. Caelen, R. A. Johnson and G. Bontempi,</w:t>
      </w:r>
      <w:r>
        <w:t xml:space="preserve"> </w:t>
      </w:r>
      <w:r>
        <w:t xml:space="preserve">“</w:t>
      </w:r>
      <w:r>
        <w:t xml:space="preserve">Calibrating probability with undersampling for unbalanced classification,</w:t>
      </w:r>
      <w:r>
        <w:t xml:space="preserve">”</w:t>
      </w:r>
      <w:r>
        <w:t xml:space="preserve"> </w:t>
      </w:r>
      <w:r>
        <w:t xml:space="preserve">in</w:t>
      </w:r>
      <w:r>
        <w:t xml:space="preserve"> </w:t>
      </w:r>
      <w:r>
        <w:rPr>
          <w:iCs/>
          <w:i/>
        </w:rPr>
        <w:t xml:space="preserve">Proc. IEEE SSCI</w:t>
      </w:r>
      <w:r>
        <w:t xml:space="preserve">, 2015, pp. 159–166.</w:t>
      </w:r>
    </w:p>
    <w:p>
      <w:pPr>
        <w:pStyle w:val="BodyText"/>
      </w:pPr>
      <w:r>
        <w:t xml:space="preserve">LangChain, Inc.,</w:t>
      </w:r>
      <w:r>
        <w:t xml:space="preserve"> </w:t>
      </w:r>
      <w:r>
        <w:t xml:space="preserve">“</w:t>
      </w:r>
      <w:r>
        <w:t xml:space="preserve">LangChain: building applications with LLMs through composability,</w:t>
      </w:r>
      <w:r>
        <w:t xml:space="preserve">”</w:t>
      </w:r>
      <w:r>
        <w:t xml:space="preserve"> </w:t>
      </w:r>
      <w:r>
        <w:rPr>
          <w:iCs/>
          <w:i/>
        </w:rPr>
        <w:t xml:space="preserve">GitHub repository</w:t>
      </w:r>
      <w:r>
        <w:t xml:space="preserve">, 2024. Available:</w:t>
      </w:r>
      <w:r>
        <w:t xml:space="preserve"> </w:t>
      </w:r>
      <w:hyperlink r:id="rId84">
        <w:r>
          <w:rPr>
            <w:rStyle w:val="Hyperlink"/>
          </w:rPr>
          <w:t xml:space="preserve">https://github.com/langchain-ai/langchain</w:t>
        </w:r>
      </w:hyperlink>
      <w:r>
        <w:t xml:space="preserve">.</w:t>
      </w:r>
    </w:p>
    <w:bookmarkEnd w:id="85"/>
    <w:bookmarkEnd w:id="86"/>
    <w:bookmarkStart w:id="87" w:name="Xa4b267233c767546ad793bbf22fba262d5c9022"/>
    <w:p>
      <w:pPr>
        <w:pStyle w:val="Heading1"/>
      </w:pPr>
      <w:r>
        <w:t xml:space="preserve">Annexure A: Publications and Intellectual Property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Type</w:t>
            </w:r>
          </w:p>
        </w:tc>
        <w:tc>
          <w:tcPr/>
          <w:p>
            <w:pPr>
              <w:pStyle w:val="Compact"/>
              <w:jc w:val="left"/>
            </w:pPr>
            <w:r>
              <w:rPr>
                <w:bCs/>
                <w:b/>
              </w:rPr>
              <w:t xml:space="preserve">Title / Description</w:t>
            </w:r>
          </w:p>
        </w:tc>
        <w:tc>
          <w:tcPr/>
          <w:p>
            <w:pPr>
              <w:pStyle w:val="Compact"/>
              <w:jc w:val="center"/>
            </w:pPr>
            <w:r>
              <w:rPr>
                <w:bCs/>
                <w:b/>
              </w:rPr>
              <w:t xml:space="preserve">Status</w:t>
            </w:r>
          </w:p>
        </w:tc>
      </w:tr>
      <w:tr>
        <w:tc>
          <w:tcPr/>
          <w:p>
            <w:pPr>
              <w:pStyle w:val="Compact"/>
              <w:jc w:val="left"/>
            </w:pPr>
            <w:r>
              <w:t xml:space="preserve">Research Paper</w:t>
            </w:r>
          </w:p>
        </w:tc>
        <w:tc>
          <w:tcPr/>
          <w:p>
            <w:pPr>
              <w:pStyle w:val="Compact"/>
              <w:jc w:val="left"/>
            </w:pPr>
            <w:r>
              <w:t xml:space="preserve">Agentic AI for Insurance Claims Triage</w:t>
            </w:r>
          </w:p>
        </w:tc>
        <w:tc>
          <w:tcPr/>
          <w:p>
            <w:pPr>
              <w:pStyle w:val="Compact"/>
              <w:jc w:val="center"/>
            </w:pPr>
            <w:r>
              <w:t xml:space="preserve">Planned</w:t>
            </w:r>
          </w:p>
        </w:tc>
      </w:tr>
      <w:tr>
        <w:tc>
          <w:tcPr/>
          <w:p>
            <w:pPr>
              <w:pStyle w:val="Compact"/>
              <w:jc w:val="left"/>
            </w:pPr>
            <w:r>
              <w:t xml:space="preserve">GitHub Repo</w:t>
            </w:r>
          </w:p>
        </w:tc>
        <w:tc>
          <w:tcPr/>
          <w:p>
            <w:pPr>
              <w:pStyle w:val="Compact"/>
              <w:jc w:val="left"/>
            </w:pPr>
            <w:r>
              <w:t xml:space="preserve">AgenticAIFraudInsuranceDetection</w:t>
            </w:r>
          </w:p>
        </w:tc>
        <w:tc>
          <w:tcPr/>
          <w:p>
            <w:pPr>
              <w:pStyle w:val="Compact"/>
              <w:jc w:val="center"/>
            </w:pPr>
            <w:r>
              <w:t xml:space="preserve">Published</w:t>
            </w:r>
          </w:p>
        </w:tc>
      </w:tr>
    </w:tbl>
    <w:bookmarkEnd w:id="87"/>
    <w:bookmarkStart w:id="88" w:name="Xfb7dec829d6b8fd0b3d89a4f17b50780eb68ec0"/>
    <w:p>
      <w:pPr>
        <w:pStyle w:val="Heading1"/>
      </w:pPr>
      <w:r>
        <w:t xml:space="preserve">Annexure B: Student Contribution Statement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Student Name</w:t>
            </w:r>
          </w:p>
        </w:tc>
        <w:tc>
          <w:tcPr/>
          <w:p>
            <w:pPr>
              <w:pStyle w:val="Compact"/>
              <w:jc w:val="left"/>
            </w:pPr>
            <w:r>
              <w:rPr>
                <w:bCs/>
                <w:b/>
              </w:rPr>
              <w:t xml:space="preserve">Roll No.</w:t>
            </w:r>
          </w:p>
        </w:tc>
        <w:tc>
          <w:tcPr/>
          <w:p>
            <w:pPr>
              <w:pStyle w:val="Compact"/>
              <w:jc w:val="left"/>
            </w:pPr>
            <w:r>
              <w:rPr>
                <w:bCs/>
                <w:b/>
              </w:rPr>
              <w:t xml:space="preserve">Contribution</w:t>
            </w:r>
          </w:p>
        </w:tc>
      </w:tr>
      <w:tr>
        <w:tc>
          <w:tcPr/>
          <w:p>
            <w:pPr>
              <w:pStyle w:val="Compact"/>
              <w:jc w:val="left"/>
            </w:pPr>
            <w:r>
              <w:t xml:space="preserve">Apeksha Sharma</w:t>
            </w:r>
          </w:p>
        </w:tc>
        <w:tc>
          <w:tcPr/>
          <w:p>
            <w:pPr>
              <w:pStyle w:val="Compact"/>
              <w:jc w:val="left"/>
            </w:pPr>
            <w:r>
              <w:t xml:space="preserve">______</w:t>
            </w:r>
          </w:p>
        </w:tc>
        <w:tc>
          <w:tcPr/>
          <w:p>
            <w:pPr>
              <w:pStyle w:val="Compact"/>
              <w:jc w:val="left"/>
            </w:pPr>
            <w:r>
              <w:t xml:space="preserve">________________________</w:t>
            </w:r>
          </w:p>
        </w:tc>
      </w:tr>
      <w:tr>
        <w:tc>
          <w:tcPr/>
          <w:p>
            <w:pPr>
              <w:pStyle w:val="Compact"/>
              <w:jc w:val="left"/>
            </w:pPr>
            <w:r>
              <w:t xml:space="preserve">Gunjal Mandawkar</w:t>
            </w:r>
          </w:p>
        </w:tc>
        <w:tc>
          <w:tcPr/>
          <w:p>
            <w:pPr>
              <w:pStyle w:val="Compact"/>
              <w:jc w:val="left"/>
            </w:pPr>
            <w:r>
              <w:t xml:space="preserve">______</w:t>
            </w:r>
          </w:p>
        </w:tc>
        <w:tc>
          <w:tcPr/>
          <w:p>
            <w:pPr>
              <w:pStyle w:val="Compact"/>
              <w:jc w:val="left"/>
            </w:pPr>
            <w:r>
              <w:t xml:space="preserve">________________________</w:t>
            </w:r>
          </w:p>
        </w:tc>
      </w:tr>
      <w:tr>
        <w:tc>
          <w:tcPr/>
          <w:p>
            <w:pPr>
              <w:pStyle w:val="Compact"/>
              <w:jc w:val="left"/>
            </w:pPr>
            <w:r>
              <w:t xml:space="preserve">Vaishnavi Singh</w:t>
            </w:r>
          </w:p>
        </w:tc>
        <w:tc>
          <w:tcPr/>
          <w:p>
            <w:pPr>
              <w:pStyle w:val="Compact"/>
              <w:jc w:val="left"/>
            </w:pPr>
            <w:r>
              <w:t xml:space="preserve">______</w:t>
            </w:r>
          </w:p>
        </w:tc>
        <w:tc>
          <w:tcPr/>
          <w:p>
            <w:pPr>
              <w:pStyle w:val="Compact"/>
              <w:jc w:val="left"/>
            </w:pPr>
            <w:r>
              <w:t xml:space="preserve">________________________</w:t>
            </w:r>
          </w:p>
        </w:tc>
      </w:tr>
      <w:tr>
        <w:tc>
          <w:tcPr/>
          <w:p>
            <w:pPr>
              <w:pStyle w:val="Compact"/>
              <w:jc w:val="left"/>
            </w:pPr>
            <w:r>
              <w:t xml:space="preserve">Vidhita Bais</w:t>
            </w:r>
          </w:p>
        </w:tc>
        <w:tc>
          <w:tcPr/>
          <w:p>
            <w:pPr>
              <w:pStyle w:val="Compact"/>
              <w:jc w:val="left"/>
            </w:pPr>
            <w:r>
              <w:t xml:space="preserve">______</w:t>
            </w:r>
          </w:p>
        </w:tc>
        <w:tc>
          <w:tcPr/>
          <w:p>
            <w:pPr>
              <w:pStyle w:val="Compact"/>
              <w:jc w:val="left"/>
            </w:pPr>
            <w:r>
              <w:t xml:space="preserve">________________________</w:t>
            </w:r>
          </w:p>
        </w:tc>
      </w:tr>
    </w:tbl>
    <w:bookmarkEnd w:id="88"/>
    <w:bookmarkStart w:id="90" w:name="annexure-c-project-outputs"/>
    <w:p>
      <w:pPr>
        <w:pStyle w:val="Heading1"/>
      </w:pPr>
      <w:r>
        <w:t xml:space="preserve">Annexure C: Project Outputs</w:t>
      </w:r>
    </w:p>
    <w:p>
      <w:pPr>
        <w:pStyle w:val="FirstParagraph"/>
      </w:pPr>
      <w:r>
        <w:t xml:space="preserve">Major outputs generated from the project:</w:t>
      </w:r>
    </w:p>
    <w:p>
      <w:pPr>
        <w:numPr>
          <w:ilvl w:val="0"/>
          <w:numId w:val="1017"/>
        </w:numPr>
      </w:pPr>
      <w:r>
        <w:rPr>
          <w:bCs/>
          <w:b/>
        </w:rPr>
        <w:t xml:space="preserve">Working prototype:</w:t>
      </w:r>
      <w:r>
        <w:t xml:space="preserve"> </w:t>
      </w:r>
      <w:r>
        <w:t xml:space="preserve">end-to-end fraud triage pipeline (ML model + LangGraph agent + Streamlit dashboard).</w:t>
      </w:r>
    </w:p>
    <w:p>
      <w:pPr>
        <w:numPr>
          <w:ilvl w:val="0"/>
          <w:numId w:val="1017"/>
        </w:numPr>
      </w:pPr>
      <w:r>
        <w:rPr>
          <w:bCs/>
          <w:b/>
        </w:rPr>
        <w:t xml:space="preserve">Trained model:</w:t>
      </w:r>
      <w:r>
        <w:t xml:space="preserve"> </w:t>
      </w:r>
      <w:r>
        <w:rPr>
          <w:rStyle w:val="VerbatimChar"/>
        </w:rPr>
        <w:t xml:space="preserve">lightgbm-b200-20261016-0915</w:t>
      </w:r>
      <w:r>
        <w:t xml:space="preserve"> </w:t>
      </w:r>
      <w:r>
        <w:t xml:space="preserve">with calibrated probability outputs.</w:t>
      </w:r>
    </w:p>
    <w:p>
      <w:pPr>
        <w:numPr>
          <w:ilvl w:val="0"/>
          <w:numId w:val="1017"/>
        </w:numPr>
      </w:pPr>
      <w:r>
        <w:rPr>
          <w:bCs/>
          <w:b/>
        </w:rPr>
        <w:t xml:space="preserve">Software:</w:t>
      </w:r>
      <w:r>
        <w:t xml:space="preserve"> </w:t>
      </w:r>
      <w:r>
        <w:t xml:space="preserve">modular Python package (</w:t>
      </w:r>
      <w:r>
        <w:rPr>
          <w:rStyle w:val="VerbatimChar"/>
        </w:rPr>
        <w:t xml:space="preserve">src/</w:t>
      </w:r>
      <w:r>
        <w:t xml:space="preserve">) with 64 pytest tests.</w:t>
      </w:r>
    </w:p>
    <w:p>
      <w:pPr>
        <w:numPr>
          <w:ilvl w:val="0"/>
          <w:numId w:val="1017"/>
        </w:numPr>
      </w:pPr>
      <w:r>
        <w:rPr>
          <w:bCs/>
          <w:b/>
        </w:rPr>
        <w:t xml:space="preserve">Dataset:</w:t>
      </w:r>
      <w:r>
        <w:t xml:space="preserve"> </w:t>
      </w:r>
      <w:r>
        <w:t xml:space="preserve">cleaned, split and audited vehicle insurance claims data.</w:t>
      </w:r>
    </w:p>
    <w:p>
      <w:pPr>
        <w:numPr>
          <w:ilvl w:val="0"/>
          <w:numId w:val="1017"/>
        </w:numPr>
      </w:pPr>
      <w:r>
        <w:rPr>
          <w:bCs/>
          <w:b/>
        </w:rPr>
        <w:t xml:space="preserve">Reports:</w:t>
      </w:r>
      <w:r>
        <w:t xml:space="preserve"> </w:t>
      </w:r>
      <w:r>
        <w:t xml:space="preserve">EDA report, model report, agent evaluation report, model card.</w:t>
      </w:r>
    </w:p>
    <w:p>
      <w:pPr>
        <w:numPr>
          <w:ilvl w:val="0"/>
          <w:numId w:val="1017"/>
        </w:numPr>
      </w:pPr>
      <w:r>
        <w:rPr>
          <w:bCs/>
          <w:b/>
        </w:rPr>
        <w:t xml:space="preserve">GitHub repository:</w:t>
      </w:r>
      <w:r>
        <w:t xml:space="preserve"> </w:t>
      </w:r>
      <w:hyperlink r:id="rId89">
        <w:r>
          <w:rPr>
            <w:rStyle w:val="Hyperlink"/>
          </w:rPr>
          <w:t xml:space="preserve">https://github.com/Vidhita06/AgenticAIFraudInsuranceDetection</w:t>
        </w:r>
      </w:hyperlink>
      <w:r>
        <w:t xml:space="preserve">.</w:t>
      </w:r>
    </w:p>
    <w:p>
      <w:pPr>
        <w:numPr>
          <w:ilvl w:val="0"/>
          <w:numId w:val="1017"/>
        </w:numPr>
      </w:pPr>
      <w:r>
        <w:rPr>
          <w:bCs/>
          <w:b/>
        </w:rPr>
        <w:t xml:space="preserve">Dashboard:</w:t>
      </w:r>
      <w:r>
        <w:t xml:space="preserve"> </w:t>
      </w:r>
      <w:r>
        <w:t xml:space="preserve">Streamlit application for adjuster review (</w:t>
      </w:r>
      <w:r>
        <w:rPr>
          <w:rStyle w:val="VerbatimChar"/>
        </w:rPr>
        <w:t xml:space="preserve">dashboard/app.py</w:t>
      </w:r>
      <w:r>
        <w:t xml:space="preserve">).</w:t>
      </w:r>
    </w:p>
    <w:p>
      <w:pPr>
        <w:numPr>
          <w:ilvl w:val="0"/>
          <w:numId w:val="1017"/>
        </w:numPr>
      </w:pPr>
      <w:r>
        <w:rPr>
          <w:bCs/>
          <w:b/>
        </w:rPr>
        <w:t xml:space="preserve">Vector store:</w:t>
      </w:r>
      <w:r>
        <w:t xml:space="preserve"> </w:t>
      </w:r>
      <w:r>
        <w:t xml:space="preserve">FAISS index over 10,793 training claims for similar-claims retrieval.</w:t>
      </w:r>
    </w:p>
    <w:bookmarkEnd w:id="90"/>
    <w:bookmarkStart w:id="91" w:name="approved-by"/>
    <w:p>
      <w:pPr>
        <w:pStyle w:val="Heading1"/>
      </w:pPr>
      <w:r>
        <w:t xml:space="preserve">Approved by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Guide</w:t>
            </w:r>
          </w:p>
        </w:tc>
        <w:tc>
          <w:tcPr/>
          <w:p>
            <w:pPr>
              <w:pStyle w:val="Compact"/>
              <w:jc w:val="left"/>
            </w:pPr>
            <w:r>
              <w:rPr>
                <w:bCs/>
                <w:b/>
              </w:rPr>
              <w:t xml:space="preserve">Associate Head</w:t>
            </w:r>
          </w:p>
        </w:tc>
      </w:tr>
      <w:tr>
        <w:tc>
          <w:tcPr/>
          <w:p>
            <w:r>
              <w:pict>
                <v:rect style="width:0;height:1.5pt" o:hralign="center" o:hrstd="t" o:hr="t"/>
              </w:pict>
            </w:r>
          </w:p>
        </w:tc>
        <w:tc>
          <w:tcPr/>
          <w:p>
            <w:r>
              <w:pict>
                <v:rect style="width:0;height:1.5pt" o:hralign="center" o:hrstd="t" o:hr="t"/>
              </w:pict>
            </w:r>
          </w:p>
        </w:tc>
      </w:tr>
      <w:tr>
        <w:tc>
          <w:tcPr/>
          <w:p>
            <w:pPr>
              <w:pStyle w:val="Compact"/>
              <w:jc w:val="left"/>
            </w:pPr>
            <w:r>
              <w:t xml:space="preserve">(Name and Signature)</w:t>
            </w:r>
          </w:p>
        </w:tc>
        <w:tc>
          <w:tcPr/>
          <w:p>
            <w:pPr>
              <w:pStyle w:val="Compact"/>
              <w:jc w:val="left"/>
            </w:pPr>
            <w:r>
              <w:t xml:space="preserve">(Name and Signature)</w:t>
            </w:r>
          </w:p>
        </w:tc>
      </w:tr>
      <w:tr>
        <w:tc>
          <w:tcPr>
            <w:gridSpan w:val="2"/>
          </w:tcPr>
          <w:p>
            <w:pPr>
              <w:pStyle w:val="Compact"/>
              <w:jc w:val="center"/>
            </w:pPr>
            <w:r>
              <w:rPr>
                <w:bCs/>
                <w:b/>
              </w:rPr>
              <w:t xml:space="preserve">Dr. Padma Adane</w:t>
            </w:r>
          </w:p>
        </w:tc>
      </w:tr>
      <w:tr>
        <w:tc>
          <w:tcPr>
            <w:gridSpan w:val="2"/>
          </w:tcPr>
          <w:p>
            <w:pPr>
              <w:pStyle w:val="Compact"/>
              <w:jc w:val="center"/>
            </w:pPr>
            <w:r>
              <w:t xml:space="preserve">Dean, SoCSE</w:t>
            </w:r>
          </w:p>
        </w:tc>
      </w:tr>
      <w:tr>
        <w:tc>
          <w:tcPr>
            <w:gridSpan w:val="2"/>
          </w:tcPr>
          <w:p>
            <w:r>
              <w:pict>
                <v:rect style="width:0;height:1.5pt" o:hralign="center" o:hrstd="t" o:hr="t"/>
              </w:pict>
            </w:r>
          </w:p>
        </w:tc>
      </w:tr>
    </w:tbl>
    <w:bookmarkEnd w:id="91"/>
    <w:sectPr w:rsidR="00E9167D" w:rsidRPr="00C10B57" w:rsidSect="00C62E61">
      <w:footerReference r:id="rId9" w:type="default"/>
      <w:pgSz w:h="16834" w:w="11909"/>
      <w:pgMar w:bottom="1440" w:footer="720" w:gutter="0" w:header="720" w:left="2160" w:right="1440" w:top="1440"/>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347961"/>
      <w:docPartObj>
        <w:docPartGallery w:val="Page Numbers (Bottom of Page)"/>
        <w:docPartUnique/>
      </w:docPartObj>
    </w:sdtPr>
    <w:sdtEndPr>
      <w:rPr>
        <w:noProof/>
      </w:rPr>
    </w:sdtEndPr>
    <w:sdtContent>
      <w:p w14:paraId="7B580B42" w14:textId="3C6C4B18" w:rsidR="00C62E61" w:rsidRDefault="00C62E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0AF182" w14:textId="7332B509" w:rsidR="00E9167D" w:rsidRDefault="00E9167D">
    <w:pPr>
      <w:pStyle w:val="Foote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21597033" w:numId="1">
    <w:abstractNumId w:val="8"/>
  </w:num>
  <w:num w16cid:durableId="1567376233" w:numId="2">
    <w:abstractNumId w:val="6"/>
  </w:num>
  <w:num w16cid:durableId="778182741" w:numId="3">
    <w:abstractNumId w:val="5"/>
  </w:num>
  <w:num w16cid:durableId="828984937" w:numId="4">
    <w:abstractNumId w:val="4"/>
  </w:num>
  <w:num w16cid:durableId="210582173" w:numId="5">
    <w:abstractNumId w:val="7"/>
  </w:num>
  <w:num w16cid:durableId="1056779587" w:numId="6">
    <w:abstractNumId w:val="3"/>
  </w:num>
  <w:num w16cid:durableId="1001204047" w:numId="7">
    <w:abstractNumId w:val="2"/>
  </w:num>
  <w:num w16cid:durableId="2016107990" w:numId="8">
    <w:abstractNumId w:val="1"/>
  </w:num>
  <w:num w16cid:durableId="1876692450"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90"/>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Times New Roman" w:eastAsia="Times New Roman" w:hAnsi="Times New Roman"/>
      <w:sz w:val="24"/>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hapterSeparator" w:type="paragraph">
    <w:name w:val="Chapter Separator"/>
    <w:rPr>
      <w:rFonts w:ascii="Times New Roman" w:hAnsi="Times New Roman"/>
      <w:b/>
      <w:sz w:val="48"/>
    </w:rPr>
  </w:style>
  <w:style w:styleId="PlainTable1" w:type="table">
    <w:name w:val="Plain Table 1"/>
    <w:basedOn w:val="TableNormal"/>
    <w:uiPriority w:val="99"/>
    <w:rsid w:val="00BD7EA5"/>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89" Target="https://github.com/Vidhita06/AgenticAIFraudInsuranceDetection" TargetMode="External" /><Relationship Type="http://schemas.openxmlformats.org/officeDocument/2006/relationships/hyperlink" Id="rId84" Target="https://github.com/langchain-ai/langchain" TargetMode="External" /><Relationship Type="http://schemas.openxmlformats.org/officeDocument/2006/relationships/hyperlink" Id="rId81" Target="https://github.com/langchain-ai/langgraph" TargetMode="External" /><Relationship Type="http://schemas.openxmlformats.org/officeDocument/2006/relationships/hyperlink" Id="rId83" Target="https://ollama.ai" TargetMode="External" /><Relationship Type="http://schemas.openxmlformats.org/officeDocument/2006/relationships/hyperlink" Id="rId82" Target="https://streamlit.io" TargetMode="External" /></Relationships>
</file>

<file path=word/_rels/footnotes.xml.rels><?xml version="1.0" encoding="UTF-8"?><Relationships xmlns="http://schemas.openxmlformats.org/package/2006/relationships"><Relationship Type="http://schemas.openxmlformats.org/officeDocument/2006/relationships/hyperlink" Id="rId89" Target="https://github.com/Vidhita06/AgenticAIFraudInsuranceDetection" TargetMode="External" /><Relationship Type="http://schemas.openxmlformats.org/officeDocument/2006/relationships/hyperlink" Id="rId84" Target="https://github.com/langchain-ai/langchain" TargetMode="External" /><Relationship Type="http://schemas.openxmlformats.org/officeDocument/2006/relationships/hyperlink" Id="rId81" Target="https://github.com/langchain-ai/langgraph" TargetMode="External" /><Relationship Type="http://schemas.openxmlformats.org/officeDocument/2006/relationships/hyperlink" Id="rId83" Target="https://ollama.ai" TargetMode="External" /><Relationship Type="http://schemas.openxmlformats.org/officeDocument/2006/relationships/hyperlink" Id="rId82" Target="https://streamli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31</Pages>
  <Words>3188</Words>
  <Characters>18176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2026-10-22T15:56:55Z</dcterms:created>
  <dcterms:modified xsi:type="dcterms:W3CDTF">2026-10-22T15:56:55Z</dcterms:modified>
</cp:coreProperties>
</file>

<file path=docProps/custom.xml><?xml version="1.0" encoding="utf-8"?>
<Properties xmlns="http://schemas.openxmlformats.org/officeDocument/2006/custom-properties" xmlns:vt="http://schemas.openxmlformats.org/officeDocument/2006/docPropsVTypes"/>
</file>