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D80" w:rsidRPr="00F50C1B" w:rsidRDefault="00161424">
      <w:pPr>
        <w:rPr>
          <w:b/>
          <w:u w:val="single"/>
        </w:rPr>
      </w:pPr>
      <w:r>
        <w:rPr>
          <w:b/>
          <w:u w:val="single"/>
        </w:rPr>
        <w:t>Method</w:t>
      </w:r>
    </w:p>
    <w:p w:rsidR="00F50C1B" w:rsidRDefault="00F50C1B">
      <w:pPr>
        <w:rPr>
          <w:u w:val="single"/>
        </w:rPr>
      </w:pPr>
      <w:r w:rsidRPr="00F50C1B">
        <w:rPr>
          <w:u w:val="single"/>
        </w:rPr>
        <w:t>City-wise Sentiment Analysis over Indian Restaurants</w:t>
      </w:r>
    </w:p>
    <w:p w:rsidR="002D085D" w:rsidRDefault="002D085D">
      <w:r>
        <w:t xml:space="preserve">Yelp Business and Review data </w:t>
      </w:r>
      <w:r w:rsidR="005E1AE9">
        <w:t>is</w:t>
      </w:r>
      <w:r>
        <w:t xml:space="preserve"> used for analyzing sentiments over Indian restaurants. We started with pre-processing of data by loading JSON files into MongoDB. We then separated all the Indian restaurant businesses into one collection </w:t>
      </w:r>
      <w:r w:rsidR="00D665B4">
        <w:t xml:space="preserve">called </w:t>
      </w:r>
      <w:r>
        <w:t>‘IndRes’</w:t>
      </w:r>
      <w:r w:rsidR="00E83FC6">
        <w:t xml:space="preserve"> (about 202)</w:t>
      </w:r>
      <w:r>
        <w:t>. For all the businesses i.e unique business_ids that appear in the collection, we extract the reviews from R</w:t>
      </w:r>
      <w:r w:rsidR="00D665B4">
        <w:t>eview collection. This is named ‘</w:t>
      </w:r>
      <w:r w:rsidR="001B2D49">
        <w:t>IndRew</w:t>
      </w:r>
      <w:r w:rsidR="00D665B4">
        <w:t>’</w:t>
      </w:r>
      <w:r w:rsidR="001B2D49">
        <w:t xml:space="preserve"> (about 8230)</w:t>
      </w:r>
      <w:r w:rsidR="00D665B4">
        <w:t>. This encompasses the reviews from all the cities</w:t>
      </w:r>
      <w:r w:rsidR="000C0DD4">
        <w:t xml:space="preserve"> (about 21)</w:t>
      </w:r>
      <w:r w:rsidR="00D665B4">
        <w:t xml:space="preserve"> corresponding to Indian restaurant business. In further steps, we extract the reviews from this new collection for each distinct city in dataset.</w:t>
      </w:r>
    </w:p>
    <w:p w:rsidR="00D665B4" w:rsidRDefault="00D665B4">
      <w:r>
        <w:t xml:space="preserve">We followed two approaches for sentiment analysis, Unsupervised and Supervised learning. </w:t>
      </w:r>
    </w:p>
    <w:p w:rsidR="00D665B4" w:rsidRPr="0018012A" w:rsidRDefault="00DF0856" w:rsidP="00DF0856">
      <w:pPr>
        <w:pStyle w:val="NoSpacing"/>
        <w:rPr>
          <w:u w:val="single"/>
        </w:rPr>
      </w:pPr>
      <w:r>
        <w:rPr>
          <w:u w:val="single"/>
        </w:rPr>
        <w:t xml:space="preserve">1. </w:t>
      </w:r>
      <w:r w:rsidR="00D665B4" w:rsidRPr="0018012A">
        <w:rPr>
          <w:u w:val="single"/>
        </w:rPr>
        <w:t xml:space="preserve">Unsupervised Learning </w:t>
      </w:r>
      <w:r w:rsidR="0018012A" w:rsidRPr="0018012A">
        <w:rPr>
          <w:u w:val="single"/>
        </w:rPr>
        <w:t>(SentiWordNet):</w:t>
      </w:r>
    </w:p>
    <w:p w:rsidR="000E0B48" w:rsidRDefault="0018012A" w:rsidP="00414B77">
      <w:pPr>
        <w:pStyle w:val="NoSpacing"/>
      </w:pPr>
      <w:r>
        <w:t>SentiWordNet is a lexical resource which associates words with sentiment scores: positivity, negativity or objectivity.</w:t>
      </w:r>
      <w:r w:rsidR="000E0B48">
        <w:t xml:space="preserve"> Java is used to implement algorithm that computes positive and negative sentiment score given a review. MongoDB client library is used with Java 1.7 to fetch the collections created in</w:t>
      </w:r>
      <w:r w:rsidR="003D4B85">
        <w:t xml:space="preserve"> previous step. We create a </w:t>
      </w:r>
      <w:r w:rsidR="000E0B48">
        <w:t>map that contains distinct “city” as ke</w:t>
      </w:r>
      <w:r w:rsidR="003D4B85">
        <w:t xml:space="preserve">y and all the Indian businesses “ids” </w:t>
      </w:r>
      <w:r w:rsidR="000E0B48">
        <w:t>in that city as value.</w:t>
      </w:r>
      <w:r w:rsidR="003D4B85">
        <w:t xml:space="preserve"> Using this map, we parse though the reviews for each city looking at ids which is a foreign key in review documents. </w:t>
      </w:r>
    </w:p>
    <w:p w:rsidR="003D4B85" w:rsidRDefault="003D4B85" w:rsidP="00414B77">
      <w:pPr>
        <w:pStyle w:val="NoSpacing"/>
      </w:pPr>
      <w:r>
        <w:t>To get rid of the stop</w:t>
      </w:r>
      <w:r w:rsidR="00992E2E">
        <w:t xml:space="preserve"> </w:t>
      </w:r>
      <w:r>
        <w:t xml:space="preserve">words, we jointly use Lucene Standard </w:t>
      </w:r>
      <w:r w:rsidR="00992E2E">
        <w:t>analyzer’s</w:t>
      </w:r>
      <w:r>
        <w:t xml:space="preserve"> stop</w:t>
      </w:r>
      <w:r w:rsidR="00992E2E">
        <w:t xml:space="preserve"> </w:t>
      </w:r>
      <w:r>
        <w:t>word set and an exhaustive list of stop words from G</w:t>
      </w:r>
      <w:r w:rsidR="00992E2E">
        <w:t>oogle. Each review is tokenized, filtered for stop words</w:t>
      </w:r>
      <w:r w:rsidR="00FA5D2B">
        <w:t xml:space="preserve"> </w:t>
      </w:r>
      <w:r>
        <w:t xml:space="preserve">and adjectives are retained. We use </w:t>
      </w:r>
      <w:r w:rsidR="00992E2E">
        <w:t>adjectives (</w:t>
      </w:r>
      <w:r>
        <w:t>both positive and negative) of Hu and Liu’s lexicon</w:t>
      </w:r>
      <w:r w:rsidR="00FA5D2B">
        <w:t xml:space="preserve"> for this purpose.</w:t>
      </w:r>
    </w:p>
    <w:p w:rsidR="00FA5D2B" w:rsidRDefault="00FA5D2B" w:rsidP="00414B77">
      <w:pPr>
        <w:pStyle w:val="NoSpacing"/>
      </w:pPr>
      <w:r>
        <w:t>Now, we simply look up for the retained wor</w:t>
      </w:r>
      <w:r w:rsidR="006F719D">
        <w:t xml:space="preserve">ds from review </w:t>
      </w:r>
      <w:r>
        <w:t xml:space="preserve">bag of words in SentiWordNet giving </w:t>
      </w:r>
      <w:r w:rsidR="006F719D">
        <w:t>“</w:t>
      </w:r>
      <w:r>
        <w:t>adjective</w:t>
      </w:r>
      <w:r w:rsidR="006F719D">
        <w:t>”</w:t>
      </w:r>
      <w:r>
        <w:t xml:space="preserve"> as the word’s part of speech (since we are dealing with adjectives)</w:t>
      </w:r>
      <w:r w:rsidR="006F719D">
        <w:t>. We take a count of positive and negative words along with calculating negative and positive scores city-wise.</w:t>
      </w:r>
    </w:p>
    <w:p w:rsidR="00E83FC6" w:rsidRDefault="00E83FC6" w:rsidP="00414B77">
      <w:pPr>
        <w:pStyle w:val="NoSpacing"/>
      </w:pPr>
    </w:p>
    <w:p w:rsidR="00E83FC6" w:rsidRDefault="00E83FC6" w:rsidP="00E83FC6">
      <w:pPr>
        <w:pStyle w:val="NoSpacing"/>
        <w:rPr>
          <w:u w:val="single"/>
        </w:rPr>
      </w:pPr>
      <w:r>
        <w:rPr>
          <w:u w:val="single"/>
        </w:rPr>
        <w:t>2.</w:t>
      </w:r>
      <w:r w:rsidR="000F4770">
        <w:rPr>
          <w:u w:val="single"/>
        </w:rPr>
        <w:t xml:space="preserve"> </w:t>
      </w:r>
      <w:r w:rsidRPr="00E83FC6">
        <w:rPr>
          <w:u w:val="single"/>
        </w:rPr>
        <w:t xml:space="preserve">Supervised Learning (Naïve </w:t>
      </w:r>
      <w:r w:rsidR="002F4954">
        <w:rPr>
          <w:u w:val="single"/>
        </w:rPr>
        <w:t>B</w:t>
      </w:r>
      <w:r w:rsidRPr="00E83FC6">
        <w:rPr>
          <w:u w:val="single"/>
        </w:rPr>
        <w:t>ayes):</w:t>
      </w:r>
    </w:p>
    <w:p w:rsidR="00E83FC6" w:rsidRDefault="00E83FC6" w:rsidP="00E83FC6">
      <w:pPr>
        <w:pStyle w:val="NoSpacing"/>
      </w:pPr>
      <w:r>
        <w:t xml:space="preserve">Like, in previous step, we fetch the collections from MongoDB using its client </w:t>
      </w:r>
      <w:r w:rsidR="000A24FF">
        <w:t xml:space="preserve">library. We use the technique of TF-IDF over all the reviews to generate Global feature vector and city-wise reviews for local feature vectors. </w:t>
      </w:r>
    </w:p>
    <w:p w:rsidR="009068BB" w:rsidRPr="00E83FC6" w:rsidRDefault="009068BB" w:rsidP="00E83FC6">
      <w:pPr>
        <w:pStyle w:val="NoSpacing"/>
      </w:pPr>
      <w:r>
        <w:t xml:space="preserve">All the reviews will be parsed twice for calculating term frequency and inverse document frequency. </w:t>
      </w:r>
      <w:r w:rsidR="003E318B">
        <w:t xml:space="preserve">We begin by removing </w:t>
      </w:r>
      <w:r>
        <w:t xml:space="preserve">stop </w:t>
      </w:r>
      <w:r w:rsidR="003E318B">
        <w:t>words using</w:t>
      </w:r>
      <w:r w:rsidR="003E318B" w:rsidRPr="003E318B">
        <w:t xml:space="preserve"> </w:t>
      </w:r>
      <w:r w:rsidR="003E318B">
        <w:t>Lucene Standard analyzer’s stop word set and an exhaustive list of stop words from Google.</w:t>
      </w:r>
      <w:r w:rsidR="003E318B">
        <w:t xml:space="preserve"> We pick top 100, 200 and 500 words for global feature vector and compare performances. For local feature vector for each city, we stick to top 100 as there are not very many reviews.</w:t>
      </w:r>
    </w:p>
    <w:p w:rsidR="006F3051" w:rsidRDefault="006F3051" w:rsidP="006F3051">
      <w:pPr>
        <w:pStyle w:val="NoSpacing"/>
      </w:pPr>
    </w:p>
    <w:p w:rsidR="006F3051" w:rsidRDefault="006F3051" w:rsidP="006F3051">
      <w:pPr>
        <w:pStyle w:val="NoSpacing"/>
      </w:pPr>
      <w:r>
        <w:t>Experiment:</w:t>
      </w:r>
    </w:p>
    <w:p w:rsidR="006F3051" w:rsidRDefault="002F4954" w:rsidP="002F4954">
      <w:pPr>
        <w:pStyle w:val="NoSpacing"/>
        <w:numPr>
          <w:ilvl w:val="0"/>
          <w:numId w:val="2"/>
        </w:numPr>
      </w:pPr>
      <w:r>
        <w:t>Weka 3.6.11 tool is used to train and test data using Naïve Bayes</w:t>
      </w:r>
    </w:p>
    <w:p w:rsidR="00BA30A4" w:rsidRDefault="00BA30A4" w:rsidP="002F4954">
      <w:pPr>
        <w:pStyle w:val="NoSpacing"/>
        <w:numPr>
          <w:ilvl w:val="0"/>
          <w:numId w:val="2"/>
        </w:numPr>
      </w:pPr>
      <w:r>
        <w:t>For task-2, unsupervised learning, we calculate the percentage (Pos/Pos+Neg) and compare it with average restaurant rating for that city. Observing the trend of two, we can infer if SentiWordNet is a good means to Sentiment analysis.</w:t>
      </w:r>
    </w:p>
    <w:p w:rsidR="00BA30A4" w:rsidRDefault="00976EAF" w:rsidP="00BA30A4">
      <w:pPr>
        <w:pStyle w:val="NoSpacing"/>
        <w:numPr>
          <w:ilvl w:val="0"/>
          <w:numId w:val="2"/>
        </w:numPr>
      </w:pPr>
      <w:r>
        <w:t>For task-2,</w:t>
      </w:r>
      <w:r w:rsidR="00BA30A4">
        <w:t xml:space="preserve"> supervised learning,</w:t>
      </w:r>
      <w:r>
        <w:t xml:space="preserve"> ground truth for a review is positive if it has more than 3star rating, else negative.</w:t>
      </w:r>
    </w:p>
    <w:p w:rsidR="00BA30A4" w:rsidRDefault="00BA30A4" w:rsidP="00BA30A4">
      <w:pPr>
        <w:pStyle w:val="NoSpacing"/>
        <w:numPr>
          <w:ilvl w:val="0"/>
          <w:numId w:val="2"/>
        </w:numPr>
      </w:pPr>
      <w:r>
        <w:t>Comparing accuracies for Global feature vector over 100, 200 and 500 reviews.</w:t>
      </w:r>
    </w:p>
    <w:p w:rsidR="00BA30A4" w:rsidRDefault="00BA30A4" w:rsidP="002F4954">
      <w:pPr>
        <w:pStyle w:val="NoSpacing"/>
        <w:numPr>
          <w:ilvl w:val="0"/>
          <w:numId w:val="2"/>
        </w:numPr>
      </w:pPr>
      <w:r>
        <w:t>City-wise reviews are mapped onto global and local feature vector and accuracies of both are compared.</w:t>
      </w:r>
    </w:p>
    <w:p w:rsidR="00F50C1B" w:rsidRDefault="00976EAF" w:rsidP="00A06662">
      <w:pPr>
        <w:pStyle w:val="NoSpacing"/>
        <w:numPr>
          <w:ilvl w:val="0"/>
          <w:numId w:val="2"/>
        </w:numPr>
      </w:pPr>
      <w:r>
        <w:lastRenderedPageBreak/>
        <w:t>More emphasis is on the accuracy as we are dealing with predicting sentiment (</w:t>
      </w:r>
      <w:r w:rsidR="00BA30A4">
        <w:t xml:space="preserve">which is either </w:t>
      </w:r>
      <w:r>
        <w:t>positive or negative)</w:t>
      </w:r>
      <w:r w:rsidR="00BA30A4">
        <w:t>.</w:t>
      </w:r>
    </w:p>
    <w:p w:rsidR="00BA30A4" w:rsidRDefault="00BA30A4" w:rsidP="00BA30A4">
      <w:pPr>
        <w:pStyle w:val="NoSpacing"/>
      </w:pPr>
    </w:p>
    <w:p w:rsidR="00732CD5" w:rsidRDefault="00BA30A4" w:rsidP="00BA30A4">
      <w:pPr>
        <w:pStyle w:val="NoSpacing"/>
        <w:rPr>
          <w:b/>
          <w:u w:val="single"/>
        </w:rPr>
      </w:pPr>
      <w:r w:rsidRPr="00987979">
        <w:rPr>
          <w:b/>
          <w:u w:val="single"/>
        </w:rPr>
        <w:t>Results:</w:t>
      </w:r>
    </w:p>
    <w:p w:rsidR="00B96885" w:rsidRDefault="00B96885" w:rsidP="00BA30A4">
      <w:pPr>
        <w:pStyle w:val="NoSpacing"/>
      </w:pPr>
    </w:p>
    <w:p w:rsidR="00732CD5" w:rsidRDefault="00DA0D3E" w:rsidP="00BA30A4">
      <w:pPr>
        <w:pStyle w:val="NoSpacing"/>
      </w:pPr>
      <w:r w:rsidRPr="00DA0D3E">
        <w:rPr>
          <w:u w:val="single"/>
        </w:rPr>
        <w:t>Unsupervised Learning</w:t>
      </w:r>
      <w:r w:rsidR="00C74073">
        <w:rPr>
          <w:u w:val="single"/>
        </w:rPr>
        <w:t xml:space="preserve"> </w:t>
      </w:r>
      <w:r>
        <w:rPr>
          <w:u w:val="single"/>
        </w:rPr>
        <w:t>(SentiWordNet):</w:t>
      </w:r>
    </w:p>
    <w:tbl>
      <w:tblPr>
        <w:tblW w:w="8630" w:type="dxa"/>
        <w:jc w:val="center"/>
        <w:tblCellMar>
          <w:left w:w="0" w:type="dxa"/>
          <w:right w:w="0" w:type="dxa"/>
        </w:tblCellMar>
        <w:tblLook w:val="0420" w:firstRow="1" w:lastRow="0" w:firstColumn="0" w:lastColumn="0" w:noHBand="0" w:noVBand="1"/>
      </w:tblPr>
      <w:tblGrid>
        <w:gridCol w:w="2146"/>
        <w:gridCol w:w="1994"/>
        <w:gridCol w:w="2330"/>
        <w:gridCol w:w="2160"/>
      </w:tblGrid>
      <w:tr w:rsidR="00D24585" w:rsidRPr="00DA0D3E" w:rsidTr="008903DB">
        <w:trPr>
          <w:trHeight w:val="457"/>
          <w:jc w:val="center"/>
        </w:trPr>
        <w:tc>
          <w:tcPr>
            <w:tcW w:w="214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24585" w:rsidRPr="00DA0D3E" w:rsidRDefault="00D24585" w:rsidP="00DA0D3E">
            <w:pPr>
              <w:pStyle w:val="NoSpacing"/>
            </w:pPr>
            <w:r w:rsidRPr="00DA0D3E">
              <w:rPr>
                <w:b/>
                <w:bCs/>
              </w:rPr>
              <w:t>City</w:t>
            </w:r>
          </w:p>
        </w:tc>
        <w:tc>
          <w:tcPr>
            <w:tcW w:w="1994" w:type="dxa"/>
            <w:tcBorders>
              <w:top w:val="single" w:sz="8" w:space="0" w:color="FFFFFF"/>
              <w:left w:val="single" w:sz="8" w:space="0" w:color="FFFFFF"/>
              <w:bottom w:val="single" w:sz="24" w:space="0" w:color="FFFFFF"/>
              <w:right w:val="single" w:sz="8" w:space="0" w:color="FFFFFF"/>
            </w:tcBorders>
            <w:shd w:val="clear" w:color="auto" w:fill="5B9BD5"/>
          </w:tcPr>
          <w:p w:rsidR="00D24585" w:rsidRDefault="00D24585" w:rsidP="00DA0D3E">
            <w:pPr>
              <w:pStyle w:val="NoSpacing"/>
              <w:rPr>
                <w:b/>
                <w:bCs/>
              </w:rPr>
            </w:pPr>
            <w:r>
              <w:rPr>
                <w:b/>
                <w:bCs/>
              </w:rPr>
              <w:t>Number of reviews tested</w:t>
            </w:r>
          </w:p>
        </w:tc>
        <w:tc>
          <w:tcPr>
            <w:tcW w:w="23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24585" w:rsidRDefault="00D24585" w:rsidP="00DA0D3E">
            <w:pPr>
              <w:pStyle w:val="NoSpacing"/>
              <w:rPr>
                <w:b/>
                <w:bCs/>
              </w:rPr>
            </w:pPr>
            <w:r>
              <w:rPr>
                <w:b/>
                <w:bCs/>
              </w:rPr>
              <w:t>Sentiment score scaled to 5</w:t>
            </w:r>
          </w:p>
          <w:p w:rsidR="00D24585" w:rsidRPr="00DA0D3E" w:rsidRDefault="00D24585" w:rsidP="00DA0D3E">
            <w:pPr>
              <w:pStyle w:val="NoSpacing"/>
            </w:pPr>
            <w:r>
              <w:rPr>
                <w:b/>
                <w:bCs/>
              </w:rPr>
              <w:t>(Pos/Pos+Neg)</w:t>
            </w:r>
          </w:p>
        </w:tc>
        <w:tc>
          <w:tcPr>
            <w:tcW w:w="21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24585" w:rsidRPr="00DA0D3E" w:rsidRDefault="008903DB" w:rsidP="00DA0D3E">
            <w:pPr>
              <w:pStyle w:val="NoSpacing"/>
            </w:pPr>
            <w:r>
              <w:rPr>
                <w:b/>
                <w:bCs/>
              </w:rPr>
              <w:t>Average Restaurant reviews</w:t>
            </w:r>
          </w:p>
          <w:p w:rsidR="00D24585" w:rsidRPr="00DA0D3E" w:rsidRDefault="00D24585" w:rsidP="00DA0D3E">
            <w:pPr>
              <w:pStyle w:val="NoSpacing"/>
            </w:pPr>
            <w:r w:rsidRPr="00DA0D3E">
              <w:rPr>
                <w:b/>
                <w:bCs/>
              </w:rPr>
              <w:t>Rating</w:t>
            </w:r>
            <w:r>
              <w:rPr>
                <w:b/>
                <w:bCs/>
              </w:rPr>
              <w:t xml:space="preserve"> </w:t>
            </w:r>
          </w:p>
        </w:tc>
      </w:tr>
      <w:tr w:rsidR="00D24585" w:rsidRPr="00DA0D3E" w:rsidTr="00036088">
        <w:trPr>
          <w:trHeight w:val="165"/>
          <w:jc w:val="center"/>
        </w:trPr>
        <w:tc>
          <w:tcPr>
            <w:tcW w:w="2146"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hideMark/>
          </w:tcPr>
          <w:p w:rsidR="00D24585" w:rsidRPr="00DA0D3E" w:rsidRDefault="00D24585" w:rsidP="00DA0D3E">
            <w:pPr>
              <w:pStyle w:val="NoSpacing"/>
            </w:pPr>
            <w:r w:rsidRPr="00DA0D3E">
              <w:t>Madison</w:t>
            </w:r>
          </w:p>
        </w:tc>
        <w:tc>
          <w:tcPr>
            <w:tcW w:w="1994" w:type="dxa"/>
            <w:tcBorders>
              <w:top w:val="single" w:sz="24" w:space="0" w:color="FFFFFF"/>
              <w:left w:val="single" w:sz="8" w:space="0" w:color="FFFFFF"/>
              <w:bottom w:val="single" w:sz="8" w:space="0" w:color="FFFFFF"/>
              <w:right w:val="single" w:sz="8" w:space="0" w:color="FFFFFF"/>
            </w:tcBorders>
            <w:shd w:val="clear" w:color="auto" w:fill="FFC000" w:themeFill="accent4"/>
          </w:tcPr>
          <w:p w:rsidR="00D24585" w:rsidRDefault="00D24585" w:rsidP="00DA0D3E">
            <w:pPr>
              <w:pStyle w:val="NoSpacing"/>
            </w:pPr>
            <w:r>
              <w:t xml:space="preserve"> </w:t>
            </w:r>
            <w:r w:rsidR="00036088">
              <w:t>472</w:t>
            </w:r>
          </w:p>
        </w:tc>
        <w:tc>
          <w:tcPr>
            <w:tcW w:w="2330"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hideMark/>
          </w:tcPr>
          <w:p w:rsidR="00D24585" w:rsidRPr="00DA0D3E" w:rsidRDefault="00D24585" w:rsidP="00DA0D3E">
            <w:pPr>
              <w:pStyle w:val="NoSpacing"/>
            </w:pPr>
            <w:r>
              <w:t>3.68</w:t>
            </w:r>
          </w:p>
        </w:tc>
        <w:tc>
          <w:tcPr>
            <w:tcW w:w="2160"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hideMark/>
          </w:tcPr>
          <w:p w:rsidR="00D24585" w:rsidRPr="00DA0D3E" w:rsidRDefault="00D24585" w:rsidP="00DA0D3E">
            <w:pPr>
              <w:pStyle w:val="NoSpacing"/>
            </w:pPr>
            <w:r w:rsidRPr="00DA0D3E">
              <w:t>3.85</w:t>
            </w:r>
          </w:p>
        </w:tc>
      </w:tr>
      <w:tr w:rsidR="00D24585" w:rsidRPr="00DA0D3E" w:rsidTr="00036088">
        <w:trPr>
          <w:trHeight w:val="165"/>
          <w:jc w:val="center"/>
        </w:trPr>
        <w:tc>
          <w:tcPr>
            <w:tcW w:w="2146"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tcPr>
          <w:p w:rsidR="00D24585" w:rsidRPr="00DA0D3E" w:rsidRDefault="00D24585" w:rsidP="00DA0D3E">
            <w:pPr>
              <w:pStyle w:val="NoSpacing"/>
            </w:pPr>
            <w:r>
              <w:t>Glendale</w:t>
            </w:r>
          </w:p>
        </w:tc>
        <w:tc>
          <w:tcPr>
            <w:tcW w:w="1994" w:type="dxa"/>
            <w:tcBorders>
              <w:top w:val="single" w:sz="24" w:space="0" w:color="FFFFFF"/>
              <w:left w:val="single" w:sz="8" w:space="0" w:color="FFFFFF"/>
              <w:bottom w:val="single" w:sz="8" w:space="0" w:color="FFFFFF"/>
              <w:right w:val="single" w:sz="8" w:space="0" w:color="FFFFFF"/>
            </w:tcBorders>
            <w:shd w:val="clear" w:color="auto" w:fill="FFC000" w:themeFill="accent4"/>
          </w:tcPr>
          <w:p w:rsidR="00D24585" w:rsidRDefault="00036088" w:rsidP="00DA0D3E">
            <w:pPr>
              <w:pStyle w:val="NoSpacing"/>
            </w:pPr>
            <w:r>
              <w:t>161</w:t>
            </w:r>
          </w:p>
        </w:tc>
        <w:tc>
          <w:tcPr>
            <w:tcW w:w="2330"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tcPr>
          <w:p w:rsidR="00D24585" w:rsidRPr="00DA0D3E" w:rsidRDefault="00D24585" w:rsidP="00DA0D3E">
            <w:pPr>
              <w:pStyle w:val="NoSpacing"/>
            </w:pPr>
            <w:r>
              <w:t>3.45</w:t>
            </w:r>
          </w:p>
        </w:tc>
        <w:tc>
          <w:tcPr>
            <w:tcW w:w="2160" w:type="dxa"/>
            <w:tcBorders>
              <w:top w:val="single" w:sz="24" w:space="0" w:color="FFFFFF"/>
              <w:left w:val="single" w:sz="8" w:space="0" w:color="FFFFFF"/>
              <w:bottom w:val="single" w:sz="8" w:space="0" w:color="FFFFFF"/>
              <w:right w:val="single" w:sz="8" w:space="0" w:color="FFFFFF"/>
            </w:tcBorders>
            <w:shd w:val="clear" w:color="auto" w:fill="FFC000" w:themeFill="accent4"/>
            <w:tcMar>
              <w:top w:w="72" w:type="dxa"/>
              <w:left w:w="144" w:type="dxa"/>
              <w:bottom w:w="72" w:type="dxa"/>
              <w:right w:w="144" w:type="dxa"/>
            </w:tcMar>
          </w:tcPr>
          <w:p w:rsidR="00D24585" w:rsidRPr="00DA0D3E" w:rsidRDefault="00D24585" w:rsidP="00DA0D3E">
            <w:pPr>
              <w:pStyle w:val="NoSpacing"/>
            </w:pPr>
            <w:r>
              <w:t>3.25</w:t>
            </w:r>
          </w:p>
        </w:tc>
      </w:tr>
      <w:tr w:rsidR="00D24585" w:rsidRPr="00DA0D3E" w:rsidTr="00DE65A7">
        <w:trPr>
          <w:trHeight w:val="178"/>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Phoenix</w:t>
            </w:r>
          </w:p>
        </w:tc>
        <w:tc>
          <w:tcPr>
            <w:tcW w:w="1994" w:type="dxa"/>
            <w:tcBorders>
              <w:top w:val="single" w:sz="8" w:space="0" w:color="FFFFFF"/>
              <w:left w:val="single" w:sz="8" w:space="0" w:color="FFFFFF"/>
              <w:bottom w:val="single" w:sz="8" w:space="0" w:color="FFFFFF"/>
              <w:right w:val="single" w:sz="8" w:space="0" w:color="FFFFFF"/>
            </w:tcBorders>
            <w:shd w:val="clear" w:color="auto" w:fill="70AD47" w:themeFill="accent6"/>
          </w:tcPr>
          <w:p w:rsidR="00D24585" w:rsidRDefault="00DE65A7" w:rsidP="00DA0D3E">
            <w:pPr>
              <w:pStyle w:val="NoSpacing"/>
            </w:pPr>
            <w:r>
              <w:t>1111</w:t>
            </w:r>
          </w:p>
        </w:tc>
        <w:tc>
          <w:tcPr>
            <w:tcW w:w="233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t>3.69</w:t>
            </w:r>
          </w:p>
        </w:tc>
        <w:tc>
          <w:tcPr>
            <w:tcW w:w="216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3.3</w:t>
            </w:r>
          </w:p>
        </w:tc>
      </w:tr>
      <w:tr w:rsidR="00D24585" w:rsidRPr="00DA0D3E" w:rsidTr="00DE65A7">
        <w:trPr>
          <w:trHeight w:val="106"/>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Las Vegas</w:t>
            </w:r>
          </w:p>
        </w:tc>
        <w:tc>
          <w:tcPr>
            <w:tcW w:w="1994" w:type="dxa"/>
            <w:tcBorders>
              <w:top w:val="single" w:sz="8" w:space="0" w:color="FFFFFF"/>
              <w:left w:val="single" w:sz="8" w:space="0" w:color="FFFFFF"/>
              <w:bottom w:val="single" w:sz="8" w:space="0" w:color="FFFFFF"/>
              <w:right w:val="single" w:sz="8" w:space="0" w:color="FFFFFF"/>
            </w:tcBorders>
            <w:shd w:val="clear" w:color="auto" w:fill="70AD47" w:themeFill="accent6"/>
          </w:tcPr>
          <w:p w:rsidR="00D24585" w:rsidRDefault="00DE65A7" w:rsidP="00DA0D3E">
            <w:pPr>
              <w:pStyle w:val="NoSpacing"/>
            </w:pPr>
            <w:r>
              <w:t>2828</w:t>
            </w:r>
          </w:p>
        </w:tc>
        <w:tc>
          <w:tcPr>
            <w:tcW w:w="233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t>3.7</w:t>
            </w:r>
          </w:p>
        </w:tc>
        <w:tc>
          <w:tcPr>
            <w:tcW w:w="216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3.5</w:t>
            </w:r>
          </w:p>
        </w:tc>
      </w:tr>
      <w:tr w:rsidR="00D24585" w:rsidRPr="00DA0D3E" w:rsidTr="00036088">
        <w:trPr>
          <w:trHeight w:val="214"/>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Edinburgh</w:t>
            </w:r>
          </w:p>
        </w:tc>
        <w:tc>
          <w:tcPr>
            <w:tcW w:w="1994" w:type="dxa"/>
            <w:tcBorders>
              <w:top w:val="single" w:sz="8" w:space="0" w:color="FFFFFF"/>
              <w:left w:val="single" w:sz="8" w:space="0" w:color="FFFFFF"/>
              <w:bottom w:val="single" w:sz="8" w:space="0" w:color="FFFFFF"/>
              <w:right w:val="single" w:sz="8" w:space="0" w:color="FFFFFF"/>
            </w:tcBorders>
            <w:shd w:val="clear" w:color="auto" w:fill="FF0000"/>
          </w:tcPr>
          <w:p w:rsidR="00D24585" w:rsidRDefault="00DE65A7" w:rsidP="00DA0D3E">
            <w:pPr>
              <w:pStyle w:val="NoSpacing"/>
            </w:pPr>
            <w:r>
              <w:t>650</w:t>
            </w:r>
          </w:p>
        </w:tc>
        <w:tc>
          <w:tcPr>
            <w:tcW w:w="233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t>3.67</w:t>
            </w:r>
          </w:p>
        </w:tc>
        <w:tc>
          <w:tcPr>
            <w:tcW w:w="2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3.9</w:t>
            </w:r>
            <w:r>
              <w:t>3</w:t>
            </w:r>
          </w:p>
        </w:tc>
      </w:tr>
      <w:tr w:rsidR="00D24585" w:rsidRPr="00DA0D3E" w:rsidTr="00036088">
        <w:trPr>
          <w:trHeight w:val="232"/>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Chandler</w:t>
            </w:r>
          </w:p>
        </w:tc>
        <w:tc>
          <w:tcPr>
            <w:tcW w:w="1994" w:type="dxa"/>
            <w:tcBorders>
              <w:top w:val="single" w:sz="8" w:space="0" w:color="FFFFFF"/>
              <w:left w:val="single" w:sz="8" w:space="0" w:color="FFFFFF"/>
              <w:bottom w:val="single" w:sz="8" w:space="0" w:color="FFFFFF"/>
              <w:right w:val="single" w:sz="8" w:space="0" w:color="FFFFFF"/>
            </w:tcBorders>
            <w:shd w:val="clear" w:color="auto" w:fill="FF0000"/>
          </w:tcPr>
          <w:p w:rsidR="00D24585" w:rsidRPr="00DA0D3E" w:rsidRDefault="00DE65A7" w:rsidP="00DA0D3E">
            <w:pPr>
              <w:pStyle w:val="NoSpacing"/>
            </w:pPr>
            <w:r>
              <w:t>322</w:t>
            </w:r>
          </w:p>
        </w:tc>
        <w:tc>
          <w:tcPr>
            <w:tcW w:w="233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E65A7" w:rsidP="00DA0D3E">
            <w:pPr>
              <w:pStyle w:val="NoSpacing"/>
            </w:pPr>
            <w:r>
              <w:t>3.42</w:t>
            </w:r>
          </w:p>
        </w:tc>
        <w:tc>
          <w:tcPr>
            <w:tcW w:w="2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3.45</w:t>
            </w:r>
          </w:p>
        </w:tc>
      </w:tr>
      <w:tr w:rsidR="00D24585" w:rsidRPr="00DA0D3E" w:rsidTr="00DE65A7">
        <w:trPr>
          <w:trHeight w:val="250"/>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Tempe</w:t>
            </w:r>
          </w:p>
        </w:tc>
        <w:tc>
          <w:tcPr>
            <w:tcW w:w="1994" w:type="dxa"/>
            <w:tcBorders>
              <w:top w:val="single" w:sz="8" w:space="0" w:color="FFFFFF"/>
              <w:left w:val="single" w:sz="8" w:space="0" w:color="FFFFFF"/>
              <w:bottom w:val="single" w:sz="8" w:space="0" w:color="FFFFFF"/>
              <w:right w:val="single" w:sz="8" w:space="0" w:color="FFFFFF"/>
            </w:tcBorders>
            <w:shd w:val="clear" w:color="auto" w:fill="70AD47" w:themeFill="accent6"/>
          </w:tcPr>
          <w:p w:rsidR="00D24585" w:rsidRPr="00DA0D3E" w:rsidRDefault="0013225F" w:rsidP="00DA0D3E">
            <w:pPr>
              <w:pStyle w:val="NoSpacing"/>
            </w:pPr>
            <w:r>
              <w:t>1268</w:t>
            </w:r>
          </w:p>
        </w:tc>
        <w:tc>
          <w:tcPr>
            <w:tcW w:w="233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B8779F" w:rsidP="00D24585">
            <w:pPr>
              <w:pStyle w:val="NoSpacing"/>
            </w:pPr>
            <w:r>
              <w:t>3.67</w:t>
            </w:r>
          </w:p>
        </w:tc>
        <w:tc>
          <w:tcPr>
            <w:tcW w:w="2160" w:type="dxa"/>
            <w:tcBorders>
              <w:top w:val="single" w:sz="8" w:space="0" w:color="FFFFFF"/>
              <w:left w:val="single" w:sz="8" w:space="0" w:color="FFFFFF"/>
              <w:bottom w:val="single" w:sz="8" w:space="0" w:color="FFFFFF"/>
              <w:right w:val="single" w:sz="8" w:space="0" w:color="FFFFFF"/>
            </w:tcBorders>
            <w:shd w:val="clear" w:color="auto" w:fill="70AD47" w:themeFill="accent6"/>
            <w:tcMar>
              <w:top w:w="72" w:type="dxa"/>
              <w:left w:w="144" w:type="dxa"/>
              <w:bottom w:w="72" w:type="dxa"/>
              <w:right w:w="144" w:type="dxa"/>
            </w:tcMar>
            <w:hideMark/>
          </w:tcPr>
          <w:p w:rsidR="00D24585" w:rsidRPr="00DA0D3E" w:rsidRDefault="00D24585" w:rsidP="00DA0D3E">
            <w:pPr>
              <w:pStyle w:val="NoSpacing"/>
            </w:pPr>
            <w:r w:rsidRPr="00DA0D3E">
              <w:t>3.3</w:t>
            </w:r>
          </w:p>
        </w:tc>
      </w:tr>
      <w:tr w:rsidR="00D24585" w:rsidRPr="00DA0D3E" w:rsidTr="00036088">
        <w:trPr>
          <w:trHeight w:val="349"/>
          <w:jc w:val="center"/>
        </w:trPr>
        <w:tc>
          <w:tcPr>
            <w:tcW w:w="2146"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Scottsdale</w:t>
            </w:r>
          </w:p>
        </w:tc>
        <w:tc>
          <w:tcPr>
            <w:tcW w:w="1994" w:type="dxa"/>
            <w:tcBorders>
              <w:top w:val="single" w:sz="8" w:space="0" w:color="FFFFFF"/>
              <w:left w:val="single" w:sz="8" w:space="0" w:color="FFFFFF"/>
              <w:bottom w:val="single" w:sz="8" w:space="0" w:color="FFFFFF"/>
              <w:right w:val="single" w:sz="8" w:space="0" w:color="FFFFFF"/>
            </w:tcBorders>
            <w:shd w:val="clear" w:color="auto" w:fill="FF0000"/>
          </w:tcPr>
          <w:p w:rsidR="00D24585" w:rsidRPr="00DA0D3E" w:rsidRDefault="00DE65A7" w:rsidP="00DA0D3E">
            <w:pPr>
              <w:pStyle w:val="NoSpacing"/>
            </w:pPr>
            <w:r>
              <w:t xml:space="preserve"> 484</w:t>
            </w:r>
          </w:p>
        </w:tc>
        <w:tc>
          <w:tcPr>
            <w:tcW w:w="233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B8779F" w:rsidP="00DA0D3E">
            <w:pPr>
              <w:pStyle w:val="NoSpacing"/>
            </w:pPr>
            <w:r>
              <w:t>3.57</w:t>
            </w:r>
          </w:p>
        </w:tc>
        <w:tc>
          <w:tcPr>
            <w:tcW w:w="2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D24585" w:rsidRPr="00DA0D3E" w:rsidRDefault="00D24585" w:rsidP="00DA0D3E">
            <w:pPr>
              <w:pStyle w:val="NoSpacing"/>
            </w:pPr>
            <w:r w:rsidRPr="00DA0D3E">
              <w:t>3.64</w:t>
            </w:r>
          </w:p>
        </w:tc>
      </w:tr>
    </w:tbl>
    <w:p w:rsidR="00DA0D3E" w:rsidRDefault="00DA0D3E" w:rsidP="00BA30A4">
      <w:pPr>
        <w:pStyle w:val="NoSpacing"/>
      </w:pPr>
    </w:p>
    <w:p w:rsidR="0013225F" w:rsidRDefault="0013225F" w:rsidP="00BA30A4">
      <w:pPr>
        <w:pStyle w:val="NoSpacing"/>
      </w:pPr>
      <w:r>
        <w:tab/>
        <w:t>Red: Negative trend (predicted more negative sentiment than there is)</w:t>
      </w:r>
    </w:p>
    <w:p w:rsidR="0013225F" w:rsidRDefault="0013225F" w:rsidP="00BA30A4">
      <w:pPr>
        <w:pStyle w:val="NoSpacing"/>
      </w:pPr>
      <w:r>
        <w:tab/>
        <w:t xml:space="preserve">Green: Positive trend </w:t>
      </w:r>
      <w:r>
        <w:t xml:space="preserve">(predicted more </w:t>
      </w:r>
      <w:r>
        <w:t>positive</w:t>
      </w:r>
      <w:r>
        <w:t xml:space="preserve"> sentiment than there is)</w:t>
      </w:r>
    </w:p>
    <w:p w:rsidR="0013225F" w:rsidRDefault="0013225F" w:rsidP="00BA30A4">
      <w:pPr>
        <w:pStyle w:val="NoSpacing"/>
      </w:pPr>
      <w:r>
        <w:tab/>
        <w:t>Yellow: non-conclusive</w:t>
      </w:r>
    </w:p>
    <w:p w:rsidR="00DE65A7" w:rsidRPr="009E27BF" w:rsidRDefault="00DE65A7" w:rsidP="00BA30A4">
      <w:pPr>
        <w:pStyle w:val="NoSpacing"/>
        <w:rPr>
          <w:u w:val="single"/>
        </w:rPr>
      </w:pPr>
      <w:r w:rsidRPr="009E27BF">
        <w:rPr>
          <w:u w:val="single"/>
        </w:rPr>
        <w:t xml:space="preserve">Analysis: </w:t>
      </w:r>
    </w:p>
    <w:p w:rsidR="00BA30A4" w:rsidRDefault="00DE65A7" w:rsidP="00DE65A7">
      <w:pPr>
        <w:pStyle w:val="NoSpacing"/>
        <w:numPr>
          <w:ilvl w:val="0"/>
          <w:numId w:val="2"/>
        </w:numPr>
      </w:pPr>
      <w:r>
        <w:t>Average restaurant review ratings are closely related to average positive sentiment value calculated from those same reviews.</w:t>
      </w:r>
    </w:p>
    <w:p w:rsidR="00DE65A7" w:rsidRDefault="00DE65A7" w:rsidP="00A24790">
      <w:pPr>
        <w:pStyle w:val="NoSpacing"/>
        <w:numPr>
          <w:ilvl w:val="0"/>
          <w:numId w:val="2"/>
        </w:numPr>
      </w:pPr>
      <w:r>
        <w:t>If a city has large number of review</w:t>
      </w:r>
      <w:r w:rsidR="001C5B2F">
        <w:t>s</w:t>
      </w:r>
      <w:r>
        <w:t>, the positive sentiment va</w:t>
      </w:r>
      <w:r w:rsidR="00A24790">
        <w:t>lue increases. Reason being s</w:t>
      </w:r>
      <w:r>
        <w:t>ince we consider only unigrams, the negative sentiment of “not good”</w:t>
      </w:r>
      <w:r w:rsidR="00EB58B4">
        <w:t xml:space="preserve"> b</w:t>
      </w:r>
      <w:r w:rsidR="00A24790">
        <w:t>ecomes positive in many reviews thus making it overpowering.</w:t>
      </w:r>
    </w:p>
    <w:p w:rsidR="00DE65A7" w:rsidRDefault="00DE65A7" w:rsidP="00DE65A7">
      <w:pPr>
        <w:pStyle w:val="NoSpacing"/>
        <w:numPr>
          <w:ilvl w:val="0"/>
          <w:numId w:val="2"/>
        </w:numPr>
      </w:pPr>
      <w:r>
        <w:t>In conclusion, there was no notable trend that can be applied to large scale sentiment analysis.</w:t>
      </w:r>
    </w:p>
    <w:p w:rsidR="00D52CF4" w:rsidRDefault="00D52CF4" w:rsidP="00D52CF4">
      <w:pPr>
        <w:pStyle w:val="NoSpacing"/>
      </w:pPr>
    </w:p>
    <w:p w:rsidR="00455F12" w:rsidRDefault="00D52CF4" w:rsidP="00D52CF4">
      <w:pPr>
        <w:pStyle w:val="NoSpacing"/>
        <w:rPr>
          <w:u w:val="single"/>
        </w:rPr>
      </w:pPr>
      <w:r>
        <w:t>S</w:t>
      </w:r>
      <w:r w:rsidRPr="00DA0D3E">
        <w:rPr>
          <w:u w:val="single"/>
        </w:rPr>
        <w:t>upervised Learning</w:t>
      </w:r>
      <w:r w:rsidR="00C74073">
        <w:rPr>
          <w:u w:val="single"/>
        </w:rPr>
        <w:t xml:space="preserve"> </w:t>
      </w:r>
      <w:r>
        <w:rPr>
          <w:u w:val="single"/>
        </w:rPr>
        <w:t>(</w:t>
      </w:r>
      <w:r w:rsidR="00C74073">
        <w:rPr>
          <w:u w:val="single"/>
        </w:rPr>
        <w:t>Naïve Bayes</w:t>
      </w:r>
      <w:r>
        <w:rPr>
          <w:u w:val="single"/>
        </w:rPr>
        <w:t>):</w:t>
      </w:r>
    </w:p>
    <w:tbl>
      <w:tblPr>
        <w:tblpPr w:leftFromText="180" w:rightFromText="180" w:vertAnchor="page" w:horzAnchor="page" w:tblpX="1941" w:tblpY="11881"/>
        <w:tblW w:w="6740" w:type="dxa"/>
        <w:tblCellMar>
          <w:left w:w="0" w:type="dxa"/>
          <w:right w:w="0" w:type="dxa"/>
        </w:tblCellMar>
        <w:tblLook w:val="0420" w:firstRow="1" w:lastRow="0" w:firstColumn="0" w:lastColumn="0" w:noHBand="0" w:noVBand="1"/>
      </w:tblPr>
      <w:tblGrid>
        <w:gridCol w:w="1800"/>
        <w:gridCol w:w="1160"/>
        <w:gridCol w:w="1260"/>
        <w:gridCol w:w="990"/>
        <w:gridCol w:w="1530"/>
      </w:tblGrid>
      <w:tr w:rsidR="00B96885" w:rsidRPr="00455F12" w:rsidTr="00B96885">
        <w:trPr>
          <w:trHeight w:val="637"/>
        </w:trPr>
        <w:tc>
          <w:tcPr>
            <w:tcW w:w="18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B96885" w:rsidRPr="00455F12" w:rsidRDefault="00B96885" w:rsidP="00B96885">
            <w:pPr>
              <w:pStyle w:val="NoSpacing"/>
            </w:pPr>
            <w:r w:rsidRPr="00455F12">
              <w:rPr>
                <w:b/>
                <w:bCs/>
              </w:rPr>
              <w:t>No of features</w:t>
            </w:r>
          </w:p>
          <w:p w:rsidR="00B96885" w:rsidRPr="00455F12" w:rsidRDefault="00B96885" w:rsidP="00B96885">
            <w:pPr>
              <w:pStyle w:val="NoSpacing"/>
            </w:pPr>
            <w:r w:rsidRPr="00455F12">
              <w:rPr>
                <w:b/>
                <w:bCs/>
              </w:rPr>
              <w:t>(Global)</w:t>
            </w:r>
          </w:p>
        </w:tc>
        <w:tc>
          <w:tcPr>
            <w:tcW w:w="11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B96885" w:rsidRPr="00455F12" w:rsidRDefault="00B96885" w:rsidP="00B96885">
            <w:pPr>
              <w:pStyle w:val="NoSpacing"/>
            </w:pPr>
            <w:r w:rsidRPr="00455F12">
              <w:rPr>
                <w:b/>
                <w:bCs/>
              </w:rPr>
              <w:t>Accuracy</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B96885" w:rsidRPr="00455F12" w:rsidRDefault="00B96885" w:rsidP="00B96885">
            <w:pPr>
              <w:pStyle w:val="NoSpacing"/>
            </w:pPr>
            <w:r w:rsidRPr="00455F12">
              <w:rPr>
                <w:b/>
                <w:bCs/>
              </w:rPr>
              <w:t>Precision</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B96885" w:rsidRPr="00455F12" w:rsidRDefault="00B96885" w:rsidP="00B96885">
            <w:pPr>
              <w:pStyle w:val="NoSpacing"/>
            </w:pPr>
            <w:r w:rsidRPr="00455F12">
              <w:rPr>
                <w:b/>
                <w:bCs/>
              </w:rPr>
              <w:t>Recall</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B96885" w:rsidRPr="00455F12" w:rsidRDefault="00B96885" w:rsidP="00B96885">
            <w:pPr>
              <w:pStyle w:val="NoSpacing"/>
            </w:pPr>
            <w:r w:rsidRPr="00455F12">
              <w:rPr>
                <w:b/>
                <w:bCs/>
              </w:rPr>
              <w:t>F-measure</w:t>
            </w:r>
          </w:p>
        </w:tc>
      </w:tr>
      <w:tr w:rsidR="00B96885" w:rsidRPr="00455F12" w:rsidTr="00B96885">
        <w:trPr>
          <w:trHeight w:val="61"/>
        </w:trPr>
        <w:tc>
          <w:tcPr>
            <w:tcW w:w="18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100</w:t>
            </w:r>
          </w:p>
        </w:tc>
        <w:tc>
          <w:tcPr>
            <w:tcW w:w="11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81.35%</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0.814</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0.814</w:t>
            </w: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0.814</w:t>
            </w:r>
          </w:p>
        </w:tc>
      </w:tr>
      <w:tr w:rsidR="00B96885" w:rsidRPr="00455F12" w:rsidTr="00B96885">
        <w:trPr>
          <w:trHeight w:val="187"/>
        </w:trPr>
        <w:tc>
          <w:tcPr>
            <w:tcW w:w="18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B96885" w:rsidRPr="00455F12" w:rsidRDefault="00B96885" w:rsidP="00B96885">
            <w:pPr>
              <w:pStyle w:val="NoSpacing"/>
            </w:pPr>
            <w:r w:rsidRPr="00455F12">
              <w:t>200</w:t>
            </w:r>
          </w:p>
        </w:tc>
        <w:tc>
          <w:tcPr>
            <w:tcW w:w="1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B96885" w:rsidRPr="00455F12" w:rsidRDefault="00B96885" w:rsidP="00B96885">
            <w:pPr>
              <w:pStyle w:val="NoSpacing"/>
            </w:pPr>
            <w:r w:rsidRPr="00455F12">
              <w:t>79.62%</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B96885" w:rsidRPr="00455F12" w:rsidRDefault="00B96885" w:rsidP="00B96885">
            <w:pPr>
              <w:pStyle w:val="NoSpacing"/>
            </w:pPr>
            <w:r w:rsidRPr="00455F12">
              <w:t>0.785</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B96885" w:rsidRPr="00455F12" w:rsidRDefault="00B96885" w:rsidP="00B96885">
            <w:pPr>
              <w:pStyle w:val="NoSpacing"/>
            </w:pPr>
            <w:r w:rsidRPr="00455F12">
              <w:t>0.81</w:t>
            </w: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B96885" w:rsidRPr="00455F12" w:rsidRDefault="00B96885" w:rsidP="00B96885">
            <w:pPr>
              <w:pStyle w:val="NoSpacing"/>
            </w:pPr>
            <w:r w:rsidRPr="00455F12">
              <w:t>0.792</w:t>
            </w:r>
          </w:p>
        </w:tc>
      </w:tr>
      <w:tr w:rsidR="00B96885" w:rsidRPr="00455F12" w:rsidTr="00B96885">
        <w:trPr>
          <w:trHeight w:val="250"/>
        </w:trPr>
        <w:tc>
          <w:tcPr>
            <w:tcW w:w="18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500</w:t>
            </w:r>
          </w:p>
        </w:tc>
        <w:tc>
          <w:tcPr>
            <w:tcW w:w="1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76.45%</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0.765</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0.765</w:t>
            </w:r>
          </w:p>
        </w:tc>
        <w:tc>
          <w:tcPr>
            <w:tcW w:w="153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B96885" w:rsidRPr="00455F12" w:rsidRDefault="00B96885" w:rsidP="00B96885">
            <w:pPr>
              <w:pStyle w:val="NoSpacing"/>
            </w:pPr>
            <w:r w:rsidRPr="00455F12">
              <w:t>0.764</w:t>
            </w:r>
          </w:p>
        </w:tc>
      </w:tr>
    </w:tbl>
    <w:p w:rsidR="00D52CF4" w:rsidRDefault="00455F12" w:rsidP="00D52CF4">
      <w:pPr>
        <w:pStyle w:val="NoSpacing"/>
      </w:pPr>
      <w:r w:rsidRPr="00455F12">
        <w:t>Comparing performance of Naïve Bayes over different dimensions of</w:t>
      </w:r>
      <w:r w:rsidR="00B96885">
        <w:t xml:space="preserve"> Global feature vector</w:t>
      </w: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p>
    <w:p w:rsidR="00B96885" w:rsidRDefault="00B96885" w:rsidP="00D52CF4">
      <w:pPr>
        <w:pStyle w:val="NoSpacing"/>
      </w:pPr>
      <w:r>
        <w:t>Since a feature vector of 100 gives good accuracy, we consider that size for rest of training and test.</w:t>
      </w:r>
    </w:p>
    <w:p w:rsidR="00AB4F51" w:rsidRDefault="00B96885" w:rsidP="00D52CF4">
      <w:pPr>
        <w:pStyle w:val="NoSpacing"/>
      </w:pPr>
      <w:r>
        <w:lastRenderedPageBreak/>
        <w:t>Comparing Global and Local  Naïve Bayes performances</w:t>
      </w:r>
      <w:r w:rsidR="00AB4F51">
        <w:t xml:space="preserve"> over accuracy and other measures</w:t>
      </w:r>
      <w:r>
        <w:t xml:space="preserve">. Here we take </w:t>
      </w:r>
      <w:r w:rsidR="00AB4F51">
        <w:t xml:space="preserve">top 3 </w:t>
      </w:r>
      <w:r>
        <w:t>results</w:t>
      </w:r>
      <w:r w:rsidR="00AB4F51">
        <w:t>.</w:t>
      </w:r>
    </w:p>
    <w:tbl>
      <w:tblPr>
        <w:tblpPr w:leftFromText="180" w:rightFromText="180" w:vertAnchor="text" w:horzAnchor="page" w:tblpX="5019" w:tblpY="139"/>
        <w:tblW w:w="5310" w:type="dxa"/>
        <w:tblLayout w:type="fixed"/>
        <w:tblCellMar>
          <w:left w:w="0" w:type="dxa"/>
          <w:right w:w="0" w:type="dxa"/>
        </w:tblCellMar>
        <w:tblLook w:val="0420" w:firstRow="1" w:lastRow="0" w:firstColumn="0" w:lastColumn="0" w:noHBand="0" w:noVBand="1"/>
      </w:tblPr>
      <w:tblGrid>
        <w:gridCol w:w="1170"/>
        <w:gridCol w:w="900"/>
        <w:gridCol w:w="1143"/>
        <w:gridCol w:w="832"/>
        <w:gridCol w:w="1265"/>
      </w:tblGrid>
      <w:tr w:rsidR="00AB4F51" w:rsidRPr="00AB4F51" w:rsidTr="00AB4F51">
        <w:trPr>
          <w:trHeight w:val="214"/>
        </w:trPr>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AB4F51" w:rsidRPr="00AB4F51" w:rsidRDefault="00AB4F51" w:rsidP="00AB4F51">
            <w:pPr>
              <w:pStyle w:val="NoSpacing"/>
            </w:pPr>
            <w:r w:rsidRPr="00AB4F51">
              <w:rPr>
                <w:b/>
                <w:bCs/>
              </w:rPr>
              <w:t>City</w:t>
            </w:r>
          </w:p>
        </w:tc>
        <w:tc>
          <w:tcPr>
            <w:tcW w:w="9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AB4F51" w:rsidRPr="00AB4F51" w:rsidRDefault="00AB4F51" w:rsidP="00AB4F51">
            <w:pPr>
              <w:pStyle w:val="NoSpacing"/>
            </w:pPr>
            <w:r w:rsidRPr="00AB4F51">
              <w:rPr>
                <w:b/>
                <w:bCs/>
              </w:rPr>
              <w:t>Type</w:t>
            </w:r>
          </w:p>
        </w:tc>
        <w:tc>
          <w:tcPr>
            <w:tcW w:w="114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AB4F51" w:rsidRPr="00AB4F51" w:rsidRDefault="00AB4F51" w:rsidP="00AB4F51">
            <w:pPr>
              <w:pStyle w:val="NoSpacing"/>
            </w:pPr>
            <w:r w:rsidRPr="00AB4F51">
              <w:rPr>
                <w:b/>
                <w:bCs/>
              </w:rPr>
              <w:t>Precision</w:t>
            </w:r>
          </w:p>
        </w:tc>
        <w:tc>
          <w:tcPr>
            <w:tcW w:w="83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AB4F51" w:rsidRPr="00AB4F51" w:rsidRDefault="00AB4F51" w:rsidP="00AB4F51">
            <w:pPr>
              <w:pStyle w:val="NoSpacing"/>
            </w:pPr>
            <w:r w:rsidRPr="00AB4F51">
              <w:rPr>
                <w:b/>
                <w:bCs/>
              </w:rPr>
              <w:t>Recall</w:t>
            </w:r>
          </w:p>
        </w:tc>
        <w:tc>
          <w:tcPr>
            <w:tcW w:w="126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AB4F51" w:rsidRPr="00AB4F51" w:rsidRDefault="00AB4F51" w:rsidP="00AB4F51">
            <w:pPr>
              <w:pStyle w:val="NoSpacing"/>
            </w:pPr>
            <w:r w:rsidRPr="00AB4F51">
              <w:rPr>
                <w:b/>
                <w:bCs/>
              </w:rPr>
              <w:t>F-measure</w:t>
            </w:r>
          </w:p>
        </w:tc>
      </w:tr>
      <w:tr w:rsidR="00AB4F51" w:rsidRPr="00AB4F51" w:rsidTr="00AB4F51">
        <w:trPr>
          <w:trHeight w:val="192"/>
        </w:trPr>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Phoenix</w:t>
            </w:r>
          </w:p>
        </w:tc>
        <w:tc>
          <w:tcPr>
            <w:tcW w:w="9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Global</w:t>
            </w:r>
          </w:p>
        </w:tc>
        <w:tc>
          <w:tcPr>
            <w:tcW w:w="114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0.884</w:t>
            </w:r>
          </w:p>
        </w:tc>
        <w:tc>
          <w:tcPr>
            <w:tcW w:w="83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0.842</w:t>
            </w:r>
          </w:p>
        </w:tc>
        <w:tc>
          <w:tcPr>
            <w:tcW w:w="126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0.862</w:t>
            </w:r>
          </w:p>
        </w:tc>
      </w:tr>
      <w:tr w:rsidR="00AB4F51" w:rsidRPr="00AB4F51" w:rsidTr="00AB4F51">
        <w:trPr>
          <w:trHeight w:val="124"/>
        </w:trPr>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p>
        </w:tc>
        <w:tc>
          <w:tcPr>
            <w:tcW w:w="9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Local</w:t>
            </w:r>
          </w:p>
        </w:tc>
        <w:tc>
          <w:tcPr>
            <w:tcW w:w="11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0.85</w:t>
            </w:r>
          </w:p>
        </w:tc>
        <w:tc>
          <w:tcPr>
            <w:tcW w:w="83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0.84</w:t>
            </w:r>
          </w:p>
        </w:tc>
        <w:tc>
          <w:tcPr>
            <w:tcW w:w="126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0.849</w:t>
            </w:r>
          </w:p>
        </w:tc>
      </w:tr>
      <w:tr w:rsidR="00AB4F51" w:rsidRPr="00AB4F51" w:rsidTr="00AB4F51">
        <w:trPr>
          <w:trHeight w:val="232"/>
        </w:trPr>
        <w:tc>
          <w:tcPr>
            <w:tcW w:w="11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Las Vegas</w:t>
            </w:r>
          </w:p>
        </w:tc>
        <w:tc>
          <w:tcPr>
            <w:tcW w:w="9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Global</w:t>
            </w:r>
          </w:p>
        </w:tc>
        <w:tc>
          <w:tcPr>
            <w:tcW w:w="114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0.84</w:t>
            </w:r>
          </w:p>
        </w:tc>
        <w:tc>
          <w:tcPr>
            <w:tcW w:w="83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0.825</w:t>
            </w:r>
          </w:p>
        </w:tc>
        <w:tc>
          <w:tcPr>
            <w:tcW w:w="126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0.829</w:t>
            </w:r>
          </w:p>
        </w:tc>
      </w:tr>
      <w:tr w:rsidR="00AB4F51" w:rsidRPr="00AB4F51" w:rsidTr="00AB4F51">
        <w:trPr>
          <w:trHeight w:val="142"/>
        </w:trPr>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p>
        </w:tc>
        <w:tc>
          <w:tcPr>
            <w:tcW w:w="9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Local</w:t>
            </w:r>
          </w:p>
        </w:tc>
        <w:tc>
          <w:tcPr>
            <w:tcW w:w="11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0.858</w:t>
            </w:r>
          </w:p>
        </w:tc>
        <w:tc>
          <w:tcPr>
            <w:tcW w:w="83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0.856</w:t>
            </w:r>
          </w:p>
        </w:tc>
        <w:tc>
          <w:tcPr>
            <w:tcW w:w="126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0.855</w:t>
            </w:r>
          </w:p>
        </w:tc>
      </w:tr>
      <w:tr w:rsidR="00AB4F51" w:rsidRPr="00AB4F51" w:rsidTr="00AB4F51">
        <w:trPr>
          <w:trHeight w:val="70"/>
        </w:trPr>
        <w:tc>
          <w:tcPr>
            <w:tcW w:w="11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Glendale</w:t>
            </w:r>
          </w:p>
        </w:tc>
        <w:tc>
          <w:tcPr>
            <w:tcW w:w="9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Global</w:t>
            </w:r>
          </w:p>
        </w:tc>
        <w:tc>
          <w:tcPr>
            <w:tcW w:w="114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0.856</w:t>
            </w:r>
          </w:p>
        </w:tc>
        <w:tc>
          <w:tcPr>
            <w:tcW w:w="83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0.881</w:t>
            </w:r>
          </w:p>
        </w:tc>
        <w:tc>
          <w:tcPr>
            <w:tcW w:w="126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AB4F51" w:rsidRPr="00AB4F51" w:rsidRDefault="00AB4F51" w:rsidP="00AB4F51">
            <w:pPr>
              <w:pStyle w:val="NoSpacing"/>
            </w:pPr>
            <w:r w:rsidRPr="00AB4F51">
              <w:t>0.868</w:t>
            </w:r>
          </w:p>
        </w:tc>
      </w:tr>
      <w:tr w:rsidR="00AB4F51" w:rsidRPr="00AB4F51" w:rsidTr="00AB4F51">
        <w:trPr>
          <w:trHeight w:val="259"/>
        </w:trPr>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p>
        </w:tc>
        <w:tc>
          <w:tcPr>
            <w:tcW w:w="9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Local</w:t>
            </w:r>
          </w:p>
        </w:tc>
        <w:tc>
          <w:tcPr>
            <w:tcW w:w="11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0.799</w:t>
            </w:r>
          </w:p>
        </w:tc>
        <w:tc>
          <w:tcPr>
            <w:tcW w:w="83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 xml:space="preserve">0.806 </w:t>
            </w:r>
          </w:p>
        </w:tc>
        <w:tc>
          <w:tcPr>
            <w:tcW w:w="126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AB4F51" w:rsidRPr="00AB4F51" w:rsidRDefault="00AB4F51" w:rsidP="00AB4F51">
            <w:pPr>
              <w:pStyle w:val="NoSpacing"/>
            </w:pPr>
            <w:r w:rsidRPr="00AB4F51">
              <w:t xml:space="preserve">0.802 </w:t>
            </w:r>
          </w:p>
        </w:tc>
      </w:tr>
    </w:tbl>
    <w:p w:rsidR="00AB4F51" w:rsidRDefault="00B96885" w:rsidP="00D52CF4">
      <w:pPr>
        <w:pStyle w:val="NoSpacing"/>
      </w:pPr>
      <w:r>
        <w:rPr>
          <w:noProof/>
        </w:rPr>
        <w:drawing>
          <wp:inline distT="0" distB="0" distL="0" distR="0">
            <wp:extent cx="2152650" cy="1581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96885" w:rsidRDefault="00B96885" w:rsidP="00D52CF4">
      <w:pPr>
        <w:pStyle w:val="NoSpacing"/>
      </w:pPr>
    </w:p>
    <w:p w:rsidR="009C5CD1" w:rsidRDefault="009C5CD1" w:rsidP="00D52CF4">
      <w:pPr>
        <w:pStyle w:val="NoSpacing"/>
      </w:pPr>
    </w:p>
    <w:p w:rsidR="009C5CD1" w:rsidRDefault="009C5CD1" w:rsidP="00D52CF4">
      <w:pPr>
        <w:pStyle w:val="NoSpacing"/>
      </w:pPr>
    </w:p>
    <w:p w:rsidR="009C5CD1" w:rsidRDefault="009C5CD1" w:rsidP="00D52CF4">
      <w:pPr>
        <w:pStyle w:val="NoSpacing"/>
      </w:pPr>
      <w:r>
        <w:t>Analysis:</w:t>
      </w:r>
    </w:p>
    <w:p w:rsidR="009C5CD1" w:rsidRDefault="009C5CD1" w:rsidP="009C5CD1">
      <w:pPr>
        <w:pStyle w:val="NoSpacing"/>
        <w:numPr>
          <w:ilvl w:val="0"/>
          <w:numId w:val="2"/>
        </w:numPr>
      </w:pPr>
      <w:r>
        <w:t>A feature vector of size 100 is good for about 8000 reviews.</w:t>
      </w:r>
    </w:p>
    <w:p w:rsidR="009C5CD1" w:rsidRDefault="009C5CD1" w:rsidP="009C5CD1">
      <w:pPr>
        <w:pStyle w:val="NoSpacing"/>
        <w:numPr>
          <w:ilvl w:val="0"/>
          <w:numId w:val="2"/>
        </w:numPr>
      </w:pPr>
      <w:r>
        <w:t xml:space="preserve">Local feature vector gives better accuracy than global feature vector </w:t>
      </w:r>
      <w:r w:rsidR="004F3C38">
        <w:t>for review of that particular city because</w:t>
      </w:r>
    </w:p>
    <w:p w:rsidR="004F3C38" w:rsidRDefault="004F3C38" w:rsidP="004F3C38">
      <w:pPr>
        <w:pStyle w:val="NoSpacing"/>
        <w:numPr>
          <w:ilvl w:val="0"/>
          <w:numId w:val="4"/>
        </w:numPr>
      </w:pPr>
      <w:r>
        <w:t>Local TF-IDF captures all the features that are more informative regarding reviews of that city.</w:t>
      </w:r>
    </w:p>
    <w:p w:rsidR="004F3C38" w:rsidRDefault="004F3C38" w:rsidP="004F3C38">
      <w:pPr>
        <w:pStyle w:val="NoSpacing"/>
        <w:numPr>
          <w:ilvl w:val="0"/>
          <w:numId w:val="4"/>
        </w:numPr>
      </w:pPr>
      <w:r>
        <w:t>Global TF-IDF creates a generic list of sentiment words that apply to any review but not very specific to task we are trying to accomplish.</w:t>
      </w:r>
      <w:bookmarkStart w:id="0" w:name="_GoBack"/>
      <w:bookmarkEnd w:id="0"/>
    </w:p>
    <w:sectPr w:rsidR="004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37EDA"/>
    <w:multiLevelType w:val="hybridMultilevel"/>
    <w:tmpl w:val="AC803630"/>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037CAF"/>
    <w:multiLevelType w:val="hybridMultilevel"/>
    <w:tmpl w:val="EA36D844"/>
    <w:lvl w:ilvl="0" w:tplc="36608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803CE7"/>
    <w:multiLevelType w:val="hybridMultilevel"/>
    <w:tmpl w:val="6AAA6100"/>
    <w:lvl w:ilvl="0" w:tplc="6C94D6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22C99"/>
    <w:multiLevelType w:val="hybridMultilevel"/>
    <w:tmpl w:val="7D50F1CA"/>
    <w:lvl w:ilvl="0" w:tplc="FF2E3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FF"/>
    <w:rsid w:val="00036088"/>
    <w:rsid w:val="0004021A"/>
    <w:rsid w:val="000A24FF"/>
    <w:rsid w:val="000C0DD4"/>
    <w:rsid w:val="000E0B48"/>
    <w:rsid w:val="000F4770"/>
    <w:rsid w:val="0013225F"/>
    <w:rsid w:val="00133034"/>
    <w:rsid w:val="00161424"/>
    <w:rsid w:val="0018012A"/>
    <w:rsid w:val="00194D80"/>
    <w:rsid w:val="001B2D49"/>
    <w:rsid w:val="001C5B2F"/>
    <w:rsid w:val="00284157"/>
    <w:rsid w:val="002D085D"/>
    <w:rsid w:val="002F4954"/>
    <w:rsid w:val="003D11E1"/>
    <w:rsid w:val="003D4B85"/>
    <w:rsid w:val="003E318B"/>
    <w:rsid w:val="00414B77"/>
    <w:rsid w:val="00424DDC"/>
    <w:rsid w:val="00445D2B"/>
    <w:rsid w:val="00455F12"/>
    <w:rsid w:val="004F3C38"/>
    <w:rsid w:val="005E1AE9"/>
    <w:rsid w:val="006F3051"/>
    <w:rsid w:val="006F719D"/>
    <w:rsid w:val="00732CD5"/>
    <w:rsid w:val="008903DB"/>
    <w:rsid w:val="009068BB"/>
    <w:rsid w:val="00976EAF"/>
    <w:rsid w:val="00987979"/>
    <w:rsid w:val="00992E2E"/>
    <w:rsid w:val="009C5CD1"/>
    <w:rsid w:val="009E27BF"/>
    <w:rsid w:val="00A24790"/>
    <w:rsid w:val="00AB4F51"/>
    <w:rsid w:val="00B8779F"/>
    <w:rsid w:val="00B96885"/>
    <w:rsid w:val="00BA30A4"/>
    <w:rsid w:val="00C21025"/>
    <w:rsid w:val="00C74073"/>
    <w:rsid w:val="00D24585"/>
    <w:rsid w:val="00D52CF4"/>
    <w:rsid w:val="00D665B4"/>
    <w:rsid w:val="00DA0D3E"/>
    <w:rsid w:val="00DE65A7"/>
    <w:rsid w:val="00DF0856"/>
    <w:rsid w:val="00E703FF"/>
    <w:rsid w:val="00E83FC6"/>
    <w:rsid w:val="00EB58B4"/>
    <w:rsid w:val="00F50C1B"/>
    <w:rsid w:val="00FA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66DF9-8AAD-49DD-BD74-79232801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12A"/>
    <w:pPr>
      <w:spacing w:after="0" w:line="240" w:lineRule="auto"/>
    </w:pPr>
  </w:style>
  <w:style w:type="table" w:styleId="TableGrid">
    <w:name w:val="Table Grid"/>
    <w:basedOn w:val="TableNormal"/>
    <w:uiPriority w:val="39"/>
    <w:rsid w:val="00DA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74157">
      <w:bodyDiv w:val="1"/>
      <w:marLeft w:val="0"/>
      <w:marRight w:val="0"/>
      <w:marTop w:val="0"/>
      <w:marBottom w:val="0"/>
      <w:divBdr>
        <w:top w:val="none" w:sz="0" w:space="0" w:color="auto"/>
        <w:left w:val="none" w:sz="0" w:space="0" w:color="auto"/>
        <w:bottom w:val="none" w:sz="0" w:space="0" w:color="auto"/>
        <w:right w:val="none" w:sz="0" w:space="0" w:color="auto"/>
      </w:divBdr>
    </w:div>
    <w:div w:id="1095056836">
      <w:bodyDiv w:val="1"/>
      <w:marLeft w:val="0"/>
      <w:marRight w:val="0"/>
      <w:marTop w:val="0"/>
      <w:marBottom w:val="0"/>
      <w:divBdr>
        <w:top w:val="none" w:sz="0" w:space="0" w:color="auto"/>
        <w:left w:val="none" w:sz="0" w:space="0" w:color="auto"/>
        <w:bottom w:val="none" w:sz="0" w:space="0" w:color="auto"/>
        <w:right w:val="none" w:sz="0" w:space="0" w:color="auto"/>
      </w:divBdr>
    </w:div>
    <w:div w:id="1894122757">
      <w:bodyDiv w:val="1"/>
      <w:marLeft w:val="0"/>
      <w:marRight w:val="0"/>
      <w:marTop w:val="0"/>
      <w:marBottom w:val="0"/>
      <w:divBdr>
        <w:top w:val="none" w:sz="0" w:space="0" w:color="auto"/>
        <w:left w:val="none" w:sz="0" w:space="0" w:color="auto"/>
        <w:bottom w:val="none" w:sz="0" w:space="0" w:color="auto"/>
        <w:right w:val="none" w:sz="0" w:space="0" w:color="auto"/>
      </w:divBdr>
      <w:divsChild>
        <w:div w:id="1648709012">
          <w:marLeft w:val="0"/>
          <w:marRight w:val="0"/>
          <w:marTop w:val="0"/>
          <w:marBottom w:val="0"/>
          <w:divBdr>
            <w:top w:val="none" w:sz="0" w:space="0" w:color="auto"/>
            <w:left w:val="none" w:sz="0" w:space="0" w:color="auto"/>
            <w:bottom w:val="none" w:sz="0" w:space="0" w:color="auto"/>
            <w:right w:val="none" w:sz="0" w:space="0" w:color="auto"/>
          </w:divBdr>
          <w:divsChild>
            <w:div w:id="10153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Global</c:v>
                </c:pt>
              </c:strCache>
            </c:strRef>
          </c:tx>
          <c:spPr>
            <a:solidFill>
              <a:schemeClr val="accent1"/>
            </a:solidFill>
            <a:ln>
              <a:noFill/>
            </a:ln>
            <a:effectLst/>
          </c:spPr>
          <c:invertIfNegative val="0"/>
          <c:cat>
            <c:strRef>
              <c:f>Sheet1!$A$2:$A$5</c:f>
              <c:strCache>
                <c:ptCount val="3"/>
                <c:pt idx="0">
                  <c:v>Phoenix</c:v>
                </c:pt>
                <c:pt idx="1">
                  <c:v>Las Vegas</c:v>
                </c:pt>
                <c:pt idx="2">
                  <c:v>Glendale</c:v>
                </c:pt>
              </c:strCache>
            </c:strRef>
          </c:cat>
          <c:val>
            <c:numRef>
              <c:f>Sheet1!$B$2:$B$5</c:f>
              <c:numCache>
                <c:formatCode>General</c:formatCode>
                <c:ptCount val="4"/>
                <c:pt idx="0">
                  <c:v>79.61</c:v>
                </c:pt>
                <c:pt idx="1">
                  <c:v>82.45</c:v>
                </c:pt>
                <c:pt idx="2">
                  <c:v>79.45</c:v>
                </c:pt>
              </c:numCache>
            </c:numRef>
          </c:val>
        </c:ser>
        <c:ser>
          <c:idx val="1"/>
          <c:order val="1"/>
          <c:tx>
            <c:strRef>
              <c:f>Sheet1!$C$1</c:f>
              <c:strCache>
                <c:ptCount val="1"/>
                <c:pt idx="0">
                  <c:v>Local</c:v>
                </c:pt>
              </c:strCache>
            </c:strRef>
          </c:tx>
          <c:spPr>
            <a:solidFill>
              <a:schemeClr val="accent2"/>
            </a:solidFill>
            <a:ln>
              <a:noFill/>
            </a:ln>
            <a:effectLst/>
          </c:spPr>
          <c:invertIfNegative val="0"/>
          <c:cat>
            <c:strRef>
              <c:f>Sheet1!$A$2:$A$5</c:f>
              <c:strCache>
                <c:ptCount val="3"/>
                <c:pt idx="0">
                  <c:v>Phoenix</c:v>
                </c:pt>
                <c:pt idx="1">
                  <c:v>Las Vegas</c:v>
                </c:pt>
                <c:pt idx="2">
                  <c:v>Glendale</c:v>
                </c:pt>
              </c:strCache>
            </c:strRef>
          </c:cat>
          <c:val>
            <c:numRef>
              <c:f>Sheet1!$C$2:$C$5</c:f>
              <c:numCache>
                <c:formatCode>General</c:formatCode>
                <c:ptCount val="4"/>
                <c:pt idx="0">
                  <c:v>84.76</c:v>
                </c:pt>
                <c:pt idx="1">
                  <c:v>85.47</c:v>
                </c:pt>
                <c:pt idx="2">
                  <c:v>80.59</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Phoenix</c:v>
                </c:pt>
                <c:pt idx="1">
                  <c:v>Las Vegas</c:v>
                </c:pt>
                <c:pt idx="2">
                  <c:v>Glendale</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964042320"/>
        <c:axId val="964043408"/>
      </c:barChart>
      <c:catAx>
        <c:axId val="96404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043408"/>
        <c:crosses val="autoZero"/>
        <c:auto val="1"/>
        <c:lblAlgn val="ctr"/>
        <c:lblOffset val="100"/>
        <c:noMultiLvlLbl val="0"/>
      </c:catAx>
      <c:valAx>
        <c:axId val="96404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04232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Vidhixa Joshi</dc:creator>
  <cp:keywords/>
  <dc:description/>
  <cp:lastModifiedBy>Vidhixa Joshi</cp:lastModifiedBy>
  <cp:revision>42</cp:revision>
  <dcterms:created xsi:type="dcterms:W3CDTF">2014-12-14T16:17:00Z</dcterms:created>
  <dcterms:modified xsi:type="dcterms:W3CDTF">2014-12-14T19:33:00Z</dcterms:modified>
</cp:coreProperties>
</file>