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4A5F" w14:textId="6D4A798F" w:rsidR="00564250" w:rsidRDefault="00E24A62">
      <w:hyperlink r:id="rId4" w:history="1">
        <w:r w:rsidRPr="00E24A62">
          <w:rPr>
            <w:rStyle w:val="Hyperlink"/>
          </w:rPr>
          <w:t>https://public.tableau.com/app/profile/vidhut.sharma/viz/TableauAssesmentByGL/InsightsRegardingtheCarclaimsandconclusion</w:t>
        </w:r>
      </w:hyperlink>
    </w:p>
    <w:sectPr w:rsidR="00564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62"/>
    <w:rsid w:val="000A7933"/>
    <w:rsid w:val="008343C0"/>
    <w:rsid w:val="00E2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8DD8"/>
  <w15:chartTrackingRefBased/>
  <w15:docId w15:val="{1DF5D94E-F457-467B-8471-778C249B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vidhut.sharma/viz/TableauAssesmentByGL/InsightsRegardingtheCarclaimsandconclu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Vidhut Sharma</dc:creator>
  <cp:keywords/>
  <dc:description/>
  <cp:lastModifiedBy>Vidhut Sharma</cp:lastModifiedBy>
  <cp:revision>1</cp:revision>
  <dcterms:created xsi:type="dcterms:W3CDTF">2021-06-18T08:27:00Z</dcterms:created>
  <dcterms:modified xsi:type="dcterms:W3CDTF">2021-06-18T08:29:00Z</dcterms:modified>
</cp:coreProperties>
</file>