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pPr>
      <w:r>
        <w:rPr>
          <w:rFonts w:eastAsia="Times New Roman" w:cs="Times New Roman"/>
          <w:b/>
          <w:color w:themeColor="text1" w:val="auto"/>
          <w:szCs w:val="24"/>
          <w:lang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n-US" w:eastAsia="el-GR"/>
        </w:rPr>
      </w:pPr>
      <w:r>
        <w:rPr/>
      </w:r>
    </w:p>
    <w:p>
      <w:pPr>
        <w:pStyle w:val="Normal"/>
        <w:keepNext w:val="true"/>
        <w:spacing w:lineRule="auto" w:line="240" w:before="60" w:after="0"/>
        <w:jc w:val="center"/>
        <w:rPr>
          <w:szCs w:val="24"/>
          <w:lang w:val="el-GR"/>
        </w:rPr>
      </w:pPr>
      <w:r>
        <w:rPr>
          <w:rFonts w:cs="Times New Roman"/>
          <w:b/>
          <w:color w:themeColor="text1" w:val="auto"/>
          <w:szCs w:val="24"/>
          <w:u w:val="single"/>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 Δ. Θεοδόση Παλιμέρη</w:t>
      </w:r>
      <w:r>
        <w:rPr>
          <w:rFonts w:cs="Times New Roman"/>
          <w:b/>
          <w:color w:themeColor="text1" w:val="auto"/>
          <w:szCs w:val="24"/>
          <w:vertAlign w:val="superscript"/>
          <w:lang w:val="el-GR"/>
        </w:rPr>
        <w:t>1</w:t>
      </w:r>
      <w:r>
        <w:rPr>
          <w:rFonts w:cs="Times New Roman"/>
          <w:b/>
          <w:color w:themeColor="text1" w:val="auto"/>
          <w:szCs w:val="24"/>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pPr>
      <w:r>
        <w:rPr>
          <w:rFonts w:asciiTheme="minorHAnsi" w:hAnsiTheme="minorHAnsi"/>
          <w:color w:themeColor="text1" w:val="auto"/>
          <w:szCs w:val="24"/>
          <w:vertAlign w:val="superscript"/>
          <w:lang w:val="el-GR"/>
        </w:rPr>
        <w:t>1</w:t>
      </w:r>
      <w:r>
        <w:rPr>
          <w:rFonts w:asciiTheme="minorHAnsi" w:hAnsiTheme="minorHAnsi"/>
          <w:color w:themeColor="text1" w:val="auto"/>
          <w:position w:val="0"/>
          <w:sz w:val="24"/>
          <w:szCs w:val="24"/>
          <w:vertAlign w:val="baseline"/>
          <w:lang w:val="el-GR"/>
        </w:rPr>
        <w:t>Τμήμα</w:t>
      </w:r>
      <w:r>
        <w:rPr>
          <w:rFonts w:asciiTheme="minorHAnsi" w:hAnsiTheme="minorHAnsi"/>
          <w:color w:themeColor="text1" w:val="auto"/>
          <w:position w:val="0"/>
          <w:sz w:val="24"/>
          <w:szCs w:val="24"/>
          <w:vertAlign w:val="baseline"/>
          <w:lang w:val="el-GR"/>
        </w:rPr>
        <w:t xml:space="preserve">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ΠΕΡΙΛΗΨΗ</w:t>
      </w:r>
    </w:p>
    <w:p>
      <w:pPr>
        <w:pStyle w:val="BodyText"/>
        <w:widowControl w:val="false"/>
        <w:suppressAutoHyphens w:val="true"/>
        <w:bidi w:val="0"/>
        <w:spacing w:lineRule="auto" w:line="240"/>
        <w:rPr>
          <w:rFonts w:ascii="Calibri" w:hAnsi="Calibri" w:cs="Times New Roman" w:asciiTheme="minorHAnsi" w:hAnsiTheme="minorHAnsi"/>
          <w:color w:themeColor="text1" w:val="auto"/>
          <w:sz w:val="24"/>
        </w:rPr>
      </w:pPr>
      <w:r>
        <w:rPr>
          <w:rFonts w:cs="Times New Roman" w:ascii="Calibri" w:hAnsi="Calibri"/>
          <w:color w:themeColor="text1" w:val="auto"/>
          <w:sz w:val="24"/>
        </w:rPr>
        <w:t xml:space="preserve">Τα υπολείμματα τροφίμων αποτελούν μία από τις σημαντικότερες κατηγορίες οργανικών αποβλήτων. Περίπου 1.3 δις τόνοι υπολειμμάτων τροφίμων απορρίπτονται ετησίως. Η μη ορθή διαχείριση των αποβλήτων αυτών επιβαρύνει κάθε έναν από τους τρεις πυλώνες της βιωσιμότητας. Επομένως, είναι επιτακτική η ανάγκη εφαρμογής τεχνολογιών διαχείρισης ή/και αξιοποίησης των αποβλήτων αυτών, οι οποίες να είναι εύκολα εφαρμόσιμες σε μεγάλη κλίμακα. Τα υπολείμματα τροφίμων έχουν υψηλή περιεκτικότητα σε βιοπολυμερή (άμυλο, ημικυτταρίνη, κυτταρίνη) και η υδρόλυσή τους αποτελεί σημαντικό στάδιο για την επιτυχή βιοαποδόμησή τους και περαιτέρω αξιοποίησή τους. Η υδρόλυση γίνεται συνήθως ενζυμικά καθώς έχει καταγραφεί πως επιφέρει υψηλότερες αποδόσεις και δεν παράγει τοξικά προϊόντα που μπορούν να λειτουργήσουν παρεμποδιστικά στα βιολογικά στάδια που ακολουθούν. Παρόλα αυτά, το υψηλό κόστος των διαφόρων ενζυμικών σκευασμάτων συνήθως εμποδίζει την εφαρμογή της σε μεγάλη κλίμακα. Μία υποσχόμενη και οικονομικά εφαρμόσιμη λύση είναι η χρήση σκευασμάτων τα οποία περιέχουν ένζυμα και μικροοργανισμούς. Αυτά τα σκευάσματα επιτρέπουν την ταυτόχρονη υδρόλυση και ζύμωση των υπολειμμάτων τροφίμων για παραγωγή χρήσιμων προϊόντων, όπως η αιθανόλη και τα πτητικά λιπαρά οξέα, τα οποία μπορούν είτε να ανακτηθούν ως έχουν ή να χρησιμοποιηθούν σε διεργασίες που ακολουθούν, όπως η αναερόβια χώνευση, ως υπόστρωμα για την παραγωγή μεθανίου. </w:t>
      </w:r>
    </w:p>
    <w:p>
      <w:pPr>
        <w:pStyle w:val="BodyText"/>
        <w:widowControl w:val="false"/>
        <w:suppressAutoHyphens w:val="true"/>
        <w:bidi w:val="0"/>
        <w:spacing w:lineRule="auto" w:line="240"/>
        <w:rPr>
          <w:rFonts w:ascii="Calibri" w:hAnsi="Calibri" w:cs="Times New Roman" w:asciiTheme="minorHAnsi" w:hAnsiTheme="minorHAnsi"/>
          <w:color w:themeColor="text1" w:val="auto"/>
          <w:sz w:val="24"/>
        </w:rPr>
      </w:pPr>
      <w:r>
        <w:rPr>
          <w:rFonts w:cs="Times New Roman" w:ascii="Calibri" w:hAnsi="Calibri"/>
          <w:color w:themeColor="text1" w:val="auto"/>
          <w:sz w:val="24"/>
        </w:rPr>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auto"/>
          <w:sz w:val="24"/>
        </w:rPr>
        <w:t>Σκοπός της παρούσας μελέτης είναι η διερεύνηση της επεξεργασίας των υπολειμμάτων τροφίμων, αρχικά, μέσω της βιοαποδόμησής τους με χρήση σκευασμάτων ενζύμων και μικροοργανισμών του εμπορίου, και στη συνέχεια, μέσω αναερόβιας χώνευσης για την παραγωγή βιοαερίου. Κατά την επεξεργασία των υπολειμμάτων τροφίμων σε αντιδραστήρες εργαστηριακής κλίμακας ολικού όγκου 1 λίτρο, μελετήθηκαν παράμετροι όπως η θερμοκρασία και ο χρόνος της βιοαποδόμησης, καθώς και η αρχική ποσότητα του σκευάσματος. Ως μεταβλητές απόκρισης μετρήθηκ</w:t>
      </w:r>
      <w:r>
        <w:rPr>
          <w:rStyle w:val="Hps"/>
          <w:rFonts w:cs="Times New Roman" w:ascii="Calibri" w:hAnsi="Calibri" w:asciiTheme="minorHAnsi" w:hAnsiTheme="minorHAnsi"/>
          <w:color w:themeColor="text1" w:val="auto"/>
          <w:sz w:val="24"/>
        </w:rPr>
        <w:t>αν</w:t>
      </w:r>
      <w:r>
        <w:rPr>
          <w:rStyle w:val="Hps"/>
          <w:rFonts w:cs="Times New Roman" w:ascii="Calibri" w:hAnsi="Calibri" w:asciiTheme="minorHAnsi" w:hAnsiTheme="minorHAnsi"/>
          <w:color w:themeColor="text1" w:val="auto"/>
          <w:sz w:val="24"/>
        </w:rPr>
        <w:t xml:space="preserve"> η ποσότητα και το είδος των προϊόντων που παράγονται. Σύμφωνα με τα αποτελέσματα των εργαστηριακών πειραμάτων, η σακχαροποίηση και βιοαποδόμηση των αποβλήτων τροφίμων μελετήθηκε και σε πιλοτικό αντιδραστήρα 300 λίτρων προσαρμόζοντας τις πιο κρίσιμες λειτουργικές παραμέτρους όπως είναι η ποσότητα σκευάσματος ανά κιλού ξηρού food waste και η παροχή νερού. </w:t>
      </w:r>
      <w:r>
        <w:rPr>
          <w:rStyle w:val="Hps"/>
          <w:rFonts w:cs="Times New Roman" w:ascii="Calibri" w:hAnsi="Calibri" w:asciiTheme="minorHAnsi" w:hAnsiTheme="minorHAnsi"/>
          <w:color w:themeColor="text1" w:val="auto"/>
          <w:sz w:val="24"/>
        </w:rPr>
        <w:t>Τα υδρολύματα που παράχθηκαν χρησιμοποιήθηκαν ως υποστρώματα σε batch δοκιμές αναερόβιας χώνευσης για να προσδιορισθεί η μέγιστη ποσότητα καθώς και ο ρυθμός παραγωγής μεθανίου από αυτά.</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color w:themeColor="text1" w:val="auto"/>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 xml:space="preserve">ΛΕΞΕΙΣ ΚΛΕΙΔΙΑ: </w:t>
      </w:r>
      <w:r>
        <w:rPr>
          <w:rFonts w:eastAsia="Times New Roman" w:cs="Times New Roman" w:ascii="Calibri" w:hAnsi="Calibri" w:asciiTheme="minorHAnsi" w:hAnsiTheme="minorHAnsi"/>
          <w:color w:themeColor="text1" w:val="auto"/>
          <w:sz w:val="22"/>
          <w:szCs w:val="22"/>
          <w:lang w:val="el-GR" w:eastAsia="el-GR"/>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
    </w:p>
    <w:p>
      <w:pPr>
        <w:pStyle w:val="BodyText"/>
        <w:widowControl w:val="false"/>
        <w:spacing w:lineRule="auto" w:line="240" w:before="240" w:after="60"/>
        <w:rPr>
          <w:rFonts w:ascii="Calibri" w:hAnsi="Calibri" w:asciiTheme="minorHAnsi" w:hAnsiTheme="minorHAnsi"/>
        </w:rPr>
      </w:pPr>
      <w:r>
        <w:rPr/>
      </w:r>
    </w:p>
    <w:p>
      <w:pPr>
        <w:pStyle w:val="BodyText"/>
        <w:widowControl w:val="false"/>
        <w:spacing w:lineRule="auto" w:line="240" w:before="240" w:after="60"/>
        <w:rPr>
          <w:rFonts w:ascii="Calibri" w:hAnsi="Calibri" w:asciiTheme="minorHAnsi" w:hAnsiTheme="minorHAnsi"/>
        </w:rPr>
      </w:pPr>
      <w:r>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ΕΙΣΑΓΩΓΗ</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Η έκταση της εργασίας θα πρέπει να είναι </w:t>
      </w:r>
      <w:r>
        <w:rPr>
          <w:rFonts w:cs="Times New Roman" w:ascii="Calibri" w:hAnsi="Calibri" w:asciiTheme="minorHAnsi" w:hAnsiTheme="minorHAnsi"/>
          <w:color w:themeColor="text1" w:val="auto"/>
          <w:u w:val="single"/>
        </w:rPr>
        <w:t>από 4 σελίδες το ελάχιστο έως 6</w:t>
      </w:r>
      <w:bookmarkStart w:id="0" w:name="_GoBack1"/>
      <w:bookmarkEnd w:id="0"/>
      <w:r>
        <w:rPr>
          <w:rFonts w:cs="Times New Roman" w:ascii="Calibri" w:hAnsi="Calibri" w:asciiTheme="minorHAnsi" w:hAnsiTheme="minorHAnsi"/>
          <w:color w:themeColor="text1" w:val="auto"/>
          <w:u w:val="single"/>
        </w:rPr>
        <w:t xml:space="preserve"> σελίδες το μέγιστο</w:t>
      </w:r>
      <w:r>
        <w:rPr>
          <w:rFonts w:cs="Times New Roman" w:ascii="Calibri" w:hAnsi="Calibri" w:asciiTheme="minorHAnsi" w:hAnsiTheme="minorHAnsi"/>
          <w:color w:themeColor="text1" w:val="auto"/>
        </w:rPr>
        <w:t>. Κάθε εργασία πρέπει να υποβάλλεται ως αρχείο .</w:t>
      </w:r>
      <w:r>
        <w:rPr>
          <w:rFonts w:cs="Times New Roman" w:ascii="Calibri" w:hAnsi="Calibri" w:asciiTheme="minorHAnsi" w:hAnsiTheme="minorHAnsi"/>
          <w:color w:themeColor="text1" w:val="auto"/>
          <w:lang w:val="en-GB"/>
        </w:rPr>
        <w:t>pdf</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ΜΕΘΟΔΟΛΟΓΙΑ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ΣΥΛΛΟΓΗ ΚΑΙ ΠΡΟΠΕΞΕΡΓΑΣΙΑ ΥΠΟΣΤΡΩΜΑΤΟΣ</w:t>
      </w:r>
    </w:p>
    <w:p>
      <w:pPr>
        <w:pStyle w:val="BodyText"/>
        <w:widowControl w:val="false"/>
        <w:suppressAutoHyphens w:val="true"/>
        <w:bidi w:val="0"/>
        <w:spacing w:lineRule="auto" w:line="240" w:before="240" w:after="60"/>
        <w:rPr>
          <w:b w:val="false"/>
          <w:bCs w:val="false"/>
        </w:rPr>
      </w:pPr>
      <w:r>
        <w:rPr>
          <w:rFonts w:cs="Times New Roman" w:ascii="Calibri" w:hAnsi="Calibri" w:asciiTheme="minorHAnsi" w:hAnsiTheme="minorHAnsi"/>
          <w:b w:val="false"/>
          <w:bCs w:val="false"/>
          <w:color w:themeColor="text1" w:val="auto"/>
          <w:sz w:val="24"/>
        </w:rPr>
        <w:t xml:space="preserve">Τα υπολείμματα τροφών (FW) που χρησιμοποιήθηκαν για τα πειράματα εργαστηριακής κλίμακας συλλέχθηκαν από το εστιατόριο του Εθνικού Μετσόβιου Πολυτεχνείου. Αρχικά, αντικείμενα όπως κόκκαλα, χαρτί και άλλα αφαιρέθηκαν από τα υπολείμματα. Έπειτα, τα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Το υλικό αυτό αποθηκεύτηκε σε κατάψυξη στους - 20 </w:t>
      </w:r>
      <w:r>
        <w:rPr>
          <w:rFonts w:cs="Times New Roman" w:ascii="Calibri" w:hAnsi="Calibri" w:asciiTheme="minorHAnsi" w:hAnsiTheme="minorHAnsi"/>
          <w:b w:val="false"/>
          <w:bCs w:val="false"/>
          <w:color w:themeColor="text1" w:val="auto"/>
          <w:sz w:val="24"/>
          <w:vertAlign w:val="superscript"/>
        </w:rPr>
        <w:t>o</w:t>
      </w:r>
      <w:r>
        <w:rPr>
          <w:rFonts w:cs="Times New Roman" w:ascii="Calibri" w:hAnsi="Calibri" w:asciiTheme="minorHAnsi" w:hAnsiTheme="minorHAnsi"/>
          <w:b w:val="false"/>
          <w:bCs w:val="false"/>
          <w:color w:themeColor="text1" w:val="auto"/>
          <w:position w:val="0"/>
          <w:sz w:val="24"/>
          <w:sz w:val="24"/>
          <w:vertAlign w:val="baseline"/>
        </w:rPr>
        <w:t>C για</w:t>
      </w:r>
      <w:r>
        <w:rPr>
          <w:rFonts w:cs="Times New Roman" w:ascii="Calibri" w:hAnsi="Calibri" w:asciiTheme="minorHAnsi" w:hAnsiTheme="minorHAnsi"/>
          <w:b w:val="false"/>
          <w:bCs w:val="false"/>
          <w:color w:themeColor="text1" w:val="auto"/>
          <w:sz w:val="24"/>
        </w:rPr>
        <w:t xml:space="preserve"> περαίτερω χρήση. </w:t>
      </w:r>
      <w:r>
        <w:rPr>
          <w:rFonts w:cs="Times New Roman" w:ascii="Calibri" w:hAnsi="Calibri" w:asciiTheme="minorHAnsi" w:hAnsiTheme="minorHAnsi"/>
          <w:b w:val="false"/>
          <w:bCs w:val="false"/>
          <w:color w:themeColor="text1" w:val="auto"/>
        </w:rPr>
        <w:t>Για τα πειράματα πιλοτικής κλίμακας, ακολουθήθηκε μία παρόμοια διαδικασία, με βασική διαφορά ότι δεν υπήρχε απαίτηση σε τεμαχισμό καθώς ο ίδιος ο αντιδραστήρας είχε την δυνατότητα αυτή.</w:t>
      </w:r>
    </w:p>
    <w:p>
      <w:pPr>
        <w:pStyle w:val="BodyText"/>
        <w:widowControl w:val="false"/>
        <w:spacing w:lineRule="auto" w:line="240" w:before="240" w:after="60"/>
        <w:rPr>
          <w:b/>
          <w:bCs/>
        </w:rPr>
      </w:pPr>
      <w:r>
        <w:rPr>
          <w:rFonts w:cs="Times New Roman" w:ascii="Calibri" w:hAnsi="Calibri" w:asciiTheme="minorHAnsi" w:hAnsiTheme="minorHAnsi"/>
          <w:b/>
          <w:bCs/>
          <w:color w:themeColor="text1" w:val="auto"/>
        </w:rPr>
        <w:t>ΕΜΒΟΛΙΟ</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 xml:space="preserve">Για την βιοαποδόμηση της οργανικής ύλης χρησιμοποιήθηκε εμπορικό σκεύασμα ενζύμων και μικροοργανισμών (Ένζυμα PROGEN </w:t>
      </w:r>
      <w:hyperlink r:id="rId2">
        <w:r>
          <w:rPr>
            <w:rStyle w:val="Hyperlink"/>
            <w:rFonts w:cs="Times New Roman" w:ascii="Calibri" w:hAnsi="Calibri" w:asciiTheme="minorHAnsi" w:hAnsiTheme="minorHAnsi"/>
            <w:b w:val="false"/>
            <w:bCs w:val="false"/>
            <w:color w:themeColor="text1" w:val="auto"/>
            <w:sz w:val="24"/>
          </w:rPr>
          <w:t>https://www.progen-enzymes.com/</w:t>
        </w:r>
      </w:hyperlink>
      <w:r>
        <w:rPr>
          <w:rFonts w:cs="Times New Roman" w:ascii="Calibri" w:hAnsi="Calibri" w:asciiTheme="minorHAnsi" w:hAnsiTheme="minorHAnsi"/>
          <w:b w:val="false"/>
          <w:bCs w:val="false"/>
          <w:color w:themeColor="text1" w:val="auto"/>
          <w:sz w:val="24"/>
        </w:rPr>
        <w:t>)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Για την αναερόβια χώνευση χρησιμοποιήθηκε λάσπη από 2 διαφορετικές πηγές (++ αλλά εγώ δεν ξέρω άλλες πληροφορίες).</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ΕΡΓΑΣΤΗΡΙΑΚΗ ΚΛΙΜΑΚΑ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πειράματα βιοαποδόμησης σε εργαστηριακή κλίμακα ήταν διαλείποντος έργου και έγιναν σε όργανο το οποίο έχει 7 διαθέσιμα δοχεία συνολικού όγκου 1000 ml εξοπλισμένα με αναδευτήρες και με δυνατότητα ρύθμισης της θερμοκρασίας.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 </w:t>
      </w:r>
      <w:r>
        <w:rPr>
          <w:rFonts w:cs="Times New Roman" w:ascii="Calibri" w:hAnsi="Calibri"/>
          <w:b w:val="false"/>
          <w:bCs w:val="false"/>
          <w:color w:themeColor="text1" w:val="auto"/>
          <w:sz w:val="24"/>
          <w:vertAlign w:val="superscript"/>
        </w:rPr>
        <w:t>ο</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vertAlign w:val="superscript"/>
        </w:rPr>
        <w:t xml:space="preserve"> </w:t>
      </w:r>
      <w:r>
        <w:rPr>
          <w:rFonts w:cs="Times New Roman" w:ascii="Calibri" w:hAnsi="Calibri"/>
          <w:b w:val="false"/>
          <w:bCs w:val="false"/>
          <w:color w:themeColor="text1" w:val="auto"/>
          <w:position w:val="0"/>
          <w:sz w:val="24"/>
          <w:sz w:val="24"/>
          <w:vertAlign w:val="baseline"/>
        </w:rPr>
        <w:t xml:space="preserve">και </w:t>
      </w:r>
      <w:r>
        <w:rPr>
          <w:rFonts w:cs="Times New Roman" w:ascii="Calibri" w:hAnsi="Calibri"/>
          <w:b w:val="false"/>
          <w:bCs w:val="false"/>
          <w:color w:themeColor="text1" w:val="auto"/>
          <w:sz w:val="24"/>
        </w:rPr>
        <w:t xml:space="preserve">τους 40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rP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ομοιογένια του υποστρώματος και τα στερεά δεν δημιουργούν κάποιο πρόβλημα.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ΠΙΛΟΤΙΚΗ ΚΛΙΜΑΚΑ</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 xml:space="preserve">Για τα πειράματα σε πιλοτική κλίμακα χρησιμοποιήθηκε ο αερόβιος χωνευτήρας ORCA </w:t>
      </w:r>
      <w:r>
        <w:rPr>
          <w:rFonts w:cs="Times New Roman" w:ascii="Calibri" w:hAnsi="Calibri" w:asciiTheme="minorHAnsi" w:hAnsiTheme="minorHAnsi"/>
          <w:b w:val="false"/>
          <w:bCs w:val="false"/>
          <w:color w:themeColor="text1" w:val="auto"/>
          <w:sz w:val="24"/>
        </w:rPr>
        <w:t>χωρητικότητας 300 L</w:t>
      </w:r>
      <w:r>
        <w:rPr>
          <w:rFonts w:cs="Times New Roman" w:ascii="Calibri" w:hAnsi="Calibri" w:asciiTheme="minorHAnsi" w:hAnsiTheme="minorHAnsi"/>
          <w:b w:val="false"/>
          <w:bCs w:val="false"/>
          <w:color w:themeColor="text1" w:val="auto"/>
          <w:sz w:val="24"/>
        </w:rPr>
        <w:t xml:space="preserve"> (</w:t>
      </w:r>
      <w:hyperlink r:id="rId3">
        <w:r>
          <w:rPr>
            <w:rStyle w:val="Hyperlink"/>
            <w:rFonts w:cs="Times New Roman" w:ascii="Calibri" w:hAnsi="Calibri" w:asciiTheme="minorHAnsi" w:hAnsiTheme="minorHAnsi"/>
            <w:b w:val="false"/>
            <w:bCs w:val="false"/>
            <w:color w:themeColor="text1" w:val="auto"/>
            <w:sz w:val="24"/>
          </w:rPr>
          <w:t>https://www.feedtheorca.com/</w:t>
        </w:r>
      </w:hyperlink>
      <w:r>
        <w:rPr>
          <w:rFonts w:cs="Times New Roman" w:ascii="Calibri" w:hAnsi="Calibri" w:asciiTheme="minorHAnsi" w:hAnsiTheme="minorHAnsi"/>
          <w:b w:val="false"/>
          <w:bCs w:val="false"/>
          <w:color w:themeColor="text1" w:val="auto"/>
          <w:sz w:val="24"/>
        </w:rPr>
        <w:t>).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αντιδραστήρας έχει πληρωτικό υλικό, το οποίο επιτρέπει την πιο αποτελεσματική διεξαγωγή της αντίδρασης.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 Στα πειράματα που έγιναν εξετάστηκε η επίδραση </w:t>
      </w:r>
      <w:r>
        <w:rPr>
          <w:rFonts w:cs="Times New Roman" w:ascii="Calibri" w:hAnsi="Calibri"/>
          <w:b w:val="false"/>
          <w:bCs w:val="false"/>
          <w:color w:themeColor="text1" w:val="auto"/>
          <w:sz w:val="24"/>
        </w:rPr>
        <w:t>του ρυθμού τροφοδοσίας του σκευάσματος (mL σκευάσματος/kg ξηρού FW/day) και της παροχής νερού.</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ΑΝΑΕΡΟΒΙΑ ΧΩΝΕΥΣΗ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w:t>
      </w:r>
      <w:r>
        <w:rPr>
          <w:rFonts w:cs="Times New Roman" w:ascii="Calibri" w:hAnsi="Calibri"/>
          <w:b w:val="false"/>
          <w:bCs w:val="false"/>
          <w:color w:themeColor="text1" w:val="auto"/>
          <w:sz w:val="24"/>
        </w:rPr>
        <w:t xml:space="preserve">7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 xml:space="preserve">C </w:t>
      </w:r>
      <w:r>
        <w:rPr>
          <w:rFonts w:cs="Times New Roman" w:ascii="Calibri" w:hAnsi="Calibri"/>
          <w:b w:val="false"/>
          <w:bCs w:val="false"/>
          <w:color w:themeColor="text1" w:val="auto"/>
          <w:sz w:val="24"/>
        </w:rPr>
        <w:t>με ανάδευση 170 rpm. Τα δοχεία σφραγίστηκαν με σιλικόνη για να μην υπάρξουν διαρροές. Το παραγώμενο αέριο αρχικά διοχετεύεται σε διάλυμα καυστικού νατρίου για δέσμευση του διοξειδίου του άνθρακα ενώ το μεθάνιο περνάει σε μία προχοίδα όπου με μέτρηση της μετατόπισης του υγρού υπολογίζεται η παραγωγή αερίου. Η μετατόπιση αυτή καταγράφεται με χρήση κάμερας που υπάρχει στην διάταξη.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Καθώς η καταγραφή του όγκου ήταν 24ωρη, έγινε και κινητική ανάλυση της παραγωγής μεθανίου, με χρήση του τροποποιημένου μοντέλου Gompertz</w:t>
      </w:r>
      <w:r>
        <w:rPr>
          <w:rFonts w:cs="Times New Roman" w:ascii="Calibri" w:hAnsi="Calibri"/>
          <w:b w:val="false"/>
          <w:bCs w:val="false"/>
          <w:color w:themeColor="text1" w:val="auto"/>
          <w:sz w:val="24"/>
          <w:vertAlign w:val="superscript"/>
        </w:rPr>
        <w:t>[1]</w:t>
      </w:r>
      <w:r>
        <w:rPr>
          <w:rFonts w:cs="Times New Roman" w:ascii="Calibri" w:hAnsi="Calibri"/>
          <w:b w:val="false"/>
          <w:bCs w:val="false"/>
          <w:color w:themeColor="text1" w:val="auto"/>
          <w:sz w:val="24"/>
        </w:rPr>
        <w:t xml:space="preserve"> το οποίο έχει χρησιμοποιηθεί εκτενώς στη βιβλιογραφία για την ανάλυση αυτή</w:t>
      </w:r>
      <w:r>
        <w:rPr>
          <w:rFonts w:cs="Times New Roman" w:ascii="Calibri" w:hAnsi="Calibri"/>
          <w:b w:val="false"/>
          <w:bCs w:val="false"/>
          <w:color w:themeColor="text1" w:val="auto"/>
          <w:sz w:val="24"/>
          <w:vertAlign w:val="superscript"/>
        </w:rPr>
        <w:t>[2-4]</w:t>
      </w:r>
      <w:r>
        <w:rPr>
          <w:rFonts w:cs="Times New Roman" w:ascii="Calibri" w:hAnsi="Calibri"/>
          <w:b w:val="false"/>
          <w:bCs w:val="false"/>
          <w:color w:themeColor="text1" w:val="auto"/>
          <w:position w:val="0"/>
          <w:sz w:val="24"/>
          <w:sz w:val="24"/>
          <w:vertAlign w:val="baseline"/>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b w:val="false"/>
          <w:bCs w:val="false"/>
          <w:color w:themeColor="text1" w:val="auto"/>
          <w:sz w:val="24"/>
        </w:rPr>
        <w:t xml:space="preserve">                                                                                         </w:t>
      </w:r>
      <w:r>
        <w:rPr>
          <w:rFonts w:cs="Times New Roman" w:ascii="Calibri" w:hAnsi="Calibri"/>
          <w:b w:val="false"/>
          <w:bCs w:val="false"/>
          <w:color w:themeColor="text1" w:val="auto"/>
          <w:sz w:val="24"/>
        </w:rPr>
        <w:t>(1)</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μοντέλο αυτό έχει τρείς παραμέτρους. Τη μέγιστη δυνατή παραγωγή μεθανίου </w:t>
      </w:r>
      <w:r>
        <w:rPr>
          <w:rFonts w:cs="Times New Roman" w:ascii="Calibri" w:hAnsi="Calibri"/>
          <w:b w:val="false"/>
          <w:bCs w:val="false"/>
          <w:color w:themeColor="text1" w:val="auto"/>
          <w:sz w:val="24"/>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b w:val="false"/>
          <w:bCs w:val="false"/>
          <w:color w:themeColor="text1" w:val="auto"/>
          <w:sz w:val="24"/>
        </w:rPr>
        <w:t xml:space="preserve">, τον μέγιστο ειδικό ρυθμό παραγωγής μεθανίου </w:t>
      </w:r>
      <w:r>
        <w:rPr>
          <w:rFonts w:cs="Times New Roman" w:ascii="Calibri" w:hAnsi="Calibri"/>
          <w:b w:val="false"/>
          <w:bCs w:val="false"/>
          <w:color w:themeColor="text1" w:val="auto"/>
          <w:sz w:val="24"/>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b w:val="false"/>
          <w:bCs w:val="false"/>
          <w:color w:themeColor="text1" w:val="auto"/>
          <w:sz w:val="24"/>
        </w:rPr>
        <w:t xml:space="preserve"> και τον χρόνο καθυστέρησης </w:t>
      </w:r>
      <w:r>
        <w:rPr>
          <w:rFonts w:cs="Times New Roman" w:ascii="Calibri" w:hAnsi="Calibri"/>
          <w:b w:val="false"/>
          <w:bCs w:val="false"/>
          <w:color w:themeColor="text1" w:val="auto"/>
          <w:sz w:val="24"/>
        </w:rPr>
      </w:r>
      <m:oMath xmlns:m="http://schemas.openxmlformats.org/officeDocument/2006/math">
        <m:r>
          <w:rPr>
            <w:rFonts w:ascii="Cambria Math" w:hAnsi="Cambria Math"/>
          </w:rPr>
          <m:t xml:space="preserve">λ</m:t>
        </m:r>
      </m:oMath>
      <w:r>
        <w:rPr>
          <w:rFonts w:cs="Times New Roman" w:ascii="Calibri" w:hAnsi="Calibri"/>
          <w:b w:val="false"/>
          <w:bCs w:val="false"/>
          <w:color w:themeColor="text1" w:val="auto"/>
          <w:sz w:val="24"/>
        </w:rPr>
        <w:t xml:space="preserve">. </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position w:val="0"/>
          <w:sz w:val="24"/>
          <w:sz w:val="24"/>
          <w:vertAlign w:val="baseline"/>
        </w:rPr>
        <w:t>Η προσαρμογή στο μοντέλο έγινε με την γλώσσα προγραμματισμού Julia (</w:t>
      </w:r>
      <w:hyperlink r:id="rId4">
        <w:r>
          <w:rPr>
            <w:rStyle w:val="Hyperlink"/>
            <w:rFonts w:cs="Times New Roman" w:ascii="Calibri" w:hAnsi="Calibri" w:asciiTheme="minorHAnsi" w:hAnsiTheme="minorHAnsi"/>
            <w:b w:val="false"/>
            <w:bCs w:val="false"/>
            <w:color w:themeColor="text1" w:val="auto"/>
            <w:position w:val="0"/>
            <w:sz w:val="24"/>
            <w:sz w:val="24"/>
            <w:vertAlign w:val="baseline"/>
          </w:rPr>
          <w:t>https://julialang.org/</w:t>
        </w:r>
      </w:hyperlink>
      <w:r>
        <w:rPr>
          <w:rFonts w:cs="Times New Roman" w:ascii="Calibri" w:hAnsi="Calibri" w:asciiTheme="minorHAnsi" w:hAnsiTheme="minorHAnsi"/>
          <w:b w:val="false"/>
          <w:bCs w:val="false"/>
          <w:color w:themeColor="text1" w:val="auto"/>
          <w:position w:val="0"/>
          <w:sz w:val="24"/>
          <w:sz w:val="24"/>
          <w:vertAlign w:val="baseline"/>
        </w:rPr>
        <w:t>) και συγκεκριμένα, την βιβλιοθήκη LsqFit.jl (</w:t>
      </w:r>
      <w:hyperlink r:id="rId5">
        <w:r>
          <w:rPr>
            <w:rStyle w:val="Hyperlink"/>
            <w:rFonts w:cs="Times New Roman" w:ascii="Calibri" w:hAnsi="Calibri" w:asciiTheme="minorHAnsi" w:hAnsiTheme="minorHAnsi"/>
            <w:b w:val="false"/>
            <w:bCs w:val="false"/>
            <w:color w:themeColor="text1" w:val="auto"/>
            <w:position w:val="0"/>
            <w:sz w:val="24"/>
            <w:sz w:val="24"/>
            <w:vertAlign w:val="baseline"/>
          </w:rPr>
          <w:t>https://github.com/JuliaNLSolvers/LsqFit.jl</w:t>
        </w:r>
      </w:hyperlink>
      <w:hyperlink r:id="rId6">
        <w:r>
          <w:rPr>
            <w:rFonts w:cs="Times New Roman" w:ascii="Calibri" w:hAnsi="Calibri" w:asciiTheme="minorHAnsi" w:hAnsiTheme="minorHAnsi"/>
            <w:b w:val="false"/>
            <w:bCs w:val="false"/>
            <w:color w:themeColor="text1" w:val="auto"/>
            <w:position w:val="0"/>
            <w:sz w:val="24"/>
            <w:sz w:val="24"/>
            <w:vertAlign w:val="baseline"/>
          </w:rPr>
          <w:t>).</w:t>
        </w:r>
      </w:hyperlink>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position w:val="0"/>
          <w:sz w:val="24"/>
          <w:sz w:val="24"/>
          <w:vertAlign w:val="baseline"/>
        </w:rPr>
      </w:pPr>
      <w:r>
        <w:rPr/>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color w:themeColor="text1" w:val="auto"/>
          <w:sz w:val="24"/>
          <w:szCs w:val="24"/>
          <w:lang w:val="el-GR"/>
        </w:rPr>
        <w:t>ΑΠΟΤΕΛΕΣΜΑΤΑ ΚΑΙ ΣΥΖΗΤΗΣΗ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cstheme="minorHAnsi" w:ascii="Calibri" w:hAnsi="Calibri"/>
          <w:b/>
          <w:bCs/>
          <w:sz w:val="24"/>
          <w:szCs w:val="24"/>
          <w:lang w:val="el-GR"/>
        </w:rPr>
        <w:t>ΒΙΟΑΠΟΔΟΜΗΣΗ ΥΠΟΛΕΙΜΜΑΤΩΝ ΤΡΟΦΩΝ</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t xml:space="preserve">Η βασική απόκριση των πειραμάτων βιοαποδόμησης σε εργαστηριακή κλίμακα είναι η HPLC </w:t>
      </w:r>
      <w:r>
        <w:rPr>
          <w:rFonts w:cs="Calibri" w:cstheme="minorHAnsi" w:ascii="Calibri" w:hAnsi="Calibri"/>
          <w:b w:val="false"/>
          <w:bCs w:val="false"/>
          <w:sz w:val="24"/>
          <w:szCs w:val="24"/>
          <w:lang w:val="el-GR"/>
        </w:rPr>
        <w:t>και ιδιαίτερα τα:</w:t>
      </w:r>
      <w:r>
        <w:rPr>
          <w:rFonts w:cs="Calibri" w:cstheme="minorHAnsi" w:ascii="Calibri" w:hAnsi="Calibri"/>
          <w:b w:val="false"/>
          <w:bCs w:val="false"/>
          <w:sz w:val="24"/>
          <w:szCs w:val="24"/>
          <w:lang w:val="el-GR"/>
        </w:rPr>
        <w:t xml:space="preserve"> Γαλακτικό Οξύ, Οξικό Οξύ, Προπιονικό Οξύ, Αιθανόλη </w:t>
      </w:r>
      <w:r>
        <w:rPr>
          <w:rFonts w:cs="Calibri" w:cstheme="minorHAnsi" w:ascii="Calibri" w:hAnsi="Calibri"/>
          <w:b w:val="false"/>
          <w:bCs w:val="false"/>
          <w:sz w:val="24"/>
          <w:szCs w:val="24"/>
          <w:lang w:val="el-GR"/>
        </w:rPr>
        <w:t xml:space="preserve">τα οποία είναι </w:t>
      </w:r>
      <w:r>
        <w:rPr>
          <w:rFonts w:cs="Calibri" w:cstheme="minorHAnsi" w:ascii="Calibri" w:hAnsi="Calibri"/>
          <w:b w:val="false"/>
          <w:bCs w:val="false"/>
          <w:sz w:val="24"/>
          <w:szCs w:val="24"/>
          <w:lang w:val="el-GR"/>
        </w:rPr>
        <w:t>προιόντα οξεογενετικής ζύμωσης. Η συνολική ποσότητα προιόντων καθώς και η αναλογία τους είναι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drawing>
          <wp:inline distT="0" distB="0" distL="0" distR="0">
            <wp:extent cx="4963160" cy="3308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963160" cy="3308350"/>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Σχήμα 1</w:t>
      </w:r>
      <w:r>
        <w:rPr>
          <w:rFonts w:cs="Times New Roman"/>
          <w:i/>
          <w:color w:themeColor="text1" w:val="auto"/>
          <w:sz w:val="22"/>
        </w:rPr>
        <w:t xml:space="preserve">. </w:t>
      </w:r>
      <w:r>
        <w:rPr>
          <w:rFonts w:cs="Times New Roman"/>
          <w:i/>
          <w:color w:themeColor="text1" w:val="auto"/>
          <w:sz w:val="22"/>
        </w:rPr>
        <w:t>Προιόντα της διεργασίας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t>Έ</w:t>
      </w:r>
      <w:r>
        <w:rPr>
          <w:rFonts w:cs="Calibri" w:cstheme="minorHAnsi" w:ascii="Calibri" w:hAnsi="Calibri"/>
          <w:b w:val="false"/>
          <w:bCs w:val="false"/>
          <w:sz w:val="24"/>
          <w:szCs w:val="24"/>
          <w:lang w:val="el-GR"/>
        </w:rPr>
        <w:t xml:space="preserve">να πρόβλημα του διαγράμματος αυτού είναι πως </w:t>
      </w:r>
      <w:r>
        <w:rPr>
          <w:rFonts w:cs="Calibri" w:cstheme="minorHAnsi" w:ascii="Calibri" w:hAnsi="Calibri"/>
          <w:b w:val="false"/>
          <w:bCs w:val="false"/>
          <w:position w:val="0"/>
          <w:sz w:val="24"/>
          <w:sz w:val="24"/>
          <w:szCs w:val="24"/>
          <w:vertAlign w:val="baseline"/>
          <w:lang w:val="el-GR"/>
        </w:rPr>
        <w:t>δεν λαμβάνει υπόψην τις αρχικές συνθήκες του κάθε πειράματος.</w:t>
      </w:r>
      <w:r>
        <w:rPr>
          <w:rFonts w:cs="Calibri" w:cstheme="minorHAnsi" w:ascii="Calibri" w:hAnsi="Calibri"/>
          <w:b w:val="false"/>
          <w:bCs w:val="false"/>
          <w:position w:val="0"/>
          <w:sz w:val="24"/>
          <w:sz w:val="24"/>
          <w:szCs w:val="24"/>
          <w:vertAlign w:val="baseline"/>
          <w:lang w:val="el-GR"/>
        </w:rPr>
        <w:t xml:space="preserve"> Για αυτό, ορίζουμε την απόδοση της ζύμωσης ως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position w:val="0"/>
          <w:sz w:val="24"/>
          <w:sz w:val="24"/>
          <w:szCs w:val="24"/>
          <w:vertAlign w:val="baseline"/>
          <w:lang w:val="el-GR"/>
        </w:rPr>
      </w:r>
      <m:oMath xmlns:m="http://schemas.openxmlformats.org/officeDocument/2006/math">
        <m:r>
          <w:rPr>
            <w:rFonts w:ascii="Cambria Math" w:hAnsi="Cambria Math"/>
          </w:rPr>
          <m:t xml:space="preserve">Y</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r>
          <w:rPr>
            <w:rFonts w:ascii="Cambria Math" w:hAnsi="Cambria Math"/>
          </w:rPr>
          <m:t xml:space="preserve">=</m:t>
        </m:r>
        <m:f>
          <m:num>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d</m:t>
                </m:r>
              </m:e>
              <m:sub>
                <m:r>
                  <m:rPr>
                    <m:lit/>
                    <m:nor/>
                  </m:rPr>
                  <w:rPr>
                    <w:rFonts w:ascii="Cambria Math" w:hAnsi="Cambria Math"/>
                  </w:rPr>
                  <m:t xml:space="preserve">final</m:t>
                </m:r>
              </m:sub>
            </m:sSub>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d</m:t>
                </m:r>
              </m:e>
              <m:sub>
                <m:r>
                  <m:rPr>
                    <m:lit/>
                    <m:nor/>
                  </m:rPr>
                  <w:rPr>
                    <w:rFonts w:ascii="Cambria Math" w:hAnsi="Cambria Math"/>
                  </w:rPr>
                  <m:t xml:space="preserve">init</m:t>
                </m:r>
              </m:sub>
            </m:sSub>
          </m:num>
          <m:den>
            <m:r>
              <w:rPr>
                <w:rFonts w:ascii="Cambria Math" w:hAnsi="Cambria Math"/>
              </w:rPr>
              <m:t xml:space="preserve">S</m:t>
            </m:r>
            <m:r>
              <w:rPr>
                <w:rFonts w:ascii="Cambria Math" w:hAnsi="Cambria Math"/>
              </w:rPr>
              <m:t xml:space="preserve">u</m:t>
            </m:r>
            <m:r>
              <w:rPr>
                <w:rFonts w:ascii="Cambria Math" w:hAnsi="Cambria Math"/>
              </w:rPr>
              <m:t xml:space="preserve">g</m:t>
            </m:r>
            <m:r>
              <w:rPr>
                <w:rFonts w:ascii="Cambria Math" w:hAnsi="Cambria Math"/>
              </w:rPr>
              <m:t xml:space="preserve">a</m:t>
            </m:r>
            <m:r>
              <w:rPr>
                <w:rFonts w:ascii="Cambria Math" w:hAnsi="Cambria Math"/>
              </w:rPr>
              <m:t xml:space="preserve">r</m:t>
            </m:r>
            <m:sSub>
              <m:e>
                <m:r>
                  <w:rPr>
                    <w:rFonts w:ascii="Cambria Math" w:hAnsi="Cambria Math"/>
                  </w:rPr>
                  <m:t xml:space="preserve">s</m:t>
                </m:r>
              </m:e>
              <m:sub>
                <m:r>
                  <w:rPr>
                    <w:rFonts w:ascii="Cambria Math" w:hAnsi="Cambria Math"/>
                  </w:rPr>
                  <m:t xml:space="preserve">i</m:t>
                </m:r>
                <m:r>
                  <w:rPr>
                    <w:rFonts w:ascii="Cambria Math" w:hAnsi="Cambria Math"/>
                  </w:rPr>
                  <m:t xml:space="preserve">n</m:t>
                </m:r>
                <m:r>
                  <w:rPr>
                    <w:rFonts w:ascii="Cambria Math" w:hAnsi="Cambria Math"/>
                  </w:rPr>
                  <m:t xml:space="preserve">i</m:t>
                </m:r>
                <m:r>
                  <w:rPr>
                    <w:rFonts w:ascii="Cambria Math" w:hAnsi="Cambria Math"/>
                  </w:rPr>
                  <m:t xml:space="preserve">t</m:t>
                </m:r>
              </m:sub>
            </m:sSub>
          </m:den>
        </m:f>
      </m:oMath>
      <w:r>
        <w:rPr>
          <w:rFonts w:cs="Calibri" w:cstheme="minorHAnsi" w:ascii="Calibri" w:hAnsi="Calibri"/>
          <w:b w:val="false"/>
          <w:bCs w:val="false"/>
          <w:position w:val="0"/>
          <w:sz w:val="24"/>
          <w:sz w:val="24"/>
          <w:szCs w:val="24"/>
          <w:vertAlign w:val="baseline"/>
          <w:lang w:val="el-GR"/>
        </w:rPr>
        <w:t xml:space="preserve">                                                                                                        </w:t>
      </w:r>
      <w:r>
        <w:rPr>
          <w:rFonts w:cs="Calibri" w:cstheme="minorHAnsi" w:ascii="Calibri" w:hAnsi="Calibri"/>
          <w:b w:val="false"/>
          <w:bCs w:val="false"/>
          <w:position w:val="0"/>
          <w:sz w:val="24"/>
          <w:sz w:val="24"/>
          <w:szCs w:val="24"/>
          <w:vertAlign w:val="baseline"/>
          <w:lang w:val="el-GR"/>
        </w:rPr>
        <w:t>(2)</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t>και τα αποτελέσματα της είναι τα εξής: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drawing>
          <wp:inline distT="0" distB="0" distL="0" distR="0">
            <wp:extent cx="3797300" cy="253238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8"/>
                    <a:stretch>
                      <a:fillRect/>
                    </a:stretch>
                  </pic:blipFill>
                  <pic:spPr bwMode="auto">
                    <a:xfrm>
                      <a:off x="0" y="0"/>
                      <a:ext cx="3797300" cy="2532380"/>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 xml:space="preserve">Σχήμα </w:t>
      </w:r>
      <w:r>
        <w:rPr>
          <w:rFonts w:cs="Times New Roman"/>
          <w:b/>
          <w:bCs/>
          <w:i/>
          <w:color w:themeColor="text1" w:val="auto"/>
          <w:sz w:val="22"/>
        </w:rPr>
        <w:t>2</w:t>
      </w:r>
      <w:r>
        <w:rPr>
          <w:rFonts w:cs="Times New Roman"/>
          <w:i/>
          <w:color w:themeColor="text1" w:val="auto"/>
          <w:sz w:val="22"/>
        </w:rPr>
        <w:t xml:space="preserve">. </w:t>
      </w:r>
      <w:r>
        <w:rPr>
          <w:rFonts w:cs="Times New Roman"/>
          <w:i/>
          <w:color w:themeColor="text1" w:val="auto"/>
          <w:sz w:val="22"/>
        </w:rPr>
        <w:t>Απόδοση της διεργα</w:t>
      </w:r>
      <w:r>
        <w:rPr>
          <w:rFonts w:cs="Times New Roman"/>
          <w:i/>
          <w:color w:themeColor="text1" w:val="auto"/>
          <w:sz w:val="22"/>
        </w:rPr>
        <w:t>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t xml:space="preserve">Φαίνεται πως οι 40 </w:t>
      </w:r>
      <w:r>
        <w:rPr>
          <w:rFonts w:cs="Calibri" w:cstheme="minorHAnsi" w:ascii="Calibri" w:hAnsi="Calibri"/>
          <w:b w:val="false"/>
          <w:bCs w:val="false"/>
          <w:sz w:val="24"/>
          <w:szCs w:val="24"/>
          <w:vertAlign w:val="superscript"/>
          <w:lang w:val="el-GR"/>
        </w:rPr>
        <w:t>o</w:t>
      </w:r>
      <w:r>
        <w:rPr>
          <w:rFonts w:cs="Calibri" w:cstheme="minorHAnsi" w:ascii="Calibri" w:hAnsi="Calibri"/>
          <w:b w:val="false"/>
          <w:bCs w:val="false"/>
          <w:position w:val="0"/>
          <w:sz w:val="24"/>
          <w:sz w:val="24"/>
          <w:szCs w:val="24"/>
          <w:vertAlign w:val="baseline"/>
          <w:lang w:val="el-GR"/>
        </w:rPr>
        <w:t>C έχουν καλύτερη απόδοση, με την καλύτερη να είναι αυτή χωρίς την προσθήκη του μιξ. Ά</w:t>
      </w:r>
      <w:r>
        <w:rPr>
          <w:rFonts w:cs="Calibri" w:cstheme="minorHAnsi" w:ascii="Calibri" w:hAnsi="Calibri"/>
          <w:b w:val="false"/>
          <w:bCs w:val="false"/>
          <w:position w:val="0"/>
          <w:sz w:val="24"/>
          <w:sz w:val="24"/>
          <w:szCs w:val="24"/>
          <w:vertAlign w:val="baseline"/>
          <w:lang w:val="el-GR"/>
        </w:rPr>
        <w:t xml:space="preserve">λλος ένας λόγος για την επιλογή των 40 </w:t>
      </w:r>
      <w:r>
        <w:rPr>
          <w:rFonts w:cs="Calibri" w:cstheme="minorHAnsi" w:ascii="Calibri" w:hAnsi="Calibri"/>
          <w:b w:val="false"/>
          <w:bCs w:val="false"/>
          <w:sz w:val="24"/>
          <w:szCs w:val="24"/>
          <w:vertAlign w:val="superscript"/>
          <w:lang w:val="el-GR"/>
        </w:rPr>
        <w:t>o</w:t>
      </w:r>
      <w:r>
        <w:rPr>
          <w:rFonts w:cs="Calibri" w:cstheme="minorHAnsi" w:ascii="Calibri" w:hAnsi="Calibri"/>
          <w:b w:val="false"/>
          <w:bCs w:val="false"/>
          <w:position w:val="0"/>
          <w:sz w:val="24"/>
          <w:sz w:val="24"/>
          <w:szCs w:val="24"/>
          <w:vertAlign w:val="baseline"/>
          <w:lang w:val="el-GR"/>
        </w:rPr>
        <w:t>C είναι πως παράγεται πολύ περισσότερο οξικό στην θερμοκρασία αυτή, το οποίο είναι το ιδανικό υπόστρωμα για μεθανογένεση. Παρότι το πείραμα χωρίς την προσθήκη του μιξ φαίνεται να έχει καλύτερη απόδοση, μία ανάλυση ευαισθησίας μας δείχνει πως η επίδραση του μιξ είναι σημαντική. Παρακάτω φαίνεται ένα διάγραμμα της ευαισθησίας στην ποσότητα του μιξ για κάθε ένωση σε κάθε θερμοκρασία το οποίο ενισχύει την υπόθεση αυτή.</w:t>
      </w:r>
    </w:p>
    <w:p>
      <w:pPr>
        <w:pStyle w:val="Eea"/>
        <w:tabs>
          <w:tab w:val="clear" w:pos="720"/>
          <w:tab w:val="right" w:pos="9638" w:leader="none"/>
        </w:tabs>
        <w:spacing w:lineRule="auto" w:line="240"/>
        <w:rPr>
          <w:position w:val="0"/>
          <w:sz w:val="22"/>
          <w:vertAlign w:val="baseline"/>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position w:val="0"/>
          <w:sz w:val="24"/>
          <w:sz w:val="24"/>
          <w:szCs w:val="24"/>
          <w:vertAlign w:val="baseline"/>
          <w:lang w:val="el-GR"/>
        </w:rPr>
        <w:drawing>
          <wp:inline distT="0" distB="0" distL="0" distR="0">
            <wp:extent cx="4788535" cy="3192145"/>
            <wp:effectExtent l="0" t="0" r="0" b="0"/>
            <wp:docPr id="3"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image"/>
                    <pic:cNvPicPr>
                      <a:picLocks noChangeAspect="1" noChangeArrowheads="1"/>
                    </pic:cNvPicPr>
                  </pic:nvPicPr>
                  <pic:blipFill>
                    <a:blip r:embed="rId9"/>
                    <a:stretch>
                      <a:fillRect/>
                    </a:stretch>
                  </pic:blipFill>
                  <pic:spPr bwMode="auto">
                    <a:xfrm>
                      <a:off x="0" y="0"/>
                      <a:ext cx="4788535" cy="319214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vertAlign w:val="baseline"/>
        </w:rPr>
        <w:t xml:space="preserve">Σχήμα </w:t>
      </w:r>
      <w:r>
        <w:rPr>
          <w:rFonts w:cs="Times New Roman"/>
          <w:b/>
          <w:bCs/>
          <w:i/>
          <w:color w:themeColor="text1" w:val="auto"/>
          <w:position w:val="0"/>
          <w:sz w:val="22"/>
          <w:sz w:val="22"/>
          <w:vertAlign w:val="baseline"/>
        </w:rPr>
        <w:t>3</w:t>
      </w:r>
      <w:r>
        <w:rPr>
          <w:rFonts w:cs="Times New Roman"/>
          <w:i/>
          <w:color w:themeColor="text1" w:val="auto"/>
          <w:position w:val="0"/>
          <w:sz w:val="22"/>
          <w:sz w:val="22"/>
          <w:vertAlign w:val="baseline"/>
        </w:rPr>
        <w:t xml:space="preserve">. </w:t>
      </w:r>
      <w:r>
        <w:rPr>
          <w:rFonts w:cs="Times New Roman"/>
          <w:i/>
          <w:color w:themeColor="text1" w:val="auto"/>
          <w:position w:val="0"/>
          <w:sz w:val="22"/>
          <w:sz w:val="22"/>
          <w:vertAlign w:val="baseline"/>
        </w:rPr>
        <w:t>Ανάλυση ευαισθησίας στην ποσότητα του μιξ για τις 2 θερμοκρασίες</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sz w:val="24"/>
          <w:szCs w:val="24"/>
          <w:lang w:val="el-GR"/>
        </w:rPr>
        <w:t>Α</w:t>
      </w:r>
      <w:r>
        <w:rPr>
          <w:rFonts w:cs="Calibri" w:cstheme="minorHAnsi"/>
          <w:b w:val="false"/>
          <w:bCs w:val="false"/>
          <w:sz w:val="24"/>
          <w:szCs w:val="24"/>
          <w:lang w:val="el-GR"/>
        </w:rPr>
        <w:t xml:space="preserve">πό το διάγραμμα αυτό, φαίνεται πως με εξαίρεση την αιθανόλη, η οποία παράγεται έτσι και αλλιώς σε μικρό βαθμό στους 40 </w:t>
      </w:r>
      <w:r>
        <w:rPr>
          <w:rFonts w:cs="Calibri" w:cstheme="minorHAnsi"/>
          <w:b w:val="false"/>
          <w:bCs w:val="false"/>
          <w:sz w:val="24"/>
          <w:szCs w:val="24"/>
          <w:vertAlign w:val="superscript"/>
          <w:lang w:val="el-GR"/>
        </w:rPr>
        <w:t>o</w:t>
      </w:r>
      <w:r>
        <w:rPr>
          <w:rFonts w:cs="Calibri" w:cstheme="minorHAnsi"/>
          <w:b w:val="false"/>
          <w:bCs w:val="false"/>
          <w:position w:val="0"/>
          <w:sz w:val="24"/>
          <w:sz w:val="24"/>
          <w:szCs w:val="24"/>
          <w:vertAlign w:val="baseline"/>
          <w:lang w:val="el-GR"/>
        </w:rPr>
        <w:t>C, όλα τα προιόντα είναι ευαίσθητα στην προσθήκη του μιξ και άρα γίνεται πιο αποτελεσματική ζύμωση.</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position w:val="0"/>
          <w:sz w:val="24"/>
          <w:sz w:val="24"/>
          <w:szCs w:val="24"/>
          <w:vertAlign w:val="baseline"/>
          <w:lang w:val="el-GR"/>
        </w:rPr>
        <w:t>Ό</w:t>
      </w:r>
      <w:r>
        <w:rPr>
          <w:rFonts w:cs="Calibri" w:cstheme="minorHAnsi"/>
          <w:b w:val="false"/>
          <w:bCs w:val="false"/>
          <w:position w:val="0"/>
          <w:sz w:val="24"/>
          <w:sz w:val="24"/>
          <w:szCs w:val="24"/>
          <w:vertAlign w:val="baseline"/>
          <w:lang w:val="el-GR"/>
        </w:rPr>
        <w:t>μως, στα πειράματα αυτά υπήρχε χαμηλό COD (το οποίο συσχετίζεται με μεγάλη ποσότητα λαχανικών στα υπολείμματα), οπότε δεν μπορούσε να παρατηρηθεί καλή υδρόλυση. Οπότε, για την τροφοδοσίας της αναερόβιας χώνευσης χρησιμοποιήθηκε υπόστρωμα πιο πλούσιο σε COD όπου παρατηρήθηκε και πιο ξεκάθαρα πως το COD μειώνεται όσο προστίθεται το μιξ επειδή υπάρχουν περισσότεροι μικροοργανισμοί.</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position w:val="0"/>
          <w:sz w:val="24"/>
          <w:sz w:val="24"/>
          <w:szCs w:val="24"/>
          <w:vertAlign w:val="baseline"/>
          <w:lang w:val="el-GR"/>
        </w:rPr>
        <w:drawing>
          <wp:inline distT="0" distB="0" distL="0" distR="0">
            <wp:extent cx="4597400" cy="2873375"/>
            <wp:effectExtent l="0" t="0" r="0" b="0"/>
            <wp:docPr id="4" name="Image6 Copy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Copy 1" descr="image"/>
                    <pic:cNvPicPr>
                      <a:picLocks noChangeAspect="1" noChangeArrowheads="1"/>
                    </pic:cNvPicPr>
                  </pic:nvPicPr>
                  <pic:blipFill>
                    <a:blip r:embed="rId10"/>
                    <a:stretch>
                      <a:fillRect/>
                    </a:stretch>
                  </pic:blipFill>
                  <pic:spPr bwMode="auto">
                    <a:xfrm>
                      <a:off x="0" y="0"/>
                      <a:ext cx="4597400" cy="287337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szCs w:val="24"/>
          <w:vertAlign w:val="baseline"/>
          <w:lang w:val="el-GR"/>
        </w:rPr>
        <w:t xml:space="preserve">Σχήμα </w:t>
      </w:r>
      <w:r>
        <w:rPr>
          <w:rFonts w:cs="Times New Roman"/>
          <w:b/>
          <w:bCs/>
          <w:i/>
          <w:color w:themeColor="text1" w:val="auto"/>
          <w:position w:val="0"/>
          <w:sz w:val="22"/>
          <w:sz w:val="22"/>
          <w:szCs w:val="24"/>
          <w:vertAlign w:val="baseline"/>
          <w:lang w:val="el-GR"/>
        </w:rPr>
        <w:t>4.</w:t>
      </w:r>
      <w:r>
        <w:rPr>
          <w:rFonts w:cs="Times New Roman"/>
          <w:b w:val="false"/>
          <w:bCs w:val="false"/>
          <w:i/>
          <w:color w:themeColor="text1" w:val="auto"/>
          <w:position w:val="0"/>
          <w:sz w:val="22"/>
          <w:sz w:val="22"/>
          <w:szCs w:val="24"/>
          <w:vertAlign w:val="baseline"/>
          <w:lang w:val="el-GR"/>
        </w:rPr>
        <w:t xml:space="preserve"> </w:t>
      </w:r>
      <w:r>
        <w:rPr>
          <w:rFonts w:cs="Times New Roman"/>
          <w:b w:val="false"/>
          <w:bCs w:val="false"/>
          <w:i/>
          <w:color w:themeColor="text1" w:val="auto"/>
          <w:position w:val="0"/>
          <w:sz w:val="22"/>
          <w:sz w:val="22"/>
          <w:szCs w:val="24"/>
          <w:vertAlign w:val="baseline"/>
          <w:lang w:val="el-GR"/>
        </w:rPr>
        <w:t>COD υπολείμματος (t=0) και υδρολύματος (t=72 h)</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cstheme="minorHAnsi" w:ascii="Calibri" w:hAnsi="Calibri"/>
          <w:b/>
          <w:bCs/>
          <w:sz w:val="24"/>
          <w:szCs w:val="24"/>
          <w:lang w:val="el-GR"/>
        </w:rPr>
        <w:t>ΑΝΑΕΡΟΒΙΑ ΧΩΝΕΥΣΗ ΥΔΡΟΛΥΜΑΤΩΝ</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ascii="Calibri" w:hAnsi="Calibri" w:asciiTheme="minorHAnsi" w:cstheme="minorHAnsi" w:hAnsiTheme="minorHAnsi"/>
          <w:sz w:val="24"/>
          <w:szCs w:val="24"/>
          <w:lang w:val="el-GR"/>
        </w:rPr>
        <w:drawing>
          <wp:inline distT="0" distB="0" distL="0" distR="0">
            <wp:extent cx="5334000" cy="3556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1"/>
                    <a:stretch>
                      <a:fillRect/>
                    </a:stretch>
                  </pic:blipFill>
                  <pic:spPr bwMode="auto">
                    <a:xfrm>
                      <a:off x="0" y="0"/>
                      <a:ext cx="5334000" cy="3556000"/>
                    </a:xfrm>
                    <a:prstGeom prst="rect">
                      <a:avLst/>
                    </a:prstGeom>
                  </pic:spPr>
                </pic:pic>
              </a:graphicData>
            </a:graphic>
          </wp:inline>
        </w:drawing>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p>
      <w:pPr>
        <w:pStyle w:val="Normal"/>
        <w:spacing w:lineRule="auto" w:line="240"/>
        <w:rPr>
          <w:rFonts w:ascii="Calibri" w:hAnsi="Calibri" w:cs="Times New Roman" w:asciiTheme="minorHAnsi" w:hAnsiTheme="minorHAnsi"/>
          <w:i/>
          <w:i/>
          <w:color w:val="auto"/>
          <w:sz w:val="22"/>
          <w:lang w:val="el-GR"/>
        </w:rPr>
      </w:pPr>
      <w:r>
        <w:rPr>
          <w:rFonts w:cs="Times New Roman"/>
          <w:b/>
          <w:i/>
          <w:color w:themeColor="text1" w:val="auto"/>
          <w:sz w:val="22"/>
        </w:rPr>
        <w:t>Σχήμα 1.</w:t>
      </w:r>
      <w:r>
        <w:rPr>
          <w:rFonts w:cs="Times New Roman"/>
          <w:i/>
          <w:color w:themeColor="text1" w:val="auto"/>
          <w:sz w:val="22"/>
        </w:rPr>
        <w:t xml:space="preserve"> </w:t>
      </w:r>
      <w:r>
        <w:rPr>
          <w:rFonts w:cs="Times New Roman"/>
          <w:i/>
          <w:color w:themeColor="text1" w:val="auto"/>
          <w:sz w:val="22"/>
        </w:rPr>
        <w:t>Αποτελέσματα πρώτου κύκλου αναερόβιας χώνευσης</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p>
      <w:pPr>
        <w:pStyle w:val="Eea"/>
        <w:tabs>
          <w:tab w:val="clear" w:pos="720"/>
          <w:tab w:val="right" w:pos="9638" w:leader="none"/>
        </w:tabs>
        <w:spacing w:lineRule="auto" w:line="240"/>
        <w:rPr>
          <w:rFonts w:ascii="Calibri" w:hAnsi="Calibri" w:asciiTheme="minorHAnsi" w:hAnsiTheme="minorHAnsi"/>
          <w:i/>
          <w:i/>
          <w:sz w:val="22"/>
        </w:rPr>
      </w:pPr>
      <w:r>
        <w:rPr>
          <w:rFonts w:ascii="Calibri" w:hAnsi="Calibri" w:asciiTheme="minorHAnsi" w:hAnsiTheme="minorHAnsi"/>
          <w:b/>
          <w:i/>
          <w:sz w:val="22"/>
        </w:rPr>
        <w:t>Πίνακας 1.</w:t>
      </w:r>
      <w:r>
        <w:rPr>
          <w:rFonts w:ascii="Calibri" w:hAnsi="Calibri" w:asciiTheme="minorHAnsi" w:hAnsiTheme="minorHAnsi"/>
          <w:i/>
          <w:sz w:val="22"/>
        </w:rPr>
        <w:t xml:space="preserve"> </w:t>
      </w:r>
      <w:r>
        <w:rPr>
          <w:rFonts w:ascii="Calibri" w:hAnsi="Calibri" w:asciiTheme="minorHAnsi" w:hAnsiTheme="minorHAnsi"/>
          <w:i/>
          <w:sz w:val="22"/>
        </w:rPr>
        <w:t>Κινητικές Παραμέτροι του μοντέλου Gompertz για τα υποστρώματα που μελετήθηκαν</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tbl>
      <w:tblPr>
        <w:tblW w:w="8370"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2112"/>
        <w:gridCol w:w="1962"/>
        <w:gridCol w:w="2614"/>
        <w:gridCol w:w="1001"/>
        <w:gridCol w:w="681"/>
      </w:tblGrid>
      <w:tr>
        <w:trPr>
          <w:trHeight w:val="686" w:hRule="atLeast"/>
        </w:trPr>
        <w:tc>
          <w:tcPr>
            <w:tcW w:w="2112" w:type="dxa"/>
            <w:tcBorders>
              <w:top w:val="single" w:sz="8" w:space="0" w:color="000000"/>
              <w:bottom w:val="single" w:sz="8" w:space="0" w:color="000000"/>
            </w:tcBorders>
            <w:vAlign w:val="center"/>
          </w:tcPr>
          <w:p>
            <w:pPr>
              <w:pStyle w:val="Normal"/>
              <w:spacing w:lineRule="auto" w:line="240" w:before="0" w:after="200"/>
              <w:jc w:val="center"/>
              <w:rPr>
                <w:rFonts w:ascii="Calibri" w:hAnsi="Calibri" w:cs="Calibri" w:asciiTheme="minorHAnsi" w:cstheme="minorHAnsi" w:hAnsiTheme="minorHAnsi"/>
                <w:b/>
                <w:bCs/>
                <w:sz w:val="20"/>
                <w:szCs w:val="20"/>
                <w:lang w:val="el-GR"/>
              </w:rPr>
            </w:pPr>
            <w:r>
              <w:rPr>
                <w:rFonts w:cs="Calibri" w:cstheme="minorHAnsi"/>
                <w:b/>
                <w:bCs/>
                <w:sz w:val="20"/>
                <w:szCs w:val="20"/>
                <w:lang w:val="el-GR"/>
              </w:rPr>
              <w:t>Υπόστρωμα</w:t>
            </w:r>
          </w:p>
        </w:tc>
        <w:tc>
          <w:tcPr>
            <w:tcW w:w="1962" w:type="dxa"/>
            <w:tcBorders>
              <w:top w:val="single" w:sz="8" w:space="0" w:color="000000"/>
              <w:bottom w:val="single" w:sz="8" w:space="0" w:color="000000"/>
            </w:tcBorders>
            <w:vAlign w:val="center"/>
          </w:tcPr>
          <w:p>
            <w:pPr>
              <w:pStyle w:val="Normal"/>
              <w:spacing w:lineRule="auto" w:line="240" w:before="0" w:after="200"/>
              <w:jc w:val="center"/>
              <w:rPr>
                <w:rFonts w:ascii="Calibri" w:hAnsi="Calibri" w:cs="Calibri" w:asciiTheme="minorHAnsi" w:cstheme="minorHAnsi" w:hAnsiTheme="minorHAnsi"/>
                <w:b/>
                <w:bCs/>
                <w:sz w:val="20"/>
                <w:szCs w:val="20"/>
                <w:lang w:val="el-GR"/>
              </w:rPr>
            </w:pPr>
            <w:r>
              <w:rPr>
                <w:rFonts w:cs="Calibri" w:cstheme="minorHAnsi"/>
                <w:b/>
                <w:bCs/>
                <w:sz w:val="20"/>
                <w:szCs w:val="20"/>
                <w:lang w:val="el-GR"/>
              </w:rPr>
              <w:t>P_max (ml CH_4)</w:t>
            </w:r>
          </w:p>
        </w:tc>
        <w:tc>
          <w:tcPr>
            <w:tcW w:w="2614" w:type="dxa"/>
            <w:tcBorders>
              <w:top w:val="single" w:sz="8" w:space="0" w:color="000000"/>
              <w:bottom w:val="single" w:sz="8" w:space="0" w:color="000000"/>
            </w:tcBorders>
            <w:vAlign w:val="center"/>
          </w:tcPr>
          <w:p>
            <w:pPr>
              <w:pStyle w:val="Normal"/>
              <w:spacing w:lineRule="auto" w:line="240" w:before="0" w:after="200"/>
              <w:jc w:val="center"/>
              <w:rPr>
                <w:rFonts w:cs="Calibri" w:cstheme="minorHAnsi"/>
                <w:b/>
                <w:bCs/>
                <w:sz w:val="20"/>
                <w:szCs w:val="20"/>
                <w:lang w:val="el-GR"/>
              </w:rPr>
            </w:pPr>
            <w:r>
              <w:rPr>
                <w:rFonts w:cs="Calibri" w:cstheme="minorHAnsi"/>
                <w:b/>
                <w:bCs/>
                <w:sz w:val="20"/>
                <w:szCs w:val="20"/>
                <w:lang w:val="el-GR"/>
              </w:rPr>
              <w:t>R_max (ml CH_4/hour)</w:t>
            </w:r>
          </w:p>
        </w:tc>
        <w:tc>
          <w:tcPr>
            <w:tcW w:w="1001" w:type="dxa"/>
            <w:tcBorders>
              <w:top w:val="single" w:sz="8" w:space="0" w:color="000000"/>
              <w:bottom w:val="single" w:sz="8" w:space="0" w:color="000000"/>
            </w:tcBorders>
            <w:vAlign w:val="center"/>
          </w:tcPr>
          <w:p>
            <w:pPr>
              <w:pStyle w:val="Normal"/>
              <w:spacing w:lineRule="auto" w:line="240" w:before="0" w:after="200"/>
              <w:jc w:val="center"/>
              <w:rPr>
                <w:rFonts w:ascii="Calibri" w:hAnsi="Calibri" w:cs="Calibri" w:asciiTheme="minorHAnsi" w:cstheme="minorHAnsi" w:hAnsiTheme="minorHAnsi"/>
                <w:b/>
                <w:bCs/>
                <w:sz w:val="20"/>
                <w:szCs w:val="20"/>
                <w:lang w:val="el-GR"/>
              </w:rPr>
            </w:pPr>
            <w:r>
              <w:rPr>
                <w:rFonts w:cs="Calibri" w:cstheme="minorHAnsi"/>
                <w:b/>
                <w:bCs/>
                <w:sz w:val="20"/>
                <w:szCs w:val="20"/>
                <w:lang w:val="el-GR"/>
              </w:rPr>
              <w:t>λ (hour)</w:t>
            </w:r>
          </w:p>
        </w:tc>
        <w:tc>
          <w:tcPr>
            <w:tcW w:w="681" w:type="dxa"/>
            <w:tcBorders>
              <w:top w:val="single" w:sz="8" w:space="0" w:color="000000"/>
              <w:bottom w:val="single" w:sz="8" w:space="0" w:color="000000"/>
            </w:tcBorders>
            <w:vAlign w:val="center"/>
          </w:tcPr>
          <w:p>
            <w:pPr>
              <w:pStyle w:val="Normal"/>
              <w:spacing w:lineRule="auto" w:line="240" w:before="0" w:after="200"/>
              <w:jc w:val="center"/>
              <w:rPr>
                <w:rFonts w:ascii="Calibri" w:hAnsi="Calibri" w:cs="Calibri" w:asciiTheme="minorHAnsi" w:cstheme="minorHAnsi" w:hAnsiTheme="minorHAnsi"/>
                <w:b/>
                <w:bCs/>
                <w:sz w:val="20"/>
                <w:szCs w:val="20"/>
                <w:lang w:val="el-GR"/>
              </w:rPr>
            </w:pPr>
            <w:r>
              <w:rPr>
                <w:rFonts w:cs="Calibri" w:cstheme="minorHAnsi"/>
                <w:b/>
                <w:bCs/>
                <w:sz w:val="20"/>
                <w:szCs w:val="20"/>
                <w:lang w:val="el-GR"/>
              </w:rPr>
              <w:t>R</w:t>
            </w:r>
            <w:r>
              <w:rPr>
                <w:rFonts w:cs="Calibri" w:cstheme="minorHAnsi"/>
                <w:b/>
                <w:bCs/>
                <w:sz w:val="20"/>
                <w:szCs w:val="20"/>
                <w:vertAlign w:val="superscript"/>
                <w:lang w:val="el-GR"/>
              </w:rPr>
              <w:t>2</w:t>
            </w:r>
          </w:p>
        </w:tc>
      </w:tr>
      <w:tr>
        <w:trPr>
          <w:trHeight w:val="686" w:hRule="atLeast"/>
        </w:trPr>
        <w:tc>
          <w:tcPr>
            <w:tcW w:w="2112" w:type="dxa"/>
            <w:tcBorders>
              <w:top w:val="single" w:sz="8" w:space="0" w:color="000000"/>
            </w:tcBorders>
          </w:tcPr>
          <w:p>
            <w:pPr>
              <w:pStyle w:val="Normal"/>
              <w:spacing w:lineRule="auto" w:line="240" w:before="0" w:after="200"/>
              <w:jc w:val="center"/>
              <w:rPr>
                <w:rFonts w:ascii="Calibri" w:hAnsi="Calibri" w:cs="Calibri" w:asciiTheme="minorHAnsi" w:cstheme="minorHAnsi" w:hAnsiTheme="minorHAnsi"/>
                <w:sz w:val="20"/>
                <w:szCs w:val="20"/>
                <w:lang w:val="el-GR"/>
              </w:rPr>
            </w:pPr>
            <w:r>
              <w:rPr>
                <w:rFonts w:cs="Calibri" w:cstheme="minorHAnsi"/>
                <w:sz w:val="20"/>
                <w:szCs w:val="20"/>
                <w:lang w:val="el-GR"/>
              </w:rPr>
              <w:t>0 ml</w:t>
            </w:r>
          </w:p>
        </w:tc>
        <w:tc>
          <w:tcPr>
            <w:tcW w:w="1962" w:type="dxa"/>
            <w:tcBorders>
              <w:top w:val="single" w:sz="8" w:space="0" w:color="000000"/>
            </w:tcBorders>
          </w:tcPr>
          <w:p>
            <w:pPr>
              <w:pStyle w:val="Normal"/>
              <w:spacing w:lineRule="auto" w:line="240" w:before="0" w:after="200"/>
              <w:jc w:val="center"/>
              <w:rPr>
                <w:rFonts w:ascii="Calibri" w:hAnsi="Calibri" w:cs="Calibri" w:asciiTheme="minorHAnsi" w:cstheme="minorHAnsi" w:hAnsiTheme="minorHAnsi"/>
                <w:sz w:val="20"/>
                <w:szCs w:val="20"/>
                <w:lang w:val="en-US"/>
              </w:rPr>
            </w:pPr>
            <w:r>
              <w:rPr>
                <w:rFonts w:cs="Calibri" w:cstheme="minorHAnsi"/>
                <w:sz w:val="20"/>
                <w:szCs w:val="20"/>
                <w:lang w:val="en-US"/>
              </w:rPr>
              <w:t>3.758</w:t>
            </w:r>
          </w:p>
        </w:tc>
        <w:tc>
          <w:tcPr>
            <w:tcW w:w="2614" w:type="dxa"/>
            <w:tcBorders>
              <w:top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0.043</w:t>
            </w:r>
          </w:p>
        </w:tc>
        <w:tc>
          <w:tcPr>
            <w:tcW w:w="1001" w:type="dxa"/>
            <w:tcBorders>
              <w:top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themeColor="text1" w:val="000000"/>
                <w:sz w:val="20"/>
                <w:szCs w:val="20"/>
                <w:lang w:val="en-US"/>
              </w:rPr>
              <w:t>3.763</w:t>
            </w:r>
          </w:p>
        </w:tc>
        <w:tc>
          <w:tcPr>
            <w:tcW w:w="681" w:type="dxa"/>
            <w:tcBorders>
              <w:top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0.991</w:t>
            </w:r>
          </w:p>
        </w:tc>
      </w:tr>
      <w:tr>
        <w:trPr>
          <w:trHeight w:val="686" w:hRule="atLeast"/>
        </w:trPr>
        <w:tc>
          <w:tcPr>
            <w:tcW w:w="2112" w:type="dxa"/>
            <w:tcBorders/>
          </w:tcPr>
          <w:p>
            <w:pPr>
              <w:pStyle w:val="Normal"/>
              <w:spacing w:lineRule="auto" w:line="240" w:before="0" w:after="200"/>
              <w:jc w:val="center"/>
              <w:rPr>
                <w:rFonts w:ascii="Calibri" w:hAnsi="Calibri" w:cs="Calibri" w:asciiTheme="minorHAnsi" w:cstheme="minorHAnsi" w:hAnsiTheme="minorHAnsi"/>
                <w:color w:val="auto"/>
                <w:sz w:val="20"/>
                <w:szCs w:val="20"/>
                <w:lang w:val="el-GR"/>
              </w:rPr>
            </w:pPr>
            <w:r>
              <w:rPr>
                <w:rFonts w:cs="Calibri" w:cstheme="minorHAnsi"/>
                <w:color w:themeColor="text1" w:val="auto"/>
                <w:sz w:val="20"/>
                <w:szCs w:val="20"/>
                <w:lang w:val="el-GR"/>
              </w:rPr>
              <w:t>1 ml</w:t>
            </w:r>
          </w:p>
        </w:tc>
        <w:tc>
          <w:tcPr>
            <w:tcW w:w="1962" w:type="dxa"/>
            <w:tcBorders/>
          </w:tcPr>
          <w:p>
            <w:pPr>
              <w:pStyle w:val="Normal"/>
              <w:spacing w:lineRule="auto" w:line="240" w:before="0" w:after="200"/>
              <w:jc w:val="center"/>
              <w:rPr>
                <w:rFonts w:ascii="Calibri" w:hAnsi="Calibri" w:cs="Calibri" w:asciiTheme="minorHAnsi" w:cstheme="minorHAnsi" w:hAnsiTheme="minorHAnsi"/>
                <w:sz w:val="20"/>
                <w:szCs w:val="20"/>
                <w:lang w:val="en-US"/>
              </w:rPr>
            </w:pPr>
            <w:r>
              <w:rPr>
                <w:rFonts w:cs="Calibri" w:cstheme="minorHAnsi"/>
                <w:sz w:val="20"/>
                <w:szCs w:val="20"/>
                <w:lang w:val="en-US"/>
              </w:rPr>
              <w:t>10.428</w:t>
            </w:r>
          </w:p>
        </w:tc>
        <w:tc>
          <w:tcPr>
            <w:tcW w:w="2614"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0.108</w:t>
            </w:r>
          </w:p>
        </w:tc>
        <w:tc>
          <w:tcPr>
            <w:tcW w:w="100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themeColor="text1" w:val="000000"/>
                <w:sz w:val="20"/>
                <w:szCs w:val="20"/>
                <w:lang w:val="en-US"/>
              </w:rPr>
              <w:t>4.507</w:t>
            </w:r>
          </w:p>
        </w:tc>
        <w:tc>
          <w:tcPr>
            <w:tcW w:w="68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0.995</w:t>
            </w:r>
          </w:p>
        </w:tc>
      </w:tr>
      <w:tr>
        <w:trPr>
          <w:trHeight w:val="686" w:hRule="atLeast"/>
        </w:trPr>
        <w:tc>
          <w:tcPr>
            <w:tcW w:w="2112" w:type="dxa"/>
            <w:tcBorders/>
          </w:tcPr>
          <w:p>
            <w:pPr>
              <w:pStyle w:val="Normal"/>
              <w:spacing w:lineRule="auto" w:line="240" w:before="0" w:after="200"/>
              <w:jc w:val="center"/>
              <w:rPr>
                <w:rFonts w:ascii="Calibri" w:hAnsi="Calibri" w:cs="Calibri" w:asciiTheme="minorHAnsi" w:cstheme="minorHAnsi" w:hAnsiTheme="minorHAnsi"/>
                <w:color w:val="auto"/>
                <w:sz w:val="20"/>
                <w:szCs w:val="20"/>
                <w:lang w:val="el-GR"/>
              </w:rPr>
            </w:pPr>
            <w:r>
              <w:rPr>
                <w:rFonts w:cs="Calibri" w:cstheme="minorHAnsi"/>
                <w:color w:themeColor="text1" w:val="auto"/>
                <w:sz w:val="20"/>
                <w:szCs w:val="20"/>
                <w:lang w:val="el-GR"/>
              </w:rPr>
              <w:t>2 ml</w:t>
            </w:r>
          </w:p>
        </w:tc>
        <w:tc>
          <w:tcPr>
            <w:tcW w:w="1962" w:type="dxa"/>
            <w:tcBorders/>
          </w:tcPr>
          <w:p>
            <w:pPr>
              <w:pStyle w:val="Normal"/>
              <w:spacing w:lineRule="auto" w:line="240" w:before="0" w:after="200"/>
              <w:jc w:val="center"/>
              <w:rPr>
                <w:rFonts w:ascii="Calibri" w:hAnsi="Calibri" w:cs="Calibri" w:asciiTheme="minorHAnsi" w:cstheme="minorHAnsi" w:hAnsiTheme="minorHAnsi"/>
                <w:sz w:val="20"/>
                <w:szCs w:val="20"/>
                <w:lang w:val="en-US"/>
              </w:rPr>
            </w:pPr>
            <w:r>
              <w:rPr>
                <w:rFonts w:cs="Calibri" w:cstheme="minorHAnsi"/>
                <w:sz w:val="20"/>
                <w:szCs w:val="20"/>
                <w:lang w:val="en-US"/>
              </w:rPr>
              <w:t>7.846</w:t>
            </w:r>
          </w:p>
        </w:tc>
        <w:tc>
          <w:tcPr>
            <w:tcW w:w="2614"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0.114</w:t>
            </w:r>
          </w:p>
        </w:tc>
        <w:tc>
          <w:tcPr>
            <w:tcW w:w="100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themeColor="text1" w:val="000000"/>
                <w:sz w:val="20"/>
                <w:szCs w:val="20"/>
                <w:lang w:val="en-US"/>
              </w:rPr>
              <w:t>0.0</w:t>
            </w:r>
          </w:p>
        </w:tc>
        <w:tc>
          <w:tcPr>
            <w:tcW w:w="68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0.927</w:t>
            </w:r>
          </w:p>
        </w:tc>
      </w:tr>
      <w:tr>
        <w:trPr>
          <w:trHeight w:val="686" w:hRule="atLeast"/>
        </w:trPr>
        <w:tc>
          <w:tcPr>
            <w:tcW w:w="2112" w:type="dxa"/>
            <w:tcBorders/>
          </w:tcPr>
          <w:p>
            <w:pPr>
              <w:pStyle w:val="Normal"/>
              <w:spacing w:lineRule="auto" w:line="240" w:before="0" w:after="200"/>
              <w:jc w:val="center"/>
              <w:rPr>
                <w:rFonts w:cs="Calibri" w:cstheme="minorHAnsi"/>
                <w:color w:themeColor="text1" w:val="auto"/>
                <w:sz w:val="20"/>
                <w:szCs w:val="20"/>
                <w:lang w:val="el-GR"/>
              </w:rPr>
            </w:pPr>
            <w:r>
              <w:rPr>
                <w:rFonts w:cs="Calibri" w:cstheme="minorHAnsi"/>
                <w:color w:themeColor="text1" w:val="auto"/>
                <w:sz w:val="20"/>
                <w:szCs w:val="20"/>
                <w:lang w:val="el-GR"/>
              </w:rPr>
              <w:t>4 ml</w:t>
            </w:r>
          </w:p>
        </w:tc>
        <w:tc>
          <w:tcPr>
            <w:tcW w:w="1962" w:type="dxa"/>
            <w:tcBorders/>
          </w:tcPr>
          <w:p>
            <w:pPr>
              <w:pStyle w:val="Normal"/>
              <w:spacing w:lineRule="auto" w:line="240" w:before="0" w:after="200"/>
              <w:jc w:val="center"/>
              <w:rPr>
                <w:rFonts w:ascii="Calibri" w:hAnsi="Calibri" w:cs="Calibri" w:asciiTheme="minorHAnsi" w:cstheme="minorHAnsi" w:hAnsiTheme="minorHAnsi"/>
                <w:sz w:val="20"/>
                <w:szCs w:val="20"/>
                <w:lang w:val="en-US"/>
              </w:rPr>
            </w:pPr>
            <w:r>
              <w:rPr>
                <w:rFonts w:cs="Calibri" w:cstheme="minorHAnsi"/>
                <w:sz w:val="20"/>
                <w:szCs w:val="20"/>
                <w:lang w:val="en-US"/>
              </w:rPr>
              <w:t>8.367</w:t>
            </w:r>
          </w:p>
        </w:tc>
        <w:tc>
          <w:tcPr>
            <w:tcW w:w="2614"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0.08</w:t>
            </w:r>
          </w:p>
        </w:tc>
        <w:tc>
          <w:tcPr>
            <w:tcW w:w="100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0.265</w:t>
            </w:r>
          </w:p>
        </w:tc>
        <w:tc>
          <w:tcPr>
            <w:tcW w:w="681" w:type="dxa"/>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0.986</w:t>
            </w:r>
          </w:p>
        </w:tc>
      </w:tr>
      <w:tr>
        <w:trPr>
          <w:trHeight w:val="686" w:hRule="atLeast"/>
        </w:trPr>
        <w:tc>
          <w:tcPr>
            <w:tcW w:w="2112" w:type="dxa"/>
            <w:tcBorders>
              <w:bottom w:val="single" w:sz="8" w:space="0" w:color="000000"/>
            </w:tcBorders>
          </w:tcPr>
          <w:p>
            <w:pPr>
              <w:pStyle w:val="Normal"/>
              <w:spacing w:lineRule="auto" w:line="240" w:before="0" w:after="200"/>
              <w:jc w:val="center"/>
              <w:rPr>
                <w:rFonts w:ascii="Calibri" w:hAnsi="Calibri" w:cs="Calibri" w:asciiTheme="minorHAnsi" w:cstheme="minorHAnsi" w:hAnsiTheme="minorHAnsi"/>
                <w:color w:val="auto"/>
                <w:sz w:val="20"/>
                <w:szCs w:val="20"/>
                <w:lang w:val="en-US"/>
              </w:rPr>
            </w:pPr>
            <w:r>
              <w:rPr>
                <w:rFonts w:cs="Calibri" w:cstheme="minorHAnsi"/>
                <w:color w:themeColor="text1" w:val="auto"/>
                <w:sz w:val="20"/>
                <w:szCs w:val="20"/>
                <w:lang w:val="en-US"/>
              </w:rPr>
              <w:t>Ανεπεξέργαστο FW</w:t>
            </w:r>
          </w:p>
        </w:tc>
        <w:tc>
          <w:tcPr>
            <w:tcW w:w="1962" w:type="dxa"/>
            <w:tcBorders>
              <w:bottom w:val="single" w:sz="8" w:space="0" w:color="000000"/>
            </w:tcBorders>
          </w:tcPr>
          <w:p>
            <w:pPr>
              <w:pStyle w:val="Normal"/>
              <w:spacing w:lineRule="auto" w:line="240" w:before="0" w:after="200"/>
              <w:jc w:val="center"/>
              <w:rPr>
                <w:rFonts w:ascii="Calibri" w:hAnsi="Calibri" w:cs="Calibri" w:asciiTheme="minorHAnsi" w:cstheme="minorHAnsi" w:hAnsiTheme="minorHAnsi"/>
                <w:sz w:val="20"/>
                <w:szCs w:val="20"/>
                <w:lang w:val="en-US"/>
              </w:rPr>
            </w:pPr>
            <w:r>
              <w:rPr>
                <w:rFonts w:cs="Calibri" w:cstheme="minorHAnsi"/>
                <w:sz w:val="20"/>
                <w:szCs w:val="20"/>
                <w:lang w:val="en-US"/>
              </w:rPr>
              <w:t>2.746</w:t>
            </w:r>
          </w:p>
        </w:tc>
        <w:tc>
          <w:tcPr>
            <w:tcW w:w="2614" w:type="dxa"/>
            <w:tcBorders>
              <w:bottom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0.054</w:t>
            </w:r>
          </w:p>
        </w:tc>
        <w:tc>
          <w:tcPr>
            <w:tcW w:w="1001" w:type="dxa"/>
            <w:tcBorders>
              <w:bottom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themeColor="text1" w:val="000000"/>
                <w:sz w:val="20"/>
                <w:szCs w:val="20"/>
                <w:lang w:val="en-US"/>
              </w:rPr>
              <w:t>0.0</w:t>
            </w:r>
          </w:p>
        </w:tc>
        <w:tc>
          <w:tcPr>
            <w:tcW w:w="681" w:type="dxa"/>
            <w:tcBorders>
              <w:bottom w:val="single" w:sz="8" w:space="0" w:color="000000"/>
            </w:tcBorders>
          </w:tcPr>
          <w:p>
            <w:pPr>
              <w:pStyle w:val="Normal"/>
              <w:spacing w:lineRule="auto" w:line="240" w:before="0" w:after="200"/>
              <w:jc w:val="center"/>
              <w:rPr>
                <w:rFonts w:ascii="Calibri" w:hAnsi="Calibri" w:cs="Calibri" w:asciiTheme="minorHAnsi" w:hAnsiTheme="minorHAnsi"/>
                <w:color w:val="000000"/>
                <w:sz w:val="20"/>
                <w:szCs w:val="20"/>
                <w:lang w:val="en-US"/>
              </w:rPr>
            </w:pPr>
            <w:r>
              <w:rPr>
                <w:rFonts w:cs="Calibri"/>
                <w:color w:val="000000"/>
                <w:sz w:val="20"/>
                <w:szCs w:val="20"/>
                <w:lang w:val="en-US"/>
              </w:rPr>
              <w:t>0.977</w:t>
            </w:r>
          </w:p>
        </w:tc>
      </w:tr>
    </w:tbl>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Από το παραπάνω διάγραμμα φαίνεται πως η προσαρμογή του μοντέλου Gompertz ήταν καλή σε όλα τα πειράματα, ενώ μπορούν να βγούν κάποια συμπεράσματα για την </w:t>
      </w:r>
      <w:r>
        <w:rPr>
          <w:rFonts w:cs="Times New Roman" w:ascii="Calibri" w:hAnsi="Calibri"/>
          <w:b w:val="false"/>
          <w:bCs w:val="false"/>
          <w:color w:themeColor="text1" w:val="auto"/>
          <w:sz w:val="24"/>
        </w:rPr>
        <w:t>συσχέτιση της διεργασίας υδρόλυσης και ζύμωσης με την αναερόβια χώνευση.</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Ο διαχωρισμός των σταδίων της υδρόλυσης και οξεογένεσης, όπως προτείνεται στην μελέτη αυτή συνεισφέρει σημαντικά στην επίλυση του </w:t>
      </w:r>
      <w:r>
        <w:rPr>
          <w:rFonts w:cs="Times New Roman" w:ascii="Calibri" w:hAnsi="Calibri"/>
          <w:b w:val="false"/>
          <w:bCs w:val="false"/>
          <w:color w:themeColor="text1" w:val="auto"/>
          <w:sz w:val="24"/>
        </w:rPr>
        <w:t>προβλήματος αυτού.</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πείραμα χωρίς την προσθήκη του ενζυμικού σκευάσματος, </w:t>
      </w:r>
      <w:r>
        <w:rPr>
          <w:rFonts w:cs="Times New Roman" w:ascii="Calibri" w:hAnsi="Calibri"/>
          <w:b w:val="false"/>
          <w:bCs w:val="false"/>
          <w:color w:themeColor="text1" w:val="auto"/>
          <w:sz w:val="24"/>
        </w:rPr>
        <w:t xml:space="preserve">παρότι έχει την καλύτερη υδρόλυση, έχει </w:t>
      </w:r>
      <w:r>
        <w:rPr>
          <w:rFonts w:cs="Times New Roman" w:ascii="Calibri" w:hAnsi="Calibri"/>
          <w:b w:val="false"/>
          <w:bCs w:val="false"/>
          <w:color w:themeColor="text1" w:val="auto"/>
          <w:sz w:val="24"/>
        </w:rPr>
        <w:t xml:space="preserve">και αυτό κακή απόδοση </w:t>
      </w:r>
      <w:r>
        <w:rPr>
          <w:rFonts w:cs="Times New Roman" w:ascii="Calibri" w:hAnsi="Calibri"/>
          <w:b w:val="false"/>
          <w:bCs w:val="false"/>
          <w:color w:themeColor="text1" w:val="auto"/>
          <w:sz w:val="24"/>
        </w:rPr>
        <w:t>στην χώνευση</w:t>
      </w:r>
      <w:r>
        <w:rPr>
          <w:rFonts w:cs="Times New Roman" w:ascii="Calibri" w:hAnsi="Calibri"/>
          <w:b w:val="false"/>
          <w:bCs w:val="false"/>
          <w:color w:themeColor="text1" w:val="auto"/>
          <w:sz w:val="24"/>
        </w:rPr>
        <w:t xml:space="preserve">, το οποίο δείχνει </w:t>
      </w:r>
      <w:r>
        <w:rPr>
          <w:rFonts w:cs="Times New Roman" w:ascii="Calibri" w:hAnsi="Calibri"/>
          <w:b w:val="false"/>
          <w:bCs w:val="false"/>
          <w:color w:themeColor="text1" w:val="auto"/>
          <w:sz w:val="24"/>
        </w:rPr>
        <w:t>πως μία καλή ζύμωση, η οποία μπορεί να επιτευχθεί με την προσθήκη του σκευάσματος αυτού είναι σημαντική, ακόμη και αν μειώνεται το τελικό COD του υδρολύματος.</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Βέβαια, μία ισορροπία μεταξύ υδρόλυσης και ζύμωσης είναι σημαντική. Είναι εμφανές πως το πείραμα με τα 2 ml μιξ, το οποίο θεωρείται πως είχε την καλύτερη ζύμωση (προσθήκη παραπάνω από 2 ml έδειχνε να μην συνεισφέρει άλλο στην βιοαποδόμηση) έχει τον γρηγορότερο ρυθμό στην αρχή του πειράματος, το οποίο είναι επειδή έχει την καλύτερη οξεογένεση. Όμως, το υδρόλυμα με 1 ml μιξ, το οποίο είχε καλύτερη υδρόλυση, μετά από ένα χρόνο καθυστέρησης, παρήγαγε περισσότερο μεθάνιο. Οπότε θεωρείται και το καλύτερο πείραμα.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p>
    <w:p>
      <w:pPr>
        <w:pStyle w:val="BodyText"/>
        <w:widowControl w:val="false"/>
        <w:spacing w:lineRule="auto" w:line="240" w:before="240" w:after="60"/>
        <w:rPr>
          <w:rFonts w:ascii="Calibri" w:hAnsi="Calibri" w:cs="Times New Roman" w:asciiTheme="minorHAnsi" w:hAnsiTheme="minorHAnsi"/>
          <w:b/>
          <w:color w:val="auto"/>
          <w:lang w:val="en-US"/>
        </w:rPr>
      </w:pPr>
      <w:r>
        <w:rPr>
          <w:rFonts w:cs="Times New Roman" w:ascii="Calibri" w:hAnsi="Calibri" w:asciiTheme="minorHAnsi" w:hAnsiTheme="minorHAnsi"/>
          <w:b/>
          <w:color w:themeColor="text1" w:val="auto"/>
          <w:lang w:val="en-US"/>
        </w:rPr>
        <w:t>ΕΥΧΑΡΙΣΤΙΕΣ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color w:themeColor="text1" w:val="auto"/>
        </w:rPr>
        <w:t>Η παρούσα εργασία υλοποιήθηκε στα πλαίσια του ερευνητικού έργου</w:t>
      </w:r>
      <w:r>
        <w:rPr>
          <w:rFonts w:cs="Times New Roman" w:ascii="Calibri" w:hAnsi="Calibri" w:asciiTheme="minorHAnsi" w:hAnsiTheme="minorHAnsi"/>
          <w:color w:themeColor="text1" w:val="auto"/>
          <w:lang w:val="en-US"/>
        </w:rPr>
        <w:t xml:space="preserve"> …</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ΒΙΒΛΙΟΓΡΑΦΙΑ</w:t>
      </w:r>
    </w:p>
    <w:p>
      <w:pPr>
        <w:pStyle w:val="ListParagraph"/>
        <w:widowControl/>
        <w:numPr>
          <w:ilvl w:val="0"/>
          <w:numId w:val="3"/>
        </w:numPr>
        <w:suppressAutoHyphens w:val="true"/>
        <w:bidi w:val="0"/>
        <w:spacing w:lineRule="auto" w:line="240"/>
        <w:ind w:hanging="360" w:left="360"/>
        <w:rPr/>
      </w:pPr>
      <w:bookmarkStart w:id="1" w:name="citeproc_bib_item_4"/>
      <w:r>
        <w:rPr>
          <w:rFonts w:eastAsia="Calibri" w:cs="Times New Roman" w:ascii="Calibri" w:hAnsi="Calibri" w:asciiTheme="minorHAnsi" w:hAnsiTheme="minorHAnsi"/>
          <w:b w:val="false"/>
          <w:bCs w:val="false"/>
          <w:color w:themeColor="text1" w:val="auto"/>
          <w:szCs w:val="22"/>
          <w:lang w:val="en-US"/>
        </w:rPr>
        <w:t xml:space="preserve">Zwietering, M. H., I. Jongenburger, F. M. Rombouts, and K. van ’t Riet. </w:t>
      </w:r>
      <w:r>
        <w:rPr>
          <w:rFonts w:eastAsia="Calibri" w:cs="Times New Roman" w:ascii="Calibri" w:hAnsi="Calibri" w:asciiTheme="minorHAnsi" w:hAnsiTheme="minorHAnsi"/>
          <w:b w:val="false"/>
          <w:bCs w:val="false"/>
          <w:color w:themeColor="text1" w:val="auto"/>
          <w:szCs w:val="22"/>
          <w:lang w:val="en-US"/>
        </w:rPr>
        <w:t>(</w:t>
      </w:r>
      <w:r>
        <w:rPr>
          <w:rFonts w:eastAsia="Calibri" w:cs="Times New Roman" w:ascii="Calibri" w:hAnsi="Calibri" w:asciiTheme="minorHAnsi" w:hAnsiTheme="minorHAnsi"/>
          <w:b w:val="false"/>
          <w:bCs w:val="false"/>
          <w:color w:themeColor="text1" w:val="auto"/>
          <w:szCs w:val="22"/>
          <w:lang w:val="en-US"/>
        </w:rPr>
        <w:t>1990</w:t>
      </w:r>
      <w:r>
        <w:rPr>
          <w:rFonts w:eastAsia="Calibri" w:cs="Times New Roman" w:ascii="Calibri" w:hAnsi="Calibri" w:asciiTheme="minorHAnsi" w:hAnsiTheme="minorHAnsi"/>
          <w:b w:val="false"/>
          <w:bCs w:val="false"/>
          <w:color w:themeColor="text1" w:val="auto"/>
          <w:szCs w:val="22"/>
          <w:lang w:val="en-US"/>
        </w:rPr>
        <w:t>)</w:t>
      </w:r>
      <w:r>
        <w:rPr>
          <w:rFonts w:eastAsia="Calibri" w:cs="Times New Roman" w:ascii="Calibri" w:hAnsi="Calibri" w:asciiTheme="minorHAnsi" w:hAnsiTheme="minorHAnsi"/>
          <w:b w:val="false"/>
          <w:bCs w:val="false"/>
          <w:color w:themeColor="text1" w:val="auto"/>
          <w:szCs w:val="22"/>
          <w:lang w:val="en-US"/>
        </w:rPr>
        <w:t xml:space="preserve">. </w:t>
      </w:r>
      <w:r>
        <w:rPr>
          <w:rFonts w:eastAsia="Calibri" w:cs="Times New Roman" w:ascii="Calibri" w:hAnsi="Calibri" w:asciiTheme="minorHAnsi" w:hAnsiTheme="minorHAnsi"/>
          <w:b w:val="false"/>
          <w:bCs w:val="false"/>
          <w:i/>
          <w:iCs/>
          <w:color w:themeColor="text1" w:val="auto"/>
          <w:szCs w:val="22"/>
          <w:lang w:val="en-US"/>
        </w:rPr>
        <w:t>Applied and Environmental Microbiology</w:t>
      </w:r>
      <w:r>
        <w:rPr>
          <w:rFonts w:eastAsia="Calibri" w:cs="Times New Roman" w:ascii="Calibri" w:hAnsi="Calibri" w:asciiTheme="minorHAnsi" w:hAnsiTheme="minorHAnsi"/>
          <w:b w:val="false"/>
          <w:bCs w:val="false"/>
          <w:color w:themeColor="text1" w:val="auto"/>
          <w:szCs w:val="22"/>
          <w:lang w:val="en-US"/>
        </w:rPr>
        <w:t xml:space="preserve"> ., 56 (6): 1875–81.</w:t>
      </w:r>
      <w:bookmarkEnd w:id="1"/>
    </w:p>
    <w:p>
      <w:pPr>
        <w:pStyle w:val="ListParagraph"/>
        <w:widowControl/>
        <w:numPr>
          <w:ilvl w:val="0"/>
          <w:numId w:val="3"/>
        </w:numPr>
        <w:suppressAutoHyphens w:val="true"/>
        <w:bidi w:val="0"/>
        <w:spacing w:lineRule="auto" w:line="240"/>
        <w:ind w:hanging="360" w:left="360"/>
        <w:rPr/>
      </w:pPr>
      <w:bookmarkStart w:id="2" w:name="citeproc_bib_item_1"/>
      <w:r>
        <w:rPr>
          <w:rFonts w:eastAsia="Calibri" w:cs="Times New Roman" w:ascii="Calibri" w:hAnsi="Calibri" w:asciiTheme="minorHAnsi" w:hAnsiTheme="minorHAnsi"/>
          <w:szCs w:val="22"/>
          <w:lang w:val="en-US"/>
        </w:rPr>
        <w:t xml:space="preserve">Feng, Kai, Huan Li, Zhou Deng, Qiao Wang, Yangyang Zhang, and Chengzhi Zheng. </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2020</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 xml:space="preserve">. </w:t>
      </w:r>
      <w:r>
        <w:rPr>
          <w:rFonts w:eastAsia="Calibri" w:cs="Times New Roman" w:ascii="Calibri" w:hAnsi="Calibri" w:asciiTheme="minorHAnsi" w:hAnsiTheme="minorHAnsi"/>
          <w:i/>
          <w:iCs/>
          <w:szCs w:val="22"/>
          <w:lang w:val="en-US"/>
        </w:rPr>
        <w:t>Renewable Energy</w:t>
      </w:r>
      <w:r>
        <w:rPr>
          <w:rFonts w:eastAsia="Calibri" w:cs="Times New Roman" w:ascii="Calibri" w:hAnsi="Calibri" w:asciiTheme="minorHAnsi" w:hAnsiTheme="minorHAnsi"/>
          <w:szCs w:val="22"/>
          <w:lang w:val="en-US"/>
        </w:rPr>
        <w:t xml:space="preserve"> ., </w:t>
      </w:r>
      <w:r>
        <w:rPr>
          <w:rFonts w:eastAsia="Calibri" w:cs="Times New Roman" w:ascii="Calibri" w:hAnsi="Calibri" w:asciiTheme="minorHAnsi" w:hAnsiTheme="minorHAnsi"/>
          <w:szCs w:val="22"/>
          <w:lang w:val="en-US"/>
        </w:rPr>
        <w:t>1</w:t>
      </w:r>
      <w:r>
        <w:rPr>
          <w:rFonts w:eastAsia="Calibri" w:cs="Times New Roman" w:ascii="Calibri" w:hAnsi="Calibri" w:asciiTheme="minorHAnsi" w:hAnsiTheme="minorHAnsi"/>
          <w:szCs w:val="22"/>
          <w:lang w:val="en-US"/>
        </w:rPr>
        <w:t>46,1588–95.</w:t>
      </w:r>
      <w:bookmarkEnd w:id="2"/>
    </w:p>
    <w:p>
      <w:pPr>
        <w:pStyle w:val="ListParagraph"/>
        <w:widowControl/>
        <w:numPr>
          <w:ilvl w:val="0"/>
          <w:numId w:val="3"/>
        </w:numPr>
        <w:suppressAutoHyphens w:val="true"/>
        <w:bidi w:val="0"/>
        <w:spacing w:lineRule="auto" w:line="240"/>
        <w:ind w:hanging="360" w:left="360"/>
        <w:rPr/>
      </w:pPr>
      <w:bookmarkStart w:id="3" w:name="citeproc_bib_item_2"/>
      <w:r>
        <w:rPr>
          <w:rFonts w:eastAsia="Calibri" w:cs="Times New Roman" w:ascii="Calibri" w:hAnsi="Calibri" w:asciiTheme="minorHAnsi" w:hAnsiTheme="minorHAnsi"/>
          <w:szCs w:val="22"/>
          <w:lang w:val="en-US"/>
        </w:rPr>
        <w:t xml:space="preserve">Hobbs, S.R., A.E. Landis, B.E. Rittmann, M.N. Young, and P. Parameswaran. </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2018</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 xml:space="preserve">. </w:t>
      </w:r>
      <w:r>
        <w:rPr>
          <w:rFonts w:eastAsia="Calibri" w:cs="Times New Roman" w:ascii="Calibri" w:hAnsi="Calibri" w:asciiTheme="minorHAnsi" w:hAnsiTheme="minorHAnsi"/>
          <w:i/>
          <w:iCs/>
          <w:szCs w:val="22"/>
          <w:lang w:val="en-US"/>
        </w:rPr>
        <w:t>Waste Management.</w:t>
      </w:r>
      <w:r>
        <w:rPr>
          <w:rFonts w:eastAsia="Calibri" w:cs="Times New Roman" w:ascii="Calibri" w:hAnsi="Calibri" w:asciiTheme="minorHAnsi" w:hAnsiTheme="minorHAnsi"/>
          <w:i w:val="false"/>
          <w:iCs w:val="false"/>
          <w:szCs w:val="22"/>
          <w:lang w:val="en-US"/>
        </w:rPr>
        <w:t>,</w:t>
      </w:r>
      <w:r>
        <w:rPr>
          <w:rFonts w:eastAsia="Calibri" w:cs="Times New Roman" w:ascii="Calibri" w:hAnsi="Calibri" w:asciiTheme="minorHAnsi" w:hAnsiTheme="minorHAnsi"/>
          <w:i/>
          <w:iCs/>
          <w:szCs w:val="22"/>
          <w:lang w:val="en-US"/>
        </w:rPr>
        <w:t xml:space="preserve"> </w:t>
      </w:r>
      <w:r>
        <w:rPr>
          <w:rFonts w:eastAsia="Calibri" w:cs="Times New Roman" w:ascii="Calibri" w:hAnsi="Calibri" w:asciiTheme="minorHAnsi" w:hAnsiTheme="minorHAnsi"/>
          <w:szCs w:val="22"/>
          <w:lang w:val="en-US"/>
        </w:rPr>
        <w:t>71, 612–17.</w:t>
      </w:r>
      <w:bookmarkEnd w:id="3"/>
    </w:p>
    <w:p>
      <w:pPr>
        <w:pStyle w:val="ListParagraph"/>
        <w:widowControl/>
        <w:numPr>
          <w:ilvl w:val="0"/>
          <w:numId w:val="3"/>
        </w:numPr>
        <w:suppressAutoHyphens w:val="true"/>
        <w:bidi w:val="0"/>
        <w:spacing w:lineRule="auto" w:line="240"/>
        <w:ind w:hanging="360" w:left="360"/>
        <w:rPr/>
      </w:pPr>
      <w:bookmarkStart w:id="4" w:name="citeproc_bib_item_3"/>
      <w:r>
        <w:rPr>
          <w:rFonts w:eastAsia="Calibri" w:cs="Times New Roman" w:ascii="Calibri" w:hAnsi="Calibri" w:asciiTheme="minorHAnsi" w:hAnsiTheme="minorHAnsi"/>
          <w:szCs w:val="22"/>
          <w:lang w:val="en-US"/>
        </w:rPr>
        <w:t xml:space="preserve">Uçkun Kiran, Esra, Antoine P. Trzcinski, and Yu Liu. </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2015</w:t>
      </w:r>
      <w:r>
        <w:rPr>
          <w:rFonts w:eastAsia="Calibri" w:cs="Times New Roman" w:ascii="Calibri" w:hAnsi="Calibri" w:asciiTheme="minorHAnsi" w:hAnsiTheme="minorHAnsi"/>
          <w:szCs w:val="22"/>
          <w:lang w:val="en-US"/>
        </w:rPr>
        <w:t>)</w:t>
      </w:r>
      <w:r>
        <w:rPr>
          <w:rFonts w:eastAsia="Calibri" w:cs="Times New Roman" w:ascii="Calibri" w:hAnsi="Calibri" w:asciiTheme="minorHAnsi" w:hAnsiTheme="minorHAnsi"/>
          <w:szCs w:val="22"/>
          <w:lang w:val="en-US"/>
        </w:rPr>
        <w:t xml:space="preserve">. </w:t>
      </w:r>
      <w:r>
        <w:rPr>
          <w:rFonts w:eastAsia="Calibri" w:cs="Times New Roman" w:ascii="Calibri" w:hAnsi="Calibri" w:asciiTheme="minorHAnsi" w:hAnsiTheme="minorHAnsi"/>
          <w:i/>
          <w:iCs/>
          <w:szCs w:val="22"/>
          <w:lang w:val="en-US"/>
        </w:rPr>
        <w:t>Bioresource Technolog</w:t>
      </w:r>
      <w:r>
        <w:rPr>
          <w:rFonts w:eastAsia="Calibri" w:cs="Times New Roman" w:ascii="Calibri" w:hAnsi="Calibri" w:asciiTheme="minorHAnsi" w:hAnsiTheme="minorHAnsi"/>
          <w:i/>
          <w:iCs/>
          <w:szCs w:val="22"/>
          <w:lang w:val="en-US"/>
        </w:rPr>
        <w:t xml:space="preserve">y., </w:t>
      </w:r>
      <w:r>
        <w:rPr>
          <w:rFonts w:eastAsia="Calibri" w:cs="Times New Roman" w:ascii="Calibri" w:hAnsi="Calibri" w:asciiTheme="minorHAnsi" w:hAnsiTheme="minorHAnsi"/>
          <w:i w:val="false"/>
          <w:iCs w:val="false"/>
          <w:szCs w:val="22"/>
          <w:lang w:val="en-US"/>
        </w:rPr>
        <w:t>183 ,</w:t>
      </w:r>
      <w:r>
        <w:rPr>
          <w:rFonts w:eastAsia="Calibri" w:cs="Times New Roman" w:ascii="Calibri" w:hAnsi="Calibri" w:asciiTheme="minorHAnsi" w:hAnsiTheme="minorHAnsi"/>
          <w:szCs w:val="22"/>
          <w:lang w:val="en-US"/>
        </w:rPr>
        <w:t xml:space="preserve"> 47–52.</w:t>
      </w:r>
      <w:bookmarkEnd w:id="4"/>
    </w:p>
    <w:p>
      <w:pPr>
        <w:pStyle w:val="ListParagraph"/>
        <w:widowControl/>
        <w:suppressAutoHyphens w:val="true"/>
        <w:bidi w:val="0"/>
        <w:spacing w:lineRule="auto" w:line="240"/>
        <w:ind w:hanging="0" w:left="360"/>
        <w:rPr>
          <w:rFonts w:ascii="Calibri" w:hAnsi="Calibri" w:cs="Times New Roman" w:asciiTheme="minorHAnsi" w:hAnsiTheme="minorHAnsi"/>
          <w:szCs w:val="22"/>
          <w:lang w:val="en-US"/>
        </w:rPr>
      </w:pPr>
      <w:r>
        <w:rPr/>
      </w:r>
    </w:p>
    <w:sectPr>
      <w:headerReference w:type="even" r:id="rId12"/>
      <w:headerReference w:type="default" r:id="rId13"/>
      <w:headerReference w:type="first" r:id="rId14"/>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mbr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basedOn w:val="DefaultParagraphFont"/>
    <w:unhideWhenUsed/>
    <w:qFormat/>
    <w:rsid w:val="00241b8e"/>
    <w:rPr>
      <w:vertAlign w:val="superscript"/>
    </w:rPr>
  </w:style>
  <w:style w:type="character" w:styleId="FootnoteReference" w:customStyle="1">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2"/>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name w:val="First Paragraph"/>
    <w:basedOn w:val="BodyText"/>
    <w:next w:val="BodyTex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en-enzymes.com/" TargetMode="External"/><Relationship Id="rId3" Type="http://schemas.openxmlformats.org/officeDocument/2006/relationships/hyperlink" Target="https://www.feedtheorca.com/" TargetMode="External"/><Relationship Id="rId4" Type="http://schemas.openxmlformats.org/officeDocument/2006/relationships/hyperlink" Target="https://julialang.org/" TargetMode="External"/><Relationship Id="rId5" Type="http://schemas.openxmlformats.org/officeDocument/2006/relationships/hyperlink" Target="https://github.com/JuliaNLSolvers/LsqFit.jl"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file>

<file path=customXml/itemProps2.xml><?xml version="1.0" encoding="utf-8"?>
<ds:datastoreItem xmlns:ds="http://schemas.openxmlformats.org/officeDocument/2006/customXml" ds:itemID="{C1ACC81A-712E-4A80-BB28-9319191AE4FA}"/>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452</TotalTime>
  <Application>LibreOffice/24.2.2.2$Linux_X86_64 LibreOffice_project/420$Build-2</Application>
  <AppVersion>15.0000</AppVersion>
  <DocSecurity>4</DocSecurity>
  <Pages>7</Pages>
  <Words>1975</Words>
  <Characters>11634</Characters>
  <CharactersWithSpaces>13708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2018-11-01T03:30:00Z</dcterms:created>
  <dc:creator>C. Chatzidoukas</dc:creator>
  <dc:description/>
  <dc:language>el-GR</dc:language>
  <cp:lastModifiedBy/>
  <cp:lastPrinted>2024-04-20T15:53:31Z</cp:lastPrinted>
  <dcterms:modified xsi:type="dcterms:W3CDTF">2024-04-20T19:37:50Z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