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svg" ContentType="image/svg"/>
  <Override PartName="/word/media/image5.png" ContentType="image/png"/>
  <Override PartName="/word/media/image3.png" ContentType="image/png"/>
  <Override PartName="/word/media/image4.svg" ContentType="image/svg"/>
  <Override PartName="/word/media/image7.png" ContentType="image/png"/>
  <Override PartName="/word/media/image6.svg" ContentType="image/svg"/>
  <Override PartName="/word/media/image9.png" ContentType="image/png"/>
  <Override PartName="/word/media/image10.svg" ContentType="image/svg"/>
  <Override PartName="/word/media/image8.svg" ContentType="image/sv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1094" w:leader="none"/>
          <w:tab w:val="left" w:pos="-720" w:leader="none"/>
          <w:tab w:val="left" w:pos="0" w:leader="none"/>
          <w:tab w:val="left" w:pos="328" w:leader="none"/>
          <w:tab w:val="left" w:pos="90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190" w:leader="none"/>
        </w:tabs>
        <w:spacing w:lineRule="auto" w:line="240" w:before="60" w:after="0"/>
        <w:ind w:right="418"/>
        <w:jc w:val="center"/>
        <w:rPr>
          <w:lang w:val="el-GR"/>
        </w:rPr>
      </w:pPr>
      <w:r>
        <w:rPr>
          <w:rFonts w:eastAsia="Times New Roman" w:cs="Times New Roman"/>
          <w:b/>
          <w:szCs w:val="24"/>
          <w:lang w:val="el-GR" w:eastAsia="el-GR"/>
        </w:rPr>
        <w:t>ΒΙΟΑΠΟΔΟΜΗΣΗ ΥΠΟΛΕΙΜΜΑΤΩΝ ΤΡΟΦΙΜΩΝ ΚΑΙ ΠΑΡΑΓΩΓΗ ΒΙΟΑΕΡΙΟΥ ΜΕΣΩ ΑΝΑΕΡΟΒΙΑΣ ΧΩΝΕΥΣΗΣ ΣΕ ΕΡΓΑΣΤΗΡΙΑΚΗ ΚΑΙ ΠΙΛΟΤΙΚΗ ΚΛΙΜΑΚΑ</w:t>
      </w:r>
    </w:p>
    <w:p>
      <w:pPr>
        <w:pStyle w:val="Normal"/>
        <w:tabs>
          <w:tab w:val="clear" w:pos="720"/>
          <w:tab w:val="left" w:pos="-1094" w:leader="none"/>
          <w:tab w:val="left" w:pos="-720" w:leader="none"/>
          <w:tab w:val="left" w:pos="0" w:leader="none"/>
          <w:tab w:val="left" w:pos="328" w:leader="none"/>
          <w:tab w:val="left" w:pos="90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190" w:leader="none"/>
        </w:tabs>
        <w:spacing w:lineRule="auto" w:line="240" w:before="60" w:after="0"/>
        <w:ind w:right="418"/>
        <w:jc w:val="center"/>
        <w:rPr>
          <w:rFonts w:ascii="Calibri" w:hAnsi="Calibri" w:eastAsia="Times New Roman" w:cs="Times New Roman" w:asciiTheme="minorHAnsi" w:hAnsiTheme="minorHAnsi"/>
          <w:b/>
          <w:caps/>
          <w:color w:val="auto"/>
          <w:szCs w:val="24"/>
          <w:lang w:val="el-GR" w:eastAsia="el-GR"/>
        </w:rPr>
      </w:pPr>
      <w:r>
        <w:rPr>
          <w:rFonts w:eastAsia="Times New Roman" w:cs="Times New Roman"/>
          <w:b/>
          <w:caps/>
          <w:color w:themeColor="text1" w:val="auto"/>
          <w:szCs w:val="24"/>
          <w:lang w:val="el-GR" w:eastAsia="el-GR"/>
        </w:rPr>
      </w:r>
    </w:p>
    <w:p>
      <w:pPr>
        <w:pStyle w:val="Normal"/>
        <w:keepNext w:val="true"/>
        <w:spacing w:lineRule="auto" w:line="240" w:before="60" w:after="0"/>
        <w:jc w:val="center"/>
        <w:rPr>
          <w:szCs w:val="24"/>
          <w:lang w:val="el-GR"/>
        </w:rPr>
      </w:pPr>
      <w:r>
        <w:rPr>
          <w:rFonts w:cs="Times New Roman"/>
          <w:b/>
          <w:szCs w:val="24"/>
          <w:u w:val="single"/>
          <w:lang w:val="el-GR"/>
        </w:rPr>
        <w:t>Β. Γιαννίτσης</w:t>
      </w:r>
      <w:r>
        <w:rPr>
          <w:rFonts w:cs="Times New Roman"/>
          <w:b/>
          <w:szCs w:val="24"/>
          <w:vertAlign w:val="superscript"/>
          <w:lang w:val="el-GR"/>
        </w:rPr>
        <w:t>1*</w:t>
      </w:r>
      <w:r>
        <w:rPr>
          <w:rFonts w:cs="Times New Roman"/>
          <w:b/>
          <w:szCs w:val="24"/>
          <w:lang w:val="el-GR"/>
        </w:rPr>
        <w:t>, Δ. Τσιβάς</w:t>
      </w:r>
      <w:r>
        <w:rPr>
          <w:rFonts w:cs="Times New Roman"/>
          <w:b/>
          <w:szCs w:val="24"/>
          <w:vertAlign w:val="superscript"/>
          <w:lang w:val="el-GR"/>
        </w:rPr>
        <w:t>1</w:t>
      </w:r>
      <w:r>
        <w:rPr>
          <w:rFonts w:cs="Times New Roman"/>
          <w:b/>
          <w:szCs w:val="24"/>
          <w:lang w:val="el-GR"/>
        </w:rPr>
        <w:t>, Δ. Θεοδόση Παλιμέρη</w:t>
      </w:r>
      <w:r>
        <w:rPr>
          <w:rFonts w:cs="Times New Roman"/>
          <w:b/>
          <w:szCs w:val="24"/>
          <w:vertAlign w:val="superscript"/>
          <w:lang w:val="el-GR"/>
        </w:rPr>
        <w:t>1</w:t>
      </w:r>
      <w:r>
        <w:rPr>
          <w:rFonts w:cs="Times New Roman"/>
          <w:b/>
          <w:szCs w:val="24"/>
          <w:lang w:val="el-GR"/>
        </w:rPr>
        <w:t>, Α. Βλυσίδης</w:t>
      </w:r>
      <w:r>
        <w:rPr>
          <w:rFonts w:cs="Times New Roman"/>
          <w:b/>
          <w:szCs w:val="24"/>
          <w:vertAlign w:val="superscript"/>
          <w:lang w:val="el-GR"/>
        </w:rPr>
        <w:t>1</w:t>
      </w:r>
    </w:p>
    <w:p>
      <w:pPr>
        <w:pStyle w:val="Normal"/>
        <w:spacing w:lineRule="auto" w:line="240" w:before="60" w:after="0"/>
        <w:jc w:val="center"/>
        <w:rPr>
          <w:lang w:val="el-GR"/>
        </w:rPr>
      </w:pPr>
      <w:r>
        <w:rPr>
          <w:rFonts w:asciiTheme="minorHAnsi" w:hAnsiTheme="minorHAnsi"/>
          <w:szCs w:val="24"/>
          <w:vertAlign w:val="superscript"/>
          <w:lang w:val="el-GR"/>
        </w:rPr>
        <w:t>1</w:t>
      </w:r>
      <w:r>
        <w:rPr>
          <w:rFonts w:asciiTheme="minorHAnsi" w:hAnsiTheme="minorHAnsi"/>
          <w:szCs w:val="24"/>
          <w:lang w:val="el-GR"/>
        </w:rPr>
        <w:t>Τμήμα Χημικών Μηχανικών, ΕΜΠ, Αθήνα, Ελλάδα</w:t>
      </w:r>
    </w:p>
    <w:p>
      <w:pPr>
        <w:pStyle w:val="Normal"/>
        <w:spacing w:lineRule="auto" w:line="240" w:before="60" w:after="0"/>
        <w:jc w:val="center"/>
        <w:rPr>
          <w:lang w:val="el-GR"/>
        </w:rPr>
      </w:pPr>
      <w:r>
        <w:rPr>
          <w:rFonts w:eastAsia="Times New Roman" w:cs="Times New Roman"/>
          <w:i/>
          <w:szCs w:val="24"/>
          <w:lang w:val="el-GR"/>
        </w:rPr>
        <w:t xml:space="preserve"> </w:t>
      </w:r>
      <w:r>
        <w:rPr>
          <w:rFonts w:eastAsia="Times New Roman" w:cs="Times New Roman"/>
          <w:i/>
          <w:szCs w:val="24"/>
          <w:lang w:val="el-GR"/>
        </w:rPr>
        <w:t>(</w:t>
      </w:r>
      <w:r>
        <w:rPr>
          <w:rFonts w:cs="Times New Roman"/>
          <w:i/>
          <w:szCs w:val="24"/>
          <w:lang w:val="el-GR"/>
        </w:rPr>
        <w:t>*</w:t>
      </w:r>
      <w:r>
        <w:rPr>
          <w:rStyle w:val="Hyperlink"/>
          <w:rFonts w:cs="Times New Roman"/>
          <w:i/>
          <w:szCs w:val="24"/>
          <w:lang w:val="el-GR"/>
        </w:rPr>
        <w:t>vidianosgiannitsis@gmail.com</w:t>
      </w:r>
      <w:r>
        <w:rPr>
          <w:rStyle w:val="Hyperlink"/>
          <w:rFonts w:cs="Times New Roman"/>
          <w:color w:themeColor="text1" w:val="000000"/>
          <w:szCs w:val="24"/>
          <w:u w:val="none"/>
          <w:lang w:val="el-GR"/>
        </w:rPr>
        <w:t>)</w:t>
      </w:r>
    </w:p>
    <w:p>
      <w:pPr>
        <w:pStyle w:val="BodyText"/>
        <w:widowControl w:val="false"/>
        <w:spacing w:lineRule="auto" w:line="240" w:before="240" w:after="60"/>
        <w:rPr>
          <w:rFonts w:ascii="Calibri" w:hAnsi="Calibri" w:asciiTheme="minorHAnsi" w:hAnsiTheme="minorHAnsi"/>
        </w:rPr>
      </w:pPr>
      <w:r>
        <w:rPr>
          <w:rFonts w:cs="Times New Roman" w:ascii="Calibri" w:hAnsi="Calibri" w:asciiTheme="minorHAnsi" w:hAnsiTheme="minorHAnsi"/>
          <w:b/>
        </w:rPr>
        <w:t>ΠΕΡΙΛΗΨΗ</w:t>
      </w:r>
    </w:p>
    <w:p>
      <w:pPr>
        <w:pStyle w:val="BodyText"/>
        <w:widowControl w:val="false"/>
        <w:spacing w:lineRule="auto" w:line="240"/>
        <w:rPr>
          <w:rFonts w:ascii="Calibri" w:hAnsi="Calibri" w:cs="Times New Roman" w:asciiTheme="minorHAnsi" w:hAnsiTheme="minorHAnsi"/>
        </w:rPr>
      </w:pPr>
      <w:r>
        <w:rPr>
          <w:rStyle w:val="Hps"/>
          <w:rFonts w:cs="Times New Roman" w:ascii="Calibri" w:hAnsi="Calibri" w:asciiTheme="minorHAnsi" w:hAnsiTheme="minorHAnsi"/>
        </w:rPr>
        <w:t>Σκοπός της παρούσας μελέτης είναι η διερεύνηση της επεξεργασίας των υπολειμμάτων τροφίμων (</w:t>
      </w:r>
      <w:r>
        <w:rPr>
          <w:rStyle w:val="Hps"/>
          <w:rFonts w:cs="Times New Roman" w:ascii="Calibri" w:hAnsi="Calibri" w:asciiTheme="minorHAnsi" w:hAnsiTheme="minorHAnsi"/>
          <w:lang w:val="en-US"/>
        </w:rPr>
        <w:t>FW</w:t>
      </w:r>
      <w:r>
        <w:rPr>
          <w:rStyle w:val="Hps"/>
          <w:rFonts w:cs="Times New Roman" w:ascii="Calibri" w:hAnsi="Calibri" w:asciiTheme="minorHAnsi" w:hAnsiTheme="minorHAnsi"/>
        </w:rPr>
        <w:t>), αξιοποιώντας σκεύασμα ενζύμων και μικροοργανισμών (</w:t>
      </w:r>
      <w:r>
        <w:rPr>
          <w:rStyle w:val="Hps"/>
          <w:rFonts w:cs="Times New Roman" w:ascii="Calibri" w:hAnsi="Calibri" w:asciiTheme="minorHAnsi" w:hAnsiTheme="minorHAnsi"/>
          <w:lang w:val="en-US"/>
        </w:rPr>
        <w:t>mix</w:t>
      </w:r>
      <w:r>
        <w:rPr>
          <w:rStyle w:val="Hps"/>
          <w:rFonts w:cs="Times New Roman" w:ascii="Calibri" w:hAnsi="Calibri" w:asciiTheme="minorHAnsi" w:hAnsiTheme="minorHAnsi"/>
        </w:rPr>
        <w:t xml:space="preserve">), καθώς επίσης και η αξιολόγηση της δυνατότητας αξιοποίησης του τελικού προϊόντος επεξεργασίας για την παραγωγή μεθανίου. Κατά την βιοαποδόμηση με ένα τέτοιο σκεύασμα, τα υπολείμματα τροφών μεταβολίζονται σε ένα μίγμα πτητικών λιπαρών οξέων (VFAs) και σακχάρων το οποίο είναι ιδιαίτερα κατάλληλο ως υπόστρωμα για αναερόβια χώνευση. Αρχικά πραγματοποιείται επεξεργασία των υπολειμμάτων τροφίμων σε αντιδραστήρες εργαστηριακής κλίμακας με χρήση σκευάσματος ενζύμων μικροοργανισμών, και μελετώνται ως παράμετροι η θερμοκρασία, ο χρόνος και η αρχική ποσότητα του σκευάσματος. Ως μεταβλητές απόκρισης της βιοαποδόμησης λαμβάνονται η ποσότητα και το είδος των προϊόντων που παράγονται. Στη συνέχεια ακολουθεί η βιοαποδόμηση των </w:t>
      </w:r>
      <w:r>
        <w:rPr>
          <w:rStyle w:val="Hps"/>
          <w:rFonts w:cs="Times New Roman" w:ascii="Calibri" w:hAnsi="Calibri" w:asciiTheme="minorHAnsi" w:hAnsiTheme="minorHAnsi"/>
          <w:lang w:val="en-US"/>
        </w:rPr>
        <w:t>FW</w:t>
      </w:r>
      <w:r>
        <w:rPr>
          <w:rStyle w:val="Hps"/>
          <w:rFonts w:cs="Times New Roman" w:ascii="Calibri" w:hAnsi="Calibri" w:asciiTheme="minorHAnsi" w:hAnsiTheme="minorHAnsi"/>
        </w:rPr>
        <w:t xml:space="preserve"> σε πιλοτικό αντιδραστήρα 300 λίτρων προσαρμόζοντας τις πιο κρίσιμες λειτουργικές παραμέτρους όπως είναι η ποσότητα σκευάσματος/</w:t>
      </w:r>
      <w:r>
        <w:rPr>
          <w:rStyle w:val="Hps"/>
          <w:rFonts w:cs="Times New Roman" w:ascii="Calibri" w:hAnsi="Calibri" w:asciiTheme="minorHAnsi" w:hAnsiTheme="minorHAnsi"/>
          <w:lang w:val="en-US"/>
        </w:rPr>
        <w:t>kg</w:t>
      </w:r>
      <w:r>
        <w:rPr>
          <w:rStyle w:val="Hps"/>
          <w:rFonts w:cs="Times New Roman" w:ascii="Calibri" w:hAnsi="Calibri" w:asciiTheme="minorHAnsi" w:hAnsiTheme="minorHAnsi"/>
        </w:rPr>
        <w:t xml:space="preserve"> ξηρού </w:t>
      </w:r>
      <w:r>
        <w:rPr>
          <w:rStyle w:val="Hps"/>
          <w:rFonts w:cs="Times New Roman" w:ascii="Calibri" w:hAnsi="Calibri" w:asciiTheme="minorHAnsi" w:hAnsiTheme="minorHAnsi"/>
          <w:lang w:val="en-US"/>
        </w:rPr>
        <w:t>FW</w:t>
      </w:r>
      <w:r>
        <w:rPr>
          <w:rStyle w:val="Hps"/>
          <w:rFonts w:cs="Times New Roman" w:ascii="Calibri" w:hAnsi="Calibri" w:asciiTheme="minorHAnsi" w:hAnsiTheme="minorHAnsi"/>
        </w:rPr>
        <w:t xml:space="preserve"> και η παροχή νερού. Υδρολύματα τόσο από τα πειράματα εργαστηριακής κλίμακας όσο και από τον πιλοτικό αντιδραστήρα χρησιμοποιούνται ως υπόστρωμα σε αναερόβιους αντιδραστήρες διαλείποντος έργου για να προσδιορισθεί η μέγιστη ποσότητα καθώς και ο ρυθμός παραγωγής μεθανίου. Τα αποτελέσματα υδρόλυσης </w:t>
      </w:r>
      <w:r>
        <w:rPr>
          <w:rStyle w:val="Hps"/>
          <w:rFonts w:cs="Times New Roman" w:ascii="Calibri" w:hAnsi="Calibri" w:asciiTheme="minorHAnsi" w:hAnsiTheme="minorHAnsi"/>
          <w:lang w:val="en-US"/>
        </w:rPr>
        <w:t>FW</w:t>
      </w:r>
      <w:r>
        <w:rPr>
          <w:rStyle w:val="Hps"/>
          <w:rFonts w:cs="Times New Roman" w:ascii="Calibri" w:hAnsi="Calibri" w:asciiTheme="minorHAnsi" w:hAnsiTheme="minorHAnsi"/>
        </w:rPr>
        <w:t xml:space="preserve"> εργαστηριακής κλίμακας έδειξαν ότι στους 40</w:t>
      </w:r>
      <w:r>
        <w:rPr>
          <w:rFonts w:cs="Times New Roman" w:ascii="Calibri" w:hAnsi="Calibri" w:asciiTheme="minorHAnsi" w:hAnsiTheme="minorHAnsi"/>
          <w:vertAlign w:val="superscript"/>
        </w:rPr>
        <w:t>o</w:t>
      </w:r>
      <w:r>
        <w:rPr>
          <w:rFonts w:cs="Times New Roman" w:ascii="Calibri" w:hAnsi="Calibri" w:asciiTheme="minorHAnsi" w:hAnsiTheme="minorHAnsi"/>
        </w:rPr>
        <w:t xml:space="preserve">C επιτυγχάνεται καλύτερη βιοαποδόμηση ενώ σε αυτή τη θερμοκρασία με αύξηση της προσθήκης σκευάσματος ενζύμων μικροοργανισμών αυξάνεται και η οξεογένεση. Από τα πειράματα βιοαποδόμησης στον πιλοτικό αντιδραστήρα, η καλύτερη απόδοση ήταν </w:t>
      </w:r>
      <w:r>
        <w:rPr>
          <w:rFonts w:cs="Times New Roman" w:ascii="Calibri" w:hAnsi="Calibri"/>
        </w:rPr>
        <w:t xml:space="preserve">46,1 </w:t>
      </w:r>
      <w:r>
        <w:rPr>
          <w:rFonts w:cs="Times New Roman" w:ascii="DejaVu Sans" w:hAnsi="DejaVu Sans"/>
        </w:rPr>
        <w:t>±</w:t>
      </w:r>
      <w:r>
        <w:rPr>
          <w:rFonts w:cs="Times New Roman" w:ascii="Calibri" w:hAnsi="Calibri"/>
        </w:rPr>
        <w:t xml:space="preserve"> 12,2 % και παρατηρήθηκε σε συνθήκες:</w:t>
      </w:r>
      <w:r>
        <w:rPr>
          <w:rFonts w:cs="Times New Roman" w:ascii="Calibri" w:hAnsi="Calibri" w:asciiTheme="minorHAnsi" w:hAnsiTheme="minorHAnsi"/>
        </w:rPr>
        <w:t xml:space="preserve"> </w:t>
      </w:r>
      <w:r>
        <w:rPr>
          <w:rFonts w:cs="Times New Roman" w:ascii="Calibri" w:hAnsi="Calibri"/>
        </w:rPr>
        <w:t xml:space="preserve">35,8 kg FW/day με προσθήκη 0,005 L </w:t>
      </w:r>
      <w:r>
        <w:rPr>
          <w:rFonts w:cs="Times New Roman" w:ascii="Calibri" w:hAnsi="Calibri"/>
          <w:lang w:val="en-US"/>
        </w:rPr>
        <w:t>mix</w:t>
      </w:r>
      <w:r>
        <w:rPr>
          <w:rFonts w:cs="Times New Roman" w:ascii="Calibri" w:hAnsi="Calibri"/>
        </w:rPr>
        <w:t xml:space="preserve">/kg FW και 4,2 kg νερού/kg FW. Κατά την αναερόβια χώνευση, η μέγιστη μεθανογόνος δραστικότητα της λάσπης ήταν 10,776 </w:t>
      </w:r>
      <w:r>
        <w:rPr>
          <w:rFonts w:cs="Times New Roman" w:ascii="Calibri" w:hAnsi="Calibri"/>
          <w:lang w:val="en-US"/>
        </w:rPr>
        <w:t>mL</w:t>
      </w:r>
      <w:r>
        <w:rPr>
          <w:rFonts w:cs="Times New Roman" w:ascii="Calibri" w:hAnsi="Calibri"/>
        </w:rPr>
        <w:t xml:space="preserve"> </w:t>
      </w:r>
      <w:r>
        <w:rPr>
          <w:rFonts w:cs="Times New Roman" w:ascii="Calibri" w:hAnsi="Calibri"/>
          <w:lang w:val="en-US"/>
        </w:rPr>
        <w:t>CH</w:t>
      </w:r>
      <w:r>
        <w:rPr>
          <w:rFonts w:cs="Times New Roman" w:ascii="Calibri" w:hAnsi="Calibri"/>
          <w:vertAlign w:val="subscript"/>
        </w:rPr>
        <w:t>4</w:t>
      </w:r>
      <w:r>
        <w:rPr>
          <w:rFonts w:cs="Times New Roman" w:ascii="Calibri" w:hAnsi="Calibri"/>
        </w:rPr>
        <w:t>/</w:t>
      </w:r>
      <w:r>
        <w:rPr>
          <w:rFonts w:cs="Times New Roman" w:ascii="Calibri" w:hAnsi="Calibri"/>
          <w:lang w:val="en-US"/>
        </w:rPr>
        <w:t>g</w:t>
      </w:r>
      <w:r>
        <w:rPr>
          <w:rFonts w:cs="Times New Roman" w:ascii="Calibri" w:hAnsi="Calibri"/>
        </w:rPr>
        <w:t xml:space="preserve"> </w:t>
      </w:r>
      <w:r>
        <w:rPr>
          <w:rFonts w:cs="Times New Roman" w:ascii="Calibri" w:hAnsi="Calibri"/>
          <w:lang w:val="en-US"/>
        </w:rPr>
        <w:t>VS</w:t>
      </w:r>
      <w:r>
        <w:rPr>
          <w:rFonts w:cs="Times New Roman" w:ascii="Calibri" w:hAnsi="Calibri"/>
        </w:rPr>
        <w:t>-</w:t>
      </w:r>
      <w:r>
        <w:rPr>
          <w:rFonts w:cs="Times New Roman" w:ascii="Calibri" w:hAnsi="Calibri"/>
          <w:lang w:val="en-US"/>
        </w:rPr>
        <w:t>day</w:t>
      </w:r>
      <w:r>
        <w:rPr>
          <w:rFonts w:cs="Times New Roman" w:ascii="Calibri" w:hAnsi="Calibri"/>
        </w:rPr>
        <w:t xml:space="preserve"> και παρατηρήθηκε μετά την τροφοδοσία με υδρόλυμα προερχόμενο από βιοαποδομηση με 0,005 </w:t>
      </w:r>
      <w:r>
        <w:rPr>
          <w:rFonts w:cs="Times New Roman" w:ascii="Calibri" w:hAnsi="Calibri"/>
          <w:lang w:val="en-US"/>
        </w:rPr>
        <w:t>L</w:t>
      </w:r>
      <w:r>
        <w:rPr>
          <w:rFonts w:cs="Times New Roman" w:ascii="Calibri" w:hAnsi="Calibri"/>
        </w:rPr>
        <w:t xml:space="preserve"> </w:t>
      </w:r>
      <w:r>
        <w:rPr>
          <w:rFonts w:cs="Times New Roman" w:ascii="Calibri" w:hAnsi="Calibri"/>
          <w:lang w:val="en-US"/>
        </w:rPr>
        <w:t>mix</w:t>
      </w:r>
      <w:r>
        <w:rPr>
          <w:rFonts w:cs="Times New Roman" w:ascii="Calibri" w:hAnsi="Calibri"/>
        </w:rPr>
        <w:t>/</w:t>
      </w:r>
      <w:r>
        <w:rPr>
          <w:rFonts w:cs="Times New Roman" w:ascii="Calibri" w:hAnsi="Calibri"/>
          <w:lang w:val="en-US"/>
        </w:rPr>
        <w:t>kg</w:t>
      </w:r>
      <w:r>
        <w:rPr>
          <w:rFonts w:cs="Times New Roman" w:ascii="Calibri" w:hAnsi="Calibri"/>
        </w:rPr>
        <w:t xml:space="preserve"> </w:t>
      </w:r>
      <w:r>
        <w:rPr>
          <w:rFonts w:cs="Times New Roman" w:ascii="Calibri" w:hAnsi="Calibri"/>
          <w:lang w:val="en-US"/>
        </w:rPr>
        <w:t>FW</w:t>
      </w:r>
      <w:r>
        <w:rPr>
          <w:rFonts w:cs="Times New Roman" w:ascii="Calibri" w:hAnsi="Calibri"/>
        </w:rPr>
        <w:t xml:space="preserve">. Συμπερασματικά η βιοαποδόμηση </w:t>
      </w:r>
      <w:r>
        <w:rPr>
          <w:rFonts w:cs="Times New Roman" w:ascii="Calibri" w:hAnsi="Calibri"/>
          <w:lang w:val="en-US"/>
        </w:rPr>
        <w:t>FW</w:t>
      </w:r>
      <w:r>
        <w:rPr>
          <w:rFonts w:cs="Times New Roman" w:ascii="Calibri" w:hAnsi="Calibri"/>
        </w:rPr>
        <w:t xml:space="preserve"> με σκεύασμα ενζύμων-μικροοργανισμών ως προεπεξεργασία οδηγεί σε αύξηση της μεθανογόνου δραστικότητας της αναερόβιας λάσπης αλλά και της συνολικής παραγωγής μεθανίου.</w:t>
      </w:r>
    </w:p>
    <w:p>
      <w:pPr>
        <w:pStyle w:val="BodyText"/>
        <w:widowControl w:val="false"/>
        <w:spacing w:lineRule="auto" w:line="240" w:before="240" w:after="60"/>
        <w:rPr>
          <w:rFonts w:ascii="Calibri" w:hAnsi="Calibri" w:asciiTheme="minorHAnsi" w:hAnsiTheme="minorHAnsi"/>
        </w:rPr>
      </w:pPr>
      <w:r>
        <w:rPr>
          <w:rFonts w:cs="Times New Roman" w:ascii="Calibri" w:hAnsi="Calibri" w:asciiTheme="minorHAnsi" w:hAnsiTheme="minorHAnsi"/>
          <w:b/>
        </w:rPr>
        <w:t xml:space="preserve">ΛΕΞΕΙΣ ΚΛΕΙΔΙΑ: </w:t>
      </w:r>
      <w:r>
        <w:rPr>
          <w:rFonts w:cs="Times New Roman" w:ascii="Calibri" w:hAnsi="Calibri" w:asciiTheme="minorHAnsi" w:hAnsiTheme="minorHAnsi"/>
          <w:sz w:val="22"/>
          <w:szCs w:val="22"/>
        </w:rPr>
        <w:t>Υπολείμματα τροφίμων, Υδρόλυση, Βιοαποδόμηση, Αναερόβια χώνευση, Παραγωγή μεθανίου</w:t>
      </w:r>
    </w:p>
    <w:p>
      <w:pPr>
        <w:pStyle w:val="BodyText"/>
        <w:widowControl w:val="false"/>
        <w:spacing w:lineRule="auto" w:line="240" w:before="240" w:after="60"/>
        <w:rPr>
          <w:rFonts w:ascii="Calibri" w:hAnsi="Calibri" w:asciiTheme="minorHAnsi" w:hAnsiTheme="minorHAnsi"/>
        </w:rPr>
      </w:pPr>
      <w:r>
        <w:rPr>
          <w:rFonts w:cs="Times New Roman" w:ascii="Calibri" w:hAnsi="Calibri" w:asciiTheme="minorHAnsi" w:hAnsiTheme="minorHAnsi"/>
          <w:b/>
        </w:rPr>
        <w:t>ΕΙΣΑΓΩΓΗ</w:t>
      </w:r>
    </w:p>
    <w:p>
      <w:pPr>
        <w:pStyle w:val="BodyText"/>
        <w:widowControl w:val="false"/>
        <w:spacing w:lineRule="auto" w:line="240"/>
        <w:rPr>
          <w:rFonts w:ascii="Calibri" w:hAnsi="Calibri" w:cs="Times New Roman" w:asciiTheme="minorHAnsi" w:hAnsiTheme="minorHAnsi"/>
          <w:color w:val="auto"/>
        </w:rPr>
      </w:pPr>
      <w:r>
        <w:rPr>
          <w:rFonts w:cs="Times New Roman" w:ascii="Calibri" w:hAnsi="Calibri" w:asciiTheme="minorHAnsi" w:hAnsiTheme="minorHAnsi"/>
        </w:rPr>
        <w:t>Τα υπολείμματα τροφών αποτελούν ένα σημαντικό πρόβλημα στις σύγχρονες κοινωνίες, καθώς έχει υπολογιστεί πως περίπου το 1/3 της παγκόσμιας παραγωγής τροφίμων ετησίως (1.3 δις τόνοι) καταλήγουν να απορρίπτονται. Η μη ορθή διαχείριση των αποβλήτων αυτών επιβαρύνει κάθε έναν από τους τρεις πυλώνες της βιωσιμότητας</w:t>
      </w:r>
      <w:r>
        <w:rPr>
          <w:rFonts w:cs="Times New Roman" w:ascii="Calibri" w:hAnsi="Calibri" w:asciiTheme="minorHAnsi" w:hAnsiTheme="minorHAnsi"/>
          <w:vertAlign w:val="superscript"/>
        </w:rPr>
        <w:t>[1]</w:t>
      </w:r>
      <w:r>
        <w:rPr>
          <w:rFonts w:cs="Times New Roman" w:ascii="Calibri" w:hAnsi="Calibri" w:asciiTheme="minorHAnsi" w:hAnsiTheme="minorHAnsi"/>
        </w:rPr>
        <w:t>. Επομένως, είναι επιτακτική η ανάγκη εφαρμογής τεχνολογιών αξιοποίησης ή/και διαχείρισης των αποβλήτων αυτών, οι οποίες να είναι εύκολα εφαρμόσιμες σε μεγάλη κλίμακα. Το βασικότερο πρόβλημα επεξεργασίας των υπολειμμάτων τροφίμων είναι η περιεκτικότητά τους σε πολυμερή, των οποίων η υδρόλυση αποτελεί σημαντικό στάδιο για την επίτευξη υψηλών αποδόσεων. Η υδρόλυση γίνεται συνήθως ενζυμικά καθώς έχει καταγραφεί πως επιφέρει υψηλότερες αποδόσεις και δεν παράγει προϊόντα τοξικά προς μικροοργανισμούς. Παρόλα αυτά, το υψηλό κόστος των ενζυμικών σκευασμάτων την κάνει απαγορευτική σε μεγάλη κλίμακα</w:t>
      </w:r>
      <w:r>
        <w:rPr>
          <w:rFonts w:cs="Times New Roman" w:ascii="Calibri" w:hAnsi="Calibri" w:asciiTheme="minorHAnsi" w:hAnsiTheme="minorHAnsi"/>
          <w:vertAlign w:val="superscript"/>
        </w:rPr>
        <w:t>[3, 4]</w:t>
      </w:r>
      <w:r>
        <w:rPr>
          <w:rFonts w:cs="Times New Roman" w:ascii="Calibri" w:hAnsi="Calibri" w:asciiTheme="minorHAnsi" w:hAnsiTheme="minorHAnsi"/>
        </w:rPr>
        <w:t>. Μία υποσχόμενη και οικονομική λύση είναι η χρήση σκευασμάτων τα οποία περιέχουν ένζυμα και μικροοργανισμούς. Αυτά τα σκευάσματα επιτρέπουν την ταυτόχρονη υδρόλυση και ζύμωση (</w:t>
      </w:r>
      <w:r>
        <w:rPr>
          <w:rFonts w:cs="Times New Roman" w:ascii="Calibri" w:hAnsi="Calibri" w:asciiTheme="minorHAnsi" w:hAnsiTheme="minorHAnsi"/>
          <w:lang w:val="en-GB"/>
        </w:rPr>
        <w:t>SSF</w:t>
      </w:r>
      <w:r>
        <w:rPr>
          <w:rFonts w:cs="Times New Roman" w:ascii="Calibri" w:hAnsi="Calibri" w:asciiTheme="minorHAnsi" w:hAnsiTheme="minorHAnsi"/>
        </w:rPr>
        <w:t>) των υπολειμμάτων τροφίμων για παραγωγή χρήσιμων προϊόντων, όπως η αιθανόλη και τα πτητικά λιπαρά οξέα τα οποία μπορούν είτε να ανακτηθούν ως έχουν ή να χρησιμοποιηθούν σε διεργασίες, όπως η αναερόβια χώνευση</w:t>
      </w:r>
      <w:r>
        <w:rPr>
          <w:rFonts w:cs="Times New Roman" w:ascii="Calibri" w:hAnsi="Calibri" w:asciiTheme="minorHAnsi" w:hAnsiTheme="minorHAnsi"/>
          <w:vertAlign w:val="superscript"/>
        </w:rPr>
        <w:t>[2]</w:t>
      </w:r>
      <w:r>
        <w:rPr>
          <w:rFonts w:cs="Times New Roman" w:ascii="Calibri" w:hAnsi="Calibri" w:asciiTheme="minorHAnsi" w:hAnsiTheme="minorHAnsi"/>
        </w:rPr>
        <w:t>, ως ένα υπόστρωμα το οποίο μπορεί να μετατραπεί σε μεθάνιο πολύ πιο αποδοτικά από ότι το αρχικό. Πιο συγκεκριμένα ένα τέτοιο υπόστρωμα βελτίωνει την σταθερότητα της διεργασίας αφού περιορίζονται τα στάδια της υδρόλυσης και οξεογένεσης και ευνοείται η δράση των μεθανογόνων μικροοργανισμών</w:t>
      </w:r>
      <w:r>
        <w:rPr>
          <w:rFonts w:cs="Times New Roman" w:ascii="Calibri" w:hAnsi="Calibri" w:asciiTheme="minorHAnsi" w:hAnsiTheme="minorHAnsi"/>
          <w:vertAlign w:val="superscript"/>
        </w:rPr>
        <w:t xml:space="preserve"> [2, 5]</w:t>
      </w:r>
      <w:r>
        <w:rPr>
          <w:rFonts w:cs="Times New Roman" w:ascii="Calibri" w:hAnsi="Calibri" w:asciiTheme="minorHAnsi" w:hAnsiTheme="minorHAnsi"/>
        </w:rPr>
        <w:t>.</w:t>
      </w:r>
    </w:p>
    <w:p>
      <w:pPr>
        <w:pStyle w:val="BodyText"/>
        <w:widowControl w:val="false"/>
        <w:spacing w:lineRule="auto" w:line="240"/>
        <w:rPr>
          <w:rFonts w:ascii="Calibri" w:hAnsi="Calibri" w:cs="Times New Roman" w:asciiTheme="minorHAnsi" w:hAnsiTheme="minorHAnsi"/>
          <w:color w:val="auto"/>
        </w:rPr>
      </w:pPr>
      <w:r>
        <w:rPr>
          <w:rFonts w:cs="Times New Roman" w:ascii="Calibri" w:hAnsi="Calibri" w:asciiTheme="minorHAnsi" w:hAnsiTheme="minorHAnsi"/>
        </w:rPr>
        <w:t xml:space="preserve">Η παρούσα εργασία στοχεύει στη βιοαποδόμηση των υπολειμμάτων τροφίμων με χρήση εμπορικού σκευάσματος ενζύμων-μικροοργανισμών, αλλά και στην αξιοποίηση του υδρολύματος που προκύπτει για την παραγωγή μεθανίου. Για το λόγο αυτό εξετάζονται οι λειτουργικές συνθήκες της διεργασίας με σκοπό την βελτιστοποίησή της ώστε να μπορέσει να εφαρμοστεί αποτελεσματικά για την διαχείριση των υπολειμμάτων τροφών. Η επεξεργασία των </w:t>
      </w:r>
      <w:r>
        <w:rPr>
          <w:rFonts w:cs="Times New Roman" w:ascii="Calibri" w:hAnsi="Calibri" w:asciiTheme="minorHAnsi" w:hAnsiTheme="minorHAnsi"/>
          <w:lang w:val="en-US"/>
        </w:rPr>
        <w:t>FW</w:t>
      </w:r>
      <w:r>
        <w:rPr>
          <w:rFonts w:cs="Times New Roman" w:ascii="Calibri" w:hAnsi="Calibri" w:asciiTheme="minorHAnsi" w:hAnsiTheme="minorHAnsi"/>
        </w:rPr>
        <w:t xml:space="preserve"> αρχικά λαμβάνει χώρα σε αντιδραστήρες εργαστηριακής κλίμακας, και μελετάται η επίδραση της θερμοκρασίας και της ποσότητας του σκευάσματος στο είδος των προϊόντων που παράγονται (εκροή). Έπειτα η βιοαποδόμηση των </w:t>
      </w:r>
      <w:r>
        <w:rPr>
          <w:rFonts w:cs="Times New Roman" w:ascii="Calibri" w:hAnsi="Calibri" w:asciiTheme="minorHAnsi" w:hAnsiTheme="minorHAnsi"/>
          <w:lang w:val="en-US"/>
        </w:rPr>
        <w:t>FW</w:t>
      </w:r>
      <w:r>
        <w:rPr>
          <w:rFonts w:cs="Times New Roman" w:ascii="Calibri" w:hAnsi="Calibri" w:asciiTheme="minorHAnsi" w:hAnsiTheme="minorHAnsi"/>
        </w:rPr>
        <w:t xml:space="preserve"> δοκιμάζεται σε πιλοτικό αντιδραστήρα όπου εξετάζονται διαφορετικές συνθήκες λειτουργίας (π.χ. ποσότητα σκευάσματος, παροχή νερού) και ελέγχεται η απόδοση της υδρόλυσης. Τέλος, διερευνάται η δυνατότητα αξιοποίησης της παραγόμενης υγρής εκροής για την παραγωγή μεθανίου σε αναερόβιους αντιδραστήρες εργαστηριακής κλίμακας.</w:t>
      </w:r>
    </w:p>
    <w:p>
      <w:pPr>
        <w:pStyle w:val="BodyText"/>
        <w:widowControl w:val="false"/>
        <w:spacing w:lineRule="auto" w:line="240" w:before="240" w:after="60"/>
        <w:rPr>
          <w:rFonts w:ascii="Calibri" w:hAnsi="Calibri" w:asciiTheme="minorHAnsi" w:hAnsiTheme="minorHAnsi"/>
        </w:rPr>
      </w:pPr>
      <w:r>
        <w:rPr>
          <w:rFonts w:cs="Times New Roman" w:ascii="Calibri" w:hAnsi="Calibri" w:asciiTheme="minorHAnsi" w:hAnsiTheme="minorHAnsi"/>
          <w:b/>
        </w:rPr>
        <w:t>ΜΕΘΟΔΟΛΟΓΙΑ</w:t>
      </w:r>
    </w:p>
    <w:p>
      <w:pPr>
        <w:pStyle w:val="BodyText"/>
        <w:widowControl w:val="false"/>
        <w:spacing w:lineRule="auto" w:line="240"/>
        <w:rPr>
          <w:rFonts w:ascii="Calibri" w:hAnsi="Calibri" w:cs="Times New Roman"/>
        </w:rPr>
      </w:pPr>
      <w:r>
        <w:rPr>
          <w:rFonts w:cs="Times New Roman" w:ascii="Calibri" w:hAnsi="Calibri" w:asciiTheme="minorHAnsi" w:hAnsiTheme="minorHAnsi"/>
        </w:rPr>
        <w:t>Τα υπολείμματα τροφών που χρησιμοποιήθηκαν συλλέχθηκαν από το εστιατόριο του Εθνικού Μετσόβιου Πολυτεχνείου και αποθηκεύτηκαν στους -20</w:t>
      </w:r>
      <w:r>
        <w:rPr>
          <w:rFonts w:cs="Times New Roman" w:ascii="Calibri" w:hAnsi="Calibri" w:asciiTheme="minorHAnsi" w:hAnsiTheme="minorHAnsi"/>
          <w:vertAlign w:val="superscript"/>
        </w:rPr>
        <w:t>o</w:t>
      </w:r>
      <w:r>
        <w:rPr>
          <w:rFonts w:cs="Times New Roman" w:ascii="Calibri" w:hAnsi="Calibri" w:asciiTheme="minorHAnsi" w:hAnsiTheme="minorHAnsi"/>
        </w:rPr>
        <w:t>C για περαίτερω χρήση. Για τα εργαστηριακά πειράματα, τα τρόφιμα τεμαχίστηκαν σε μπλέντερ (Cecotec Powder Black Titanium 2000) για να δημιουργηθεί μία ομοιόμορφη ημιστερεή φάση η οποία μπορεί να χρησιμοποιηθεί ως υπόστρωμα για την υδρόλυση, ενώ στην πιλοτική κλίμακα αυτό δεν ήταν απαραίτητο καθώς ο αντιδραστήρας είχε αυτή την δυνατότητα.</w:t>
      </w:r>
      <w:r>
        <w:rPr/>
        <w:t xml:space="preserve"> </w:t>
      </w:r>
      <w:r>
        <w:rPr>
          <w:rFonts w:cs="Times New Roman" w:ascii="Calibri" w:hAnsi="Calibri" w:asciiTheme="minorHAnsi" w:hAnsiTheme="minorHAnsi"/>
        </w:rPr>
        <w:t>Για την βιοαποδόμηση της οργανικής ύλης χρησιμοποιήθηκε το εμπορικό σκεύασμα ενζύμων και μικροοργανισμών PROGEN το οποίο έχει ως σκοπό την αποτελεσματική υδρόλυση του υποστρώματος αλλά και την ζύμωση της οργανικής ύλης σε VFAs.</w:t>
      </w:r>
      <w:r>
        <w:rPr/>
        <w:t xml:space="preserve"> </w:t>
      </w:r>
      <w:r>
        <w:rPr>
          <w:rFonts w:cs="Times New Roman" w:ascii="Calibri" w:hAnsi="Calibri"/>
        </w:rPr>
        <w:t xml:space="preserve">Για την αναερόβια χώνευση χρησιμοποιήθηκε αναερόβια λάσπη προερχόμενη από 2 διαφορετικές πηγές: α) μονάδα επεξεργασίας απορριμμάτων Βοιωτίας και στη συνέχεια β) κέντρο επεξεργασίας λυμάτων στα βόρεια προάστεια της Αθήνας. </w:t>
      </w:r>
    </w:p>
    <w:p>
      <w:pPr>
        <w:pStyle w:val="BodyText"/>
        <w:widowControl w:val="false"/>
        <w:spacing w:lineRule="auto" w:line="240"/>
        <w:rPr>
          <w:rFonts w:ascii="Calibri" w:hAnsi="Calibri" w:cs="Times New Roman" w:asciiTheme="minorHAnsi" w:hAnsiTheme="minorHAnsi"/>
        </w:rPr>
      </w:pPr>
      <w:r>
        <w:rPr>
          <w:rFonts w:cs="Times New Roman" w:ascii="Calibri" w:hAnsi="Calibri"/>
        </w:rPr>
        <w:t>Τα πειράματα βιοαποδόμησης σε εργαστηριακή κλίμακα ήταν διαλείποντος έργου και έγιναν σε διάταξη με 7 διαθέσιμα δοχεία συνολικού όγκου 1000 mL εξοπλισμένα με αναδευτήρες και με δυνατότητα ρύθμισης της θερμοκρασίας.</w:t>
      </w:r>
      <w:r>
        <w:rPr>
          <w:rFonts w:cs="Times New Roman" w:ascii="Calibri" w:hAnsi="Calibri" w:asciiTheme="minorHAnsi" w:hAnsiTheme="minorHAnsi"/>
        </w:rPr>
        <w:t xml:space="preserve"> </w:t>
      </w:r>
      <w:r>
        <w:rPr>
          <w:rFonts w:cs="Times New Roman" w:ascii="Calibri" w:hAnsi="Calibri"/>
        </w:rPr>
        <w:t>Οι θερμοκρασίες που εξετάστηκαν κατά τη βιοαποδόμηση ήταν 35 και 40</w:t>
      </w:r>
      <w:r>
        <w:rPr>
          <w:rFonts w:cs="Times New Roman" w:ascii="Calibri" w:hAnsi="Calibri"/>
          <w:vertAlign w:val="superscript"/>
        </w:rPr>
        <w:t>o</w:t>
      </w:r>
      <w:r>
        <w:rPr>
          <w:rFonts w:cs="Times New Roman" w:ascii="Calibri" w:hAnsi="Calibri"/>
        </w:rPr>
        <w:t xml:space="preserve">C. Σε κάθε δοχείο τροφοδοτήθηκαν 200 g τεμαχισμένων υπολειμμάτων τροφών και αυτά αραιώθηκαν με 600 ml νερό για την επίτευξη της ομοιογένειας. Οι ποσότητες του σκευάσματος ενζύμων-μικροοργανισμών (mix) που εξετάστηκαν είναι 0 (επίδραση μόνο της θερμοκρασίας), 1, 2, 4 και 8 </w:t>
      </w:r>
      <w:r>
        <w:rPr>
          <w:rFonts w:cs="Times New Roman" w:ascii="Calibri" w:hAnsi="Calibri"/>
          <w:lang w:val="en-US"/>
        </w:rPr>
        <w:t>mL</w:t>
      </w:r>
      <w:r>
        <w:rPr>
          <w:rFonts w:cs="Times New Roman" w:ascii="Calibri" w:hAnsi="Calibri"/>
        </w:rPr>
        <w:t xml:space="preserve"> με αντίστοιχες αναλογίες υποστρώματος/εμβολίου 200, 100, 50 και 25 g υγρού F</w:t>
      </w:r>
      <w:r>
        <w:rPr>
          <w:rFonts w:cs="Times New Roman" w:ascii="Calibri" w:hAnsi="Calibri"/>
          <w:lang w:val="en-US"/>
        </w:rPr>
        <w:t>W</w:t>
      </w:r>
      <w:r>
        <w:rPr>
          <w:rFonts w:cs="Times New Roman" w:ascii="Calibri" w:hAnsi="Calibri"/>
        </w:rPr>
        <w:t>/</w:t>
      </w:r>
      <w:r>
        <w:rPr>
          <w:rFonts w:cs="Times New Roman" w:ascii="Calibri" w:hAnsi="Calibri"/>
          <w:lang w:val="en-US"/>
        </w:rPr>
        <w:t>mL</w:t>
      </w:r>
      <w:r>
        <w:rPr>
          <w:rFonts w:cs="Times New Roman" w:ascii="Calibri" w:hAnsi="Calibri"/>
        </w:rPr>
        <w:t xml:space="preserve"> </w:t>
      </w:r>
      <w:r>
        <w:rPr>
          <w:rFonts w:cs="Times New Roman" w:ascii="Calibri" w:hAnsi="Calibri"/>
          <w:lang w:val="en-US"/>
        </w:rPr>
        <w:t>mix</w:t>
      </w:r>
      <w:r>
        <w:rPr>
          <w:rFonts w:cs="Times New Roman" w:ascii="Calibri" w:hAnsi="Calibri"/>
        </w:rPr>
        <w:t xml:space="preserve">. Η ανάδευση ρυθμίστηκε στα 120 rpm για κάθε πείραμα και η διάρκεια του κάθε πειράματος ήταν 72 ώρες. Η απόδοση της βιοαποδόμησης εκτιμάται από την παραγωγή </w:t>
      </w:r>
      <w:r>
        <w:rPr>
          <w:rFonts w:cs="Times New Roman" w:ascii="Calibri" w:hAnsi="Calibri"/>
          <w:lang w:val="en-US"/>
        </w:rPr>
        <w:t>VFAs</w:t>
      </w:r>
      <w:r>
        <w:rPr>
          <w:rFonts w:cs="Times New Roman" w:ascii="Calibri" w:hAnsi="Calibri"/>
        </w:rPr>
        <w:t xml:space="preserve"> στο τέλος της διεργασίας.</w:t>
      </w:r>
    </w:p>
    <w:p>
      <w:pPr>
        <w:pStyle w:val="BodyText"/>
        <w:widowControl w:val="false"/>
        <w:spacing w:lineRule="auto" w:line="240"/>
        <w:rPr>
          <w:rFonts w:ascii="Calibri" w:hAnsi="Calibri" w:cs="Times New Roman"/>
        </w:rPr>
      </w:pPr>
      <w:r>
        <w:rPr>
          <w:rFonts w:cs="Times New Roman" w:ascii="Calibri" w:hAnsi="Calibri" w:asciiTheme="minorHAnsi" w:hAnsiTheme="minorHAnsi"/>
        </w:rPr>
        <w:t>Για τα πειράματα σε πιλοτική κλίμακα χρησιμοποιήθηκε ο αερόβιος χωνευτήρας (</w:t>
      </w:r>
      <w:r>
        <w:rPr>
          <w:rFonts w:cs="Times New Roman" w:ascii="Calibri" w:hAnsi="Calibri" w:asciiTheme="minorHAnsi" w:hAnsiTheme="minorHAnsi"/>
          <w:lang w:val="en-US"/>
        </w:rPr>
        <w:t>MyECO</w:t>
      </w:r>
      <w:r>
        <w:rPr>
          <w:rFonts w:cs="Times New Roman" w:ascii="Calibri" w:hAnsi="Calibri" w:asciiTheme="minorHAnsi" w:hAnsiTheme="minorHAnsi"/>
        </w:rPr>
        <w:t xml:space="preserve">) χωρητικότητας 300 L. </w:t>
      </w:r>
      <w:r>
        <w:rPr>
          <w:rFonts w:cs="Times New Roman" w:ascii="Calibri" w:hAnsi="Calibri"/>
        </w:rPr>
        <w:t xml:space="preserve">Ο αντιδραστήρας έχει αδρανές πληρωτικό υλικό, για την καλύτερη διεπαφή </w:t>
      </w:r>
      <w:r>
        <w:rPr>
          <w:rFonts w:cs="Times New Roman" w:ascii="Calibri" w:hAnsi="Calibri"/>
          <w:lang w:val="en-US"/>
        </w:rPr>
        <w:t>FW</w:t>
      </w:r>
      <w:r>
        <w:rPr>
          <w:rFonts w:cs="Times New Roman" w:ascii="Calibri" w:hAnsi="Calibri"/>
        </w:rPr>
        <w:t xml:space="preserve"> και ενζύμων-μικροοργανισμών. Επίσης, έχει εσωτερική ζυγαριά για την μέτρηση της μάζας της τροφοδοσίας του και ροόμετρο για την μέτρηση της παροχής νερού. Τέλος, έχει ένα PLC το οποίο επιτρέπει την ρύθμιση του ρυθμού τροφοδοσίας του ενζυμικού σκευάσματος καθώς και τη ρύθμιση του νερού που προστίθεται στο εσωτερικό του αντιδραστήρα αλλά και στην εκροή του για την αραίωση του τελικού προϊόντος. Στα πειράματα που έγιναν εξετάστηκε η επίδραση του ρυθμού τροφοδοσίας του σκευάσματος (mL σκευάσματος/kg ξηρού FW/day) καθώς και της παροχής νερού στην υδρόλυση του </w:t>
      </w:r>
      <w:r>
        <w:rPr>
          <w:rFonts w:cs="Times New Roman" w:ascii="Calibri" w:hAnsi="Calibri"/>
          <w:lang w:val="en-US"/>
        </w:rPr>
        <w:t>FW</w:t>
      </w:r>
      <w:r>
        <w:rPr>
          <w:rFonts w:cs="Times New Roman" w:ascii="Calibri" w:hAnsi="Calibri"/>
        </w:rPr>
        <w:t>.</w:t>
      </w:r>
      <w:r>
        <w:rPr>
          <w:rFonts w:cs="Times New Roman" w:ascii="Calibri" w:hAnsi="Calibri" w:asciiTheme="minorHAnsi" w:hAnsiTheme="minorHAnsi"/>
        </w:rPr>
        <w:t xml:space="preserve"> Η λειτουργία του αντιδραστήρα ήταν ημι-συνεχής καθώς η τροφοδοσία γινόταν 2 φορές την ημέρα με ποσότητες 25-36 kg υγρού FW/ημέρα, ενώ το κάθε πείραμα είχε διάρκεια 5 ημέρες. Η εκροή του αντιδραστήρα συλλεγόταν σε δεξαμενή συνολικής χωρητικότητας 250 L μετά από λιποσυλλογή. </w:t>
      </w:r>
      <w:r>
        <w:rPr>
          <w:rFonts w:cs="Times New Roman" w:ascii="Calibri" w:hAnsi="Calibri"/>
        </w:rPr>
        <w:t xml:space="preserve">Για τα πειράματα πιλοτικής κλίμακας, η βασική απόκριση του πειράματος ήταν ο λόγος διαλυτού προς ολικό COD ο οποίος δείχνει την βιοαποδομησιμότητα του υποστρώματος. </w:t>
      </w:r>
    </w:p>
    <w:p>
      <w:pPr>
        <w:pStyle w:val="BodyText"/>
        <w:widowControl w:val="false"/>
        <w:spacing w:lineRule="auto" w:line="240"/>
        <w:rPr>
          <w:rFonts w:ascii="Calibri" w:hAnsi="Calibri" w:cs="Times New Roman"/>
        </w:rPr>
      </w:pPr>
      <w:r>
        <w:rPr>
          <w:rFonts w:cs="Times New Roman" w:ascii="Calibri" w:hAnsi="Calibri"/>
        </w:rPr>
        <w:t>Η αναερόβια χώνευση πραγματοποιήθηκε σε εργαστηριακούς αντιδραστήρες διαλείποντος έργου, συνολικού όγκου 500 m</w:t>
      </w:r>
      <w:r>
        <w:rPr>
          <w:rFonts w:cs="Times New Roman" w:ascii="Calibri" w:hAnsi="Calibri"/>
          <w:lang w:val="en-US"/>
        </w:rPr>
        <w:t>L</w:t>
      </w:r>
      <w:r>
        <w:rPr>
          <w:rFonts w:cs="Times New Roman" w:ascii="Calibri" w:hAnsi="Calibri"/>
        </w:rPr>
        <w:t xml:space="preserve">. Αυτοί εμβολιάστηκαν με 120 </w:t>
      </w:r>
      <w:r>
        <w:rPr>
          <w:rFonts w:cs="Times New Roman" w:ascii="Calibri" w:hAnsi="Calibri"/>
          <w:lang w:val="en-US"/>
        </w:rPr>
        <w:t>g</w:t>
      </w:r>
      <w:r>
        <w:rPr>
          <w:rFonts w:cs="Times New Roman" w:ascii="Calibri" w:hAnsi="Calibri"/>
        </w:rPr>
        <w:t xml:space="preserve"> αναερόβιας λάσπης, πληρώθηκαν με 350 </w:t>
      </w:r>
      <w:r>
        <w:rPr>
          <w:rFonts w:cs="Times New Roman" w:ascii="Calibri" w:hAnsi="Calibri"/>
          <w:lang w:val="en-US"/>
        </w:rPr>
        <w:t>mL</w:t>
      </w:r>
      <w:r>
        <w:rPr>
          <w:rFonts w:cs="Times New Roman" w:ascii="Calibri" w:hAnsi="Calibri"/>
        </w:rPr>
        <w:t xml:space="preserve"> νερού και τοποθετήθηκαν σε υδατόλουτρο με θερμοκρασία 37</w:t>
      </w:r>
      <w:r>
        <w:rPr>
          <w:rFonts w:cs="Times New Roman" w:ascii="Calibri" w:hAnsi="Calibri"/>
          <w:vertAlign w:val="superscript"/>
        </w:rPr>
        <w:t>o</w:t>
      </w:r>
      <w:r>
        <w:rPr>
          <w:rFonts w:cs="Times New Roman" w:ascii="Calibri" w:hAnsi="Calibri"/>
        </w:rPr>
        <w:t xml:space="preserve">C και ανάδευση 170 rpm. Αρχικά, η αναερόβια λάσπη ενεργοποιήθηκε με τροφοδοσία με οξικό οξύ (100 </w:t>
      </w:r>
      <w:r>
        <w:rPr>
          <w:rFonts w:cs="Times New Roman" w:ascii="Calibri" w:hAnsi="Calibri"/>
          <w:lang w:val="en-US"/>
        </w:rPr>
        <w:t>mg</w:t>
      </w:r>
      <w:r>
        <w:rPr>
          <w:rFonts w:cs="Times New Roman" w:ascii="Calibri" w:hAnsi="Calibri"/>
        </w:rPr>
        <w:t xml:space="preserve">) και έπειτα ακολούθησε τροφοδοσία με τα υδρολύματα που προέκυψαν από τη βιοαποδόμηση με 0, 1, 2 και 4 mL </w:t>
      </w:r>
      <w:r>
        <w:rPr>
          <w:rFonts w:cs="Times New Roman" w:ascii="Calibri" w:hAnsi="Calibri"/>
          <w:lang w:val="en-US"/>
        </w:rPr>
        <w:t>mix</w:t>
      </w:r>
      <w:r>
        <w:rPr>
          <w:rFonts w:cs="Times New Roman" w:ascii="Calibri" w:hAnsi="Calibri"/>
        </w:rPr>
        <w:t xml:space="preserve">/200 </w:t>
      </w:r>
      <w:r>
        <w:rPr>
          <w:rFonts w:cs="Times New Roman" w:ascii="Calibri" w:hAnsi="Calibri"/>
          <w:lang w:val="en-US"/>
        </w:rPr>
        <w:t>g</w:t>
      </w:r>
      <w:r>
        <w:rPr>
          <w:rFonts w:cs="Times New Roman" w:ascii="Calibri" w:hAnsi="Calibri"/>
        </w:rPr>
        <w:t xml:space="preserve"> </w:t>
      </w:r>
      <w:r>
        <w:rPr>
          <w:rFonts w:cs="Times New Roman" w:ascii="Calibri" w:hAnsi="Calibri"/>
          <w:lang w:val="en-US"/>
        </w:rPr>
        <w:t>FW</w:t>
      </w:r>
      <w:r>
        <w:rPr>
          <w:rFonts w:cs="Times New Roman" w:ascii="Calibri" w:hAnsi="Calibri"/>
        </w:rPr>
        <w:t xml:space="preserve"> στους 40</w:t>
      </w:r>
      <w:r>
        <w:rPr>
          <w:rFonts w:cs="Calibri" w:ascii="Calibri" w:hAnsi="Calibri" w:cstheme="minorHAnsi"/>
          <w:vertAlign w:val="superscript"/>
        </w:rPr>
        <w:t>o</w:t>
      </w:r>
      <w:r>
        <w:rPr>
          <w:rFonts w:cs="Calibri" w:ascii="Calibri" w:hAnsi="Calibri" w:cstheme="minorHAnsi"/>
        </w:rPr>
        <w:t>C</w:t>
      </w:r>
      <w:r>
        <w:rPr>
          <w:rFonts w:cs="Times New Roman" w:ascii="Calibri" w:hAnsi="Calibri"/>
        </w:rPr>
        <w:t xml:space="preserve">, αλλά και με ανεπεξέργαστο FW. Το παραγόμενο αέριο αρχικά διοχετεύεται σε διάλυμα </w:t>
      </w:r>
      <w:r>
        <w:rPr>
          <w:rFonts w:cs="Times New Roman" w:ascii="Calibri" w:hAnsi="Calibri"/>
          <w:lang w:val="en-US"/>
        </w:rPr>
        <w:t>NaOH</w:t>
      </w:r>
      <w:r>
        <w:rPr>
          <w:rFonts w:cs="Times New Roman" w:ascii="Calibri" w:hAnsi="Calibri"/>
        </w:rPr>
        <w:t xml:space="preserve"> 1Μ όπου δεσμεύεται το διοξείδιο του άνθρακα ενώ το μεθάνιο συλλέγεται και μετράται με την τεχνική της μετατόπισης του υγρού. Η παραγωγή μεθανίου στο χρόνο καταγράφεται με σύστημα παρακολούθησης με χρήση κάμερας. Πραγματοποιήθηκαν 2 κύκλοι πειραμάτων αναερόβιας χώνευσης με λάσπη 2 διαφορετικών προελεύσεων. Κατά τον πρώτο κύκλο πειραμάτων (λάσπη Βοιωτίας) χρησιμοποιήθηκαν 1.55 g VS λάσπης/αντιδραστήρα, ενώ στον δεύτερο (λάσπη ΚΕΛ Αττικής) τροφοδοτήθηκαν 4.2 g VS λάσπης/αντιδραστήρα. Τέλος ακολούθησε η αναερόβια επεξεργασία του υδρολύματος που προέκυψε από τον πιλοτικό αντιδραστήρα με χρήση σκευάσματος ενζύμων-μικροοργανισμών που αντιστοιχούσε σε 1 και 2 </w:t>
      </w:r>
      <w:r>
        <w:rPr>
          <w:rFonts w:cs="Times New Roman" w:ascii="Calibri" w:hAnsi="Calibri"/>
          <w:lang w:val="en-US"/>
        </w:rPr>
        <w:t>mL</w:t>
      </w:r>
      <w:r>
        <w:rPr>
          <w:rFonts w:cs="Times New Roman" w:ascii="Calibri" w:hAnsi="Calibri"/>
        </w:rPr>
        <w:t xml:space="preserve"> </w:t>
      </w:r>
      <w:r>
        <w:rPr>
          <w:rFonts w:cs="Times New Roman" w:ascii="Calibri" w:hAnsi="Calibri"/>
          <w:lang w:val="en-US"/>
        </w:rPr>
        <w:t>mix</w:t>
      </w:r>
      <w:r>
        <w:rPr>
          <w:rFonts w:cs="Times New Roman" w:ascii="Calibri" w:hAnsi="Calibri"/>
        </w:rPr>
        <w:t xml:space="preserve">/200 </w:t>
      </w:r>
      <w:r>
        <w:rPr>
          <w:rFonts w:cs="Times New Roman" w:ascii="Calibri" w:hAnsi="Calibri"/>
          <w:lang w:val="en-US"/>
        </w:rPr>
        <w:t>g</w:t>
      </w:r>
      <w:r>
        <w:rPr>
          <w:rFonts w:cs="Times New Roman" w:ascii="Calibri" w:hAnsi="Calibri"/>
        </w:rPr>
        <w:t xml:space="preserve"> </w:t>
      </w:r>
      <w:r>
        <w:rPr>
          <w:rFonts w:cs="Times New Roman" w:ascii="Calibri" w:hAnsi="Calibri"/>
          <w:lang w:val="en-US"/>
        </w:rPr>
        <w:t>FW</w:t>
      </w:r>
      <w:r>
        <w:rPr>
          <w:rFonts w:cs="Times New Roman" w:ascii="Calibri" w:hAnsi="Calibri"/>
        </w:rPr>
        <w:t>, με χρήση λάσπης από ΚΕΛ Αττικής. Σε όλα τα πειράματα η τροφοδοσία υποστρώματος ήταν 100 mg sCOD, ενώ το κάθε πείραμα σταματούσε με την ελαχιστοποίηση του ρυθμού παραγωγής μεθανίου.</w:t>
      </w:r>
    </w:p>
    <w:p>
      <w:pPr>
        <w:pStyle w:val="BodyText"/>
        <w:widowControl w:val="false"/>
        <w:spacing w:lineRule="auto" w:line="240"/>
        <w:rPr>
          <w:rFonts w:ascii="Calibri" w:hAnsi="Calibri" w:cs="Times New Roman" w:asciiTheme="minorHAnsi" w:hAnsiTheme="minorHAnsi"/>
        </w:rPr>
      </w:pPr>
      <w:r>
        <w:rPr>
          <w:rFonts w:cs="Times New Roman" w:ascii="Calibri" w:hAnsi="Calibri"/>
        </w:rPr>
        <w:t>Καθώς η καταγραφή του όγκου ήταν 24ωρη, υπήρξε δυνατότητα κινητικής ανάλυσης της παραγωγής μεθανίου με χρήση του τροποποιημένου μοντέλου Gompertz</w:t>
      </w:r>
      <w:r>
        <w:rPr>
          <w:rFonts w:cs="Times New Roman" w:ascii="Calibri" w:hAnsi="Calibri"/>
          <w:vertAlign w:val="superscript"/>
        </w:rPr>
        <w:t>[6]</w:t>
      </w:r>
      <w:r>
        <w:rPr>
          <w:rFonts w:cs="Times New Roman" w:ascii="Calibri" w:hAnsi="Calibri"/>
        </w:rPr>
        <w:t xml:space="preserve"> το οποίο έχει χρησιμοποιηθεί εκτενώς στη βιβλιογραφία για την ανάλυση αυτή</w:t>
      </w:r>
      <w:r>
        <w:rPr>
          <w:rFonts w:cs="Times New Roman" w:ascii="Calibri" w:hAnsi="Calibri"/>
          <w:vertAlign w:val="superscript"/>
        </w:rPr>
        <w:t>[3, 7]</w:t>
      </w:r>
      <w:r>
        <w:rPr>
          <w:rFonts w:cs="Times New Roman" w:ascii="Calibri" w:hAnsi="Calibri"/>
        </w:rPr>
        <w:t>.</w:t>
      </w:r>
    </w:p>
    <w:p>
      <w:pPr>
        <w:pStyle w:val="BodyText"/>
        <w:widowControl w:val="false"/>
        <w:spacing w:lineRule="auto" w:line="240" w:before="240" w:after="60"/>
        <w:rPr>
          <w:rFonts w:ascii="Calibri" w:hAnsi="Calibri" w:cs="Times New Roman" w:asciiTheme="minorHAnsi" w:hAnsiTheme="minorHAnsi"/>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P</m:t>
            </m:r>
          </m:e>
          <m:sub>
            <m:r>
              <w:rPr>
                <w:rFonts w:ascii="Cambria Math" w:hAnsi="Cambria Math"/>
              </w:rPr>
              <m:t xml:space="preserve">max</m:t>
            </m:r>
          </m:sub>
        </m:sSub>
        <m:r>
          <w:rPr>
            <w:rFonts w:ascii="Cambria Math" w:hAnsi="Cambria Math"/>
          </w:rPr>
          <m:t xml:space="preserve">exp</m:t>
        </m:r>
        <m:d>
          <m:dPr>
            <m:begChr m:val="("/>
            <m:endChr m:val=")"/>
          </m:dPr>
          <m:e>
            <m:r>
              <w:rPr>
                <w:rFonts w:ascii="Cambria Math" w:hAnsi="Cambria Math"/>
              </w:rPr>
              <m:t xml:space="preserve">−</m:t>
            </m:r>
            <m:r>
              <w:rPr>
                <w:rFonts w:ascii="Cambria Math" w:hAnsi="Cambria Math"/>
              </w:rPr>
              <m:t xml:space="preserve">exp</m:t>
            </m:r>
            <m:d>
              <m:dPr>
                <m:begChr m:val="["/>
                <m:endChr m:val=")"/>
              </m:dPr>
              <m:e>
                <m:f>
                  <m:num>
                    <m:sSub>
                      <m:e>
                        <m:r>
                          <w:rPr>
                            <w:rFonts w:ascii="Cambria Math" w:hAnsi="Cambria Math"/>
                          </w:rPr>
                          <m:t xml:space="preserve">R</m:t>
                        </m:r>
                      </m:e>
                      <m:sub>
                        <m:r>
                          <w:rPr>
                            <w:rFonts w:ascii="Cambria Math" w:hAnsi="Cambria Math"/>
                          </w:rPr>
                          <m:t xml:space="preserve">max</m:t>
                        </m:r>
                      </m:sub>
                    </m:sSub>
                    <m:r>
                      <w:rPr>
                        <w:rFonts w:ascii="Cambria Math" w:hAnsi="Cambria Math"/>
                      </w:rPr>
                      <m:t xml:space="preserve">e</m:t>
                    </m:r>
                    <m:d>
                      <m:dPr>
                        <m:begChr m:val="("/>
                        <m:endChr m:val=")"/>
                      </m:dPr>
                      <m:e>
                        <m:r>
                          <w:rPr>
                            <w:rFonts w:ascii="Cambria Math" w:hAnsi="Cambria Math"/>
                          </w:rPr>
                          <m:t xml:space="preserve">λ</m:t>
                        </m:r>
                        <m:r>
                          <w:rPr>
                            <w:rFonts w:ascii="Cambria Math" w:hAnsi="Cambria Math"/>
                          </w:rPr>
                          <m:t xml:space="preserve">−</m:t>
                        </m:r>
                        <m:r>
                          <w:rPr>
                            <w:rFonts w:ascii="Cambria Math" w:hAnsi="Cambria Math"/>
                          </w:rPr>
                          <m:t xml:space="preserve">t</m:t>
                        </m:r>
                      </m:e>
                    </m:d>
                  </m:num>
                  <m:den>
                    <m:sSub>
                      <m:e>
                        <m:r>
                          <w:rPr>
                            <w:rFonts w:ascii="Cambria Math" w:hAnsi="Cambria Math"/>
                          </w:rPr>
                          <m:t xml:space="preserve">P</m:t>
                        </m:r>
                      </m:e>
                      <m:sub>
                        <m:r>
                          <w:rPr>
                            <w:rFonts w:ascii="Cambria Math" w:hAnsi="Cambria Math"/>
                          </w:rPr>
                          <m:t xml:space="preserve">max</m:t>
                        </m:r>
                      </m:sub>
                    </m:sSub>
                  </m:den>
                </m:f>
                <m:r>
                  <w:rPr>
                    <w:rFonts w:ascii="Cambria Math" w:hAnsi="Cambria Math"/>
                  </w:rPr>
                  <m:t xml:space="preserve">+</m:t>
                </m:r>
                <m:r>
                  <w:rPr>
                    <w:rFonts w:ascii="Cambria Math" w:hAnsi="Cambria Math"/>
                  </w:rPr>
                  <m:t xml:space="preserve">1</m:t>
                </m:r>
              </m:e>
            </m:d>
          </m:e>
        </m:d>
      </m:oMath>
      <w:r>
        <w:rPr>
          <w:rFonts w:cs="Times New Roman" w:ascii="Calibri" w:hAnsi="Calibri"/>
        </w:rPr>
        <w:t xml:space="preserve">                                                                                         </w:t>
      </w:r>
      <w:r>
        <w:rPr>
          <w:rFonts w:cs="Times New Roman" w:ascii="Calibri" w:hAnsi="Calibri"/>
        </w:rPr>
        <w:t>(1)</w:t>
      </w:r>
    </w:p>
    <w:p>
      <w:pPr>
        <w:pStyle w:val="BodyText"/>
        <w:widowControl w:val="false"/>
        <w:spacing w:lineRule="auto" w:line="240"/>
        <w:rPr>
          <w:rFonts w:ascii="Calibri" w:hAnsi="Calibri" w:cs="Times New Roman"/>
        </w:rPr>
      </w:pPr>
      <w:r>
        <w:rPr>
          <w:rFonts w:cs="Times New Roman" w:ascii="Calibri" w:hAnsi="Calibri"/>
        </w:rPr>
        <w:t xml:space="preserve">Όπου </w:t>
      </w:r>
      <w:r>
        <w:rPr>
          <w:rFonts w:cs="Times New Roman" w:ascii="Calibri" w:hAnsi="Calibri"/>
          <w:lang w:val="en-US"/>
        </w:rPr>
        <w:t>P</w:t>
      </w:r>
      <w:r>
        <w:rPr>
          <w:rFonts w:cs="Times New Roman" w:ascii="Calibri" w:hAnsi="Calibri"/>
        </w:rPr>
        <w:t>(</w:t>
      </w:r>
      <w:r>
        <w:rPr>
          <w:rFonts w:cs="Times New Roman" w:ascii="Calibri" w:hAnsi="Calibri"/>
          <w:lang w:val="en-US"/>
        </w:rPr>
        <w:t>t</w:t>
      </w:r>
      <w:r>
        <w:rPr>
          <w:rFonts w:cs="Times New Roman" w:ascii="Calibri" w:hAnsi="Calibri"/>
        </w:rPr>
        <w:t xml:space="preserve">) η παραγωγή μεθανίου σε χρόνο </w:t>
      </w:r>
      <w:r>
        <w:rPr>
          <w:rFonts w:cs="Times New Roman" w:ascii="Calibri" w:hAnsi="Calibri"/>
          <w:lang w:val="en-US"/>
        </w:rPr>
        <w:t>t</w:t>
      </w:r>
      <w:r>
        <w:rPr>
          <w:rFonts w:cs="Times New Roman" w:ascii="Calibri" w:hAnsi="Calibri"/>
        </w:rPr>
        <w:t xml:space="preserve">, </w:t>
      </w:r>
      <w:r>
        <w:rPr/>
      </w:r>
      <m:oMath xmlns:m="http://schemas.openxmlformats.org/officeDocument/2006/math">
        <m:sSub>
          <m:e>
            <m:r>
              <w:rPr>
                <w:rFonts w:ascii="Cambria Math" w:hAnsi="Cambria Math"/>
              </w:rPr>
              <m:t xml:space="preserve">P</m:t>
            </m:r>
          </m:e>
          <m:sub>
            <m:r>
              <w:rPr>
                <w:rFonts w:ascii="Cambria Math" w:hAnsi="Cambria Math"/>
              </w:rPr>
              <m:t xml:space="preserve">max</m:t>
            </m:r>
          </m:sub>
        </m:sSub>
      </m:oMath>
      <w:r>
        <w:rPr>
          <w:rFonts w:cs="Times New Roman" w:ascii="Calibri" w:hAnsi="Calibri"/>
        </w:rPr>
        <w:t xml:space="preserve"> η μέγιστη δυνατή παραγωγή μεθανίου, </w:t>
      </w:r>
      <w:r>
        <w:rPr/>
      </w:r>
      <m:oMath xmlns:m="http://schemas.openxmlformats.org/officeDocument/2006/math">
        <m:sSub>
          <m:e>
            <m:r>
              <w:rPr>
                <w:rFonts w:ascii="Cambria Math" w:hAnsi="Cambria Math"/>
              </w:rPr>
              <m:t xml:space="preserve">R</m:t>
            </m:r>
          </m:e>
          <m:sub>
            <m:r>
              <w:rPr>
                <w:rFonts w:ascii="Cambria Math" w:hAnsi="Cambria Math"/>
              </w:rPr>
              <m:t xml:space="preserve">max</m:t>
            </m:r>
          </m:sub>
        </m:sSub>
      </m:oMath>
      <w:r>
        <w:rPr>
          <w:rFonts w:cs="Times New Roman" w:ascii="Calibri" w:hAnsi="Calibri"/>
        </w:rPr>
        <w:t xml:space="preserve"> ο μέγιστος ρυθμός παραγωγής μεθανίου και λ ο χρόνος υστέρησης.</w:t>
      </w:r>
    </w:p>
    <w:p>
      <w:pPr>
        <w:pStyle w:val="BodyText"/>
        <w:widowControl w:val="false"/>
        <w:spacing w:lineRule="auto" w:line="240"/>
        <w:rPr>
          <w:rFonts w:ascii="Calibri" w:hAnsi="Calibri" w:cs="Times New Roman" w:asciiTheme="minorHAnsi" w:hAnsiTheme="minorHAnsi"/>
        </w:rPr>
      </w:pPr>
      <w:r>
        <w:rPr>
          <w:rFonts w:cs="Times New Roman" w:ascii="Calibri" w:hAnsi="Calibri" w:asciiTheme="minorHAnsi" w:hAnsiTheme="minorHAnsi"/>
        </w:rPr>
        <w:t xml:space="preserve">Οι χημικές αναλύσεις πραγματοποιήθηκαν σε ακολουθία με τις Standard Methods: ολικά στερεά ενότητα 2540 Β., πτητικά στερεά, ενότητα 2540 E., pH, ενότητα 4500-H+, χημικά απαιτούμενο οξυγόνο, ενότητα 5220 C. Τα </w:t>
      </w:r>
      <w:r>
        <w:rPr>
          <w:rFonts w:cs="Times New Roman" w:ascii="Calibri" w:hAnsi="Calibri" w:asciiTheme="minorHAnsi" w:hAnsiTheme="minorHAnsi"/>
          <w:lang w:val="en-US"/>
        </w:rPr>
        <w:t>VFAs</w:t>
      </w:r>
      <w:r>
        <w:rPr>
          <w:rFonts w:cs="Times New Roman" w:ascii="Calibri" w:hAnsi="Calibri" w:asciiTheme="minorHAnsi" w:hAnsiTheme="minorHAnsi"/>
        </w:rPr>
        <w:t xml:space="preserve"> αναλύθηκαν με </w:t>
      </w:r>
      <w:r>
        <w:rPr>
          <w:rFonts w:cs="Times New Roman" w:ascii="Calibri" w:hAnsi="Calibri" w:asciiTheme="minorHAnsi" w:hAnsiTheme="minorHAnsi"/>
          <w:lang w:val="en-US"/>
        </w:rPr>
        <w:t>HPLC</w:t>
      </w:r>
      <w:r>
        <w:rPr>
          <w:rFonts w:cs="Times New Roman" w:ascii="Calibri" w:hAnsi="Calibri" w:asciiTheme="minorHAnsi" w:hAnsiTheme="minorHAnsi"/>
        </w:rPr>
        <w:t xml:space="preserve"> (Agilent Technologies 1260 Infinity II).</w:t>
      </w:r>
    </w:p>
    <w:p>
      <w:pPr>
        <w:pStyle w:val="BodyText"/>
        <w:widowControl w:val="false"/>
        <w:spacing w:lineRule="auto" w:line="240" w:before="240" w:after="60"/>
        <w:rPr>
          <w:rFonts w:ascii="Calibri" w:hAnsi="Calibri" w:cs="Times New Roman" w:asciiTheme="minorHAnsi" w:hAnsiTheme="minorHAnsi"/>
          <w:b/>
          <w:color w:val="auto"/>
        </w:rPr>
      </w:pPr>
      <w:r>
        <w:rPr>
          <w:rFonts w:cs="Times New Roman" w:ascii="Calibri" w:hAnsi="Calibri" w:asciiTheme="minorHAnsi" w:hAnsiTheme="minorHAnsi"/>
          <w:b/>
        </w:rPr>
        <w:t>ΑΠΟΤΕΛΕΣΜΑΤΑ ΚΑΙ ΣΥΖΗΤΗΣΗ</w:t>
      </w:r>
    </w:p>
    <w:p>
      <w:pPr>
        <w:pStyle w:val="Eea"/>
        <w:tabs>
          <w:tab w:val="clear" w:pos="720"/>
          <w:tab w:val="right" w:pos="9638" w:leader="none"/>
        </w:tabs>
        <w:spacing w:lineRule="auto" w:line="240"/>
        <w:rPr>
          <w:rFonts w:ascii="Calibri" w:hAnsi="Calibri" w:cs="Calibri" w:cstheme="minorHAnsi"/>
          <w:sz w:val="24"/>
          <w:szCs w:val="24"/>
          <w:lang w:val="el-GR"/>
        </w:rPr>
      </w:pPr>
      <w:bookmarkStart w:id="0" w:name="_GoBack"/>
      <w:bookmarkEnd w:id="0"/>
      <w:r>
        <w:rPr>
          <w:rFonts w:cs="Calibri" w:ascii="Calibri" w:hAnsi="Calibri" w:cstheme="minorHAnsi"/>
          <w:sz w:val="24"/>
          <w:szCs w:val="24"/>
          <w:lang w:val="el-GR"/>
        </w:rPr>
        <w:t xml:space="preserve">Ως απόκριση των πειραμάτων βιοαποδόμησης σε εργαστηριακή κλίμακα λαμβάνονται τα </w:t>
      </w:r>
      <w:r>
        <w:rPr>
          <w:rFonts w:cs="Calibri" w:ascii="Calibri" w:hAnsi="Calibri" w:cstheme="minorHAnsi"/>
          <w:sz w:val="24"/>
          <w:szCs w:val="24"/>
          <w:lang w:val="en-US"/>
        </w:rPr>
        <w:t>VFAs</w:t>
      </w:r>
      <w:r>
        <w:rPr>
          <w:rFonts w:cs="Calibri" w:ascii="Calibri" w:hAnsi="Calibri" w:cstheme="minorHAnsi"/>
          <w:sz w:val="24"/>
          <w:szCs w:val="24"/>
          <w:lang w:val="el-GR"/>
        </w:rPr>
        <w:t>: Γαλακτικό Οξύ, Οξικό Οξύ, Προπιονικό Οξύ και Αιθανόλη τα οποία είναι προϊόντα οξεογενετικής ζύμωσης. Τόσο η συνολική ποσότητα προϊόντων όσο και η αναλογία τους αποτελούν το βασικό αποτέλεσμα του πειραματικού κύκλου αυτού.</w:t>
      </w:r>
    </w:p>
    <w:p>
      <w:pPr>
        <w:pStyle w:val="Eea"/>
        <w:tabs>
          <w:tab w:val="clear" w:pos="720"/>
          <w:tab w:val="right" w:pos="9638" w:leader="none"/>
        </w:tabs>
        <w:spacing w:lineRule="auto" w:line="240"/>
        <w:rPr>
          <w:rFonts w:ascii="Calibri" w:hAnsi="Calibri" w:cs="Calibri" w:cstheme="minorHAnsi"/>
          <w:sz w:val="24"/>
          <w:szCs w:val="24"/>
          <w:lang w:val="el-GR"/>
        </w:rPr>
      </w:pPr>
      <w:r>
        <w:rPr>
          <w:rFonts w:cs="Calibri" w:cstheme="minorHAnsi" w:ascii="Calibri" w:hAnsi="Calibri"/>
          <w:sz w:val="24"/>
          <w:szCs w:val="24"/>
          <w:lang w:val="el-GR"/>
        </w:rPr>
        <w:drawing>
          <wp:anchor behindDoc="0" distT="0" distB="0" distL="0" distR="0" simplePos="0" locked="0" layoutInCell="0" allowOverlap="1" relativeHeight="9">
            <wp:simplePos x="0" y="0"/>
            <wp:positionH relativeFrom="column">
              <wp:align>center</wp:align>
            </wp:positionH>
            <wp:positionV relativeFrom="paragraph">
              <wp:align>bottom</wp:align>
            </wp:positionV>
            <wp:extent cx="3475990" cy="231648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3475990" cy="2316480"/>
                    </a:xfrm>
                    <a:prstGeom prst="rect">
                      <a:avLst/>
                    </a:prstGeom>
                  </pic:spPr>
                </pic:pic>
              </a:graphicData>
            </a:graphic>
          </wp:anchor>
        </w:drawing>
      </w:r>
    </w:p>
    <w:p>
      <w:pPr>
        <w:pStyle w:val="Normal"/>
        <w:spacing w:lineRule="auto" w:line="240"/>
        <w:rPr>
          <w:rFonts w:ascii="Calibri" w:hAnsi="Calibri" w:cs="Times New Roman" w:asciiTheme="minorHAnsi" w:hAnsiTheme="minorHAnsi"/>
          <w:i/>
          <w:i/>
          <w:color w:val="auto"/>
          <w:sz w:val="22"/>
          <w:lang w:val="el-GR"/>
        </w:rPr>
      </w:pPr>
      <w:r>
        <w:rPr>
          <w:rFonts w:cs="Times New Roman"/>
          <w:b/>
          <w:bCs/>
          <w:i/>
          <w:sz w:val="22"/>
          <w:lang w:val="el-GR"/>
        </w:rPr>
        <w:t>Σχήμα 1</w:t>
      </w:r>
      <w:r>
        <w:rPr>
          <w:rFonts w:cs="Times New Roman"/>
          <w:i/>
          <w:sz w:val="22"/>
          <w:lang w:val="el-GR"/>
        </w:rPr>
        <w:t>. Προιόντα της διεργασίας βιοαποδόμησης</w:t>
      </w:r>
    </w:p>
    <w:p>
      <w:pPr>
        <w:pStyle w:val="Eea"/>
        <w:tabs>
          <w:tab w:val="clear" w:pos="720"/>
          <w:tab w:val="right" w:pos="9638" w:leader="none"/>
        </w:tabs>
        <w:spacing w:lineRule="auto" w:line="240"/>
        <w:rPr>
          <w:rFonts w:ascii="Calibri" w:hAnsi="Calibri" w:cs="Calibri" w:cstheme="minorHAnsi"/>
          <w:sz w:val="24"/>
          <w:szCs w:val="24"/>
          <w:lang w:val="el-GR"/>
        </w:rPr>
      </w:pPr>
      <w:r>
        <w:rPr>
          <w:rFonts w:cs="Calibri" w:cstheme="minorHAnsi" w:ascii="Calibri" w:hAnsi="Calibri"/>
          <w:sz w:val="24"/>
          <w:szCs w:val="24"/>
          <w:lang w:val="el-GR"/>
        </w:rPr>
        <w:t>Από το Σχήμα 1 παρατηρείται πως στους 35</w:t>
      </w:r>
      <w:r>
        <w:rPr>
          <w:rFonts w:cs="Calibri" w:cstheme="minorHAnsi" w:ascii="Calibri" w:hAnsi="Calibri"/>
          <w:sz w:val="24"/>
          <w:szCs w:val="24"/>
          <w:vertAlign w:val="superscript"/>
          <w:lang w:val="el-GR"/>
        </w:rPr>
        <w:t xml:space="preserve"> </w:t>
      </w:r>
      <w:r>
        <w:rPr>
          <w:rFonts w:cs="Calibri" w:cstheme="minorHAnsi" w:ascii="Calibri" w:hAnsi="Calibri"/>
          <w:sz w:val="24"/>
          <w:szCs w:val="24"/>
          <w:vertAlign w:val="superscript"/>
          <w:lang w:val="el-GR"/>
        </w:rPr>
        <w:t>o</w:t>
      </w:r>
      <w:r>
        <w:rPr>
          <w:rFonts w:cs="Calibri" w:cstheme="minorHAnsi" w:ascii="Calibri" w:hAnsi="Calibri"/>
          <w:position w:val="0"/>
          <w:sz w:val="24"/>
          <w:sz w:val="24"/>
          <w:szCs w:val="24"/>
          <w:vertAlign w:val="baseline"/>
          <w:lang w:val="el-GR"/>
        </w:rPr>
        <w:t>C</w:t>
      </w:r>
      <w:r>
        <w:rPr>
          <w:rFonts w:cs="Calibri" w:cstheme="minorHAnsi" w:ascii="Calibri" w:hAnsi="Calibri"/>
          <w:sz w:val="24"/>
          <w:szCs w:val="24"/>
          <w:vertAlign w:val="superscript"/>
          <w:lang w:val="el-GR"/>
        </w:rPr>
        <w:t xml:space="preserve"> </w:t>
      </w:r>
      <w:r>
        <w:rPr>
          <w:rFonts w:cs="Calibri" w:cstheme="minorHAnsi" w:ascii="Calibri" w:hAnsi="Calibri"/>
          <w:sz w:val="24"/>
          <w:szCs w:val="24"/>
          <w:lang w:val="el-GR"/>
        </w:rPr>
        <w:t>παράγεται περισσότερη αιθανόλη σε όλες τις αναλογίες mix/υποστρώματος. Ωστόσο στους 40</w:t>
      </w:r>
      <w:r>
        <w:rPr>
          <w:rFonts w:cs="Calibri" w:cstheme="minorHAnsi" w:ascii="Calibri" w:hAnsi="Calibri"/>
          <w:sz w:val="24"/>
          <w:szCs w:val="24"/>
          <w:vertAlign w:val="superscript"/>
          <w:lang w:val="el-GR"/>
        </w:rPr>
        <w:t xml:space="preserve"> </w:t>
      </w:r>
      <w:r>
        <w:rPr>
          <w:rFonts w:cs="Calibri" w:cstheme="minorHAnsi" w:ascii="Calibri" w:hAnsi="Calibri"/>
          <w:sz w:val="24"/>
          <w:szCs w:val="24"/>
          <w:vertAlign w:val="superscript"/>
          <w:lang w:val="el-GR"/>
        </w:rPr>
        <w:t>o</w:t>
      </w:r>
      <w:r>
        <w:rPr>
          <w:rFonts w:cs="Calibri" w:cstheme="minorHAnsi" w:ascii="Calibri" w:hAnsi="Calibri"/>
          <w:position w:val="0"/>
          <w:sz w:val="24"/>
          <w:sz w:val="24"/>
          <w:szCs w:val="24"/>
          <w:vertAlign w:val="baseline"/>
          <w:lang w:val="el-GR"/>
        </w:rPr>
        <w:t>C</w:t>
      </w:r>
      <w:r>
        <w:rPr>
          <w:rFonts w:cs="Calibri" w:cstheme="minorHAnsi" w:ascii="Calibri" w:hAnsi="Calibri"/>
          <w:sz w:val="24"/>
          <w:szCs w:val="24"/>
          <w:vertAlign w:val="superscript"/>
          <w:lang w:val="el-GR"/>
        </w:rPr>
        <w:t xml:space="preserve"> </w:t>
      </w:r>
      <w:r>
        <w:rPr>
          <w:rFonts w:cs="Calibri" w:cstheme="minorHAnsi" w:ascii="Calibri" w:hAnsi="Calibri"/>
          <w:sz w:val="24"/>
          <w:szCs w:val="24"/>
          <w:lang w:val="el-GR"/>
        </w:rPr>
        <w:t xml:space="preserve">παράγεται περισσότερο οξικό οξύ σε σχέση με αυτό στους 35 </w:t>
      </w:r>
      <w:r>
        <w:rPr>
          <w:rFonts w:cs="Calibri" w:cstheme="minorHAnsi" w:ascii="Calibri" w:hAnsi="Calibri"/>
          <w:sz w:val="24"/>
          <w:szCs w:val="24"/>
          <w:vertAlign w:val="superscript"/>
          <w:lang w:val="el-GR"/>
        </w:rPr>
        <w:t>o</w:t>
      </w:r>
      <w:r>
        <w:rPr>
          <w:rFonts w:cs="Calibri" w:cstheme="minorHAnsi" w:ascii="Calibri" w:hAnsi="Calibri"/>
          <w:position w:val="0"/>
          <w:sz w:val="24"/>
          <w:sz w:val="24"/>
          <w:szCs w:val="24"/>
          <w:vertAlign w:val="baseline"/>
          <w:lang w:val="el-GR"/>
        </w:rPr>
        <w:t>C</w:t>
      </w:r>
      <w:r>
        <w:rPr>
          <w:rFonts w:cs="Calibri" w:cstheme="minorHAnsi" w:ascii="Calibri" w:hAnsi="Calibri"/>
          <w:sz w:val="24"/>
          <w:szCs w:val="24"/>
          <w:lang w:val="el-GR"/>
        </w:rPr>
        <w:t>. Το οξικό οξύ αποτελεί ιδανικό υπόστρωμα για τη μεθανογένεση</w:t>
      </w:r>
      <w:r>
        <w:rPr>
          <w:rFonts w:cs="Calibri" w:cstheme="minorHAnsi" w:ascii="Calibri" w:hAnsi="Calibri"/>
          <w:sz w:val="24"/>
          <w:szCs w:val="24"/>
          <w:vertAlign w:val="superscript"/>
          <w:lang w:val="el-GR"/>
        </w:rPr>
        <w:t>[5]</w:t>
      </w:r>
      <w:r>
        <w:rPr>
          <w:rFonts w:cs="Calibri" w:cstheme="minorHAnsi" w:ascii="Calibri" w:hAnsi="Calibri"/>
          <w:sz w:val="24"/>
          <w:szCs w:val="24"/>
          <w:lang w:val="el-GR"/>
        </w:rPr>
        <w:t xml:space="preserve">. Επίσης παρατηρείται πως η αύξηση στην προσθήκη mix ενζύμων-μικροοργανισμών συνεισφέρει στην πιο αποτελεσματική ζύμωση όταν αυτή λαμβάνει χώρα σε θερμοκρασία 40 </w:t>
      </w:r>
      <w:r>
        <w:rPr>
          <w:rFonts w:cs="Calibri" w:cstheme="minorHAnsi" w:ascii="Calibri" w:hAnsi="Calibri"/>
          <w:sz w:val="24"/>
          <w:szCs w:val="24"/>
          <w:vertAlign w:val="superscript"/>
          <w:lang w:val="el-GR"/>
        </w:rPr>
        <w:t>o</w:t>
      </w:r>
      <w:r>
        <w:rPr>
          <w:rFonts w:cs="Calibri" w:cstheme="minorHAnsi" w:ascii="Calibri" w:hAnsi="Calibri"/>
          <w:position w:val="0"/>
          <w:sz w:val="24"/>
          <w:sz w:val="24"/>
          <w:szCs w:val="24"/>
          <w:vertAlign w:val="baseline"/>
          <w:lang w:val="el-GR"/>
        </w:rPr>
        <w:t>C</w:t>
      </w:r>
      <w:r>
        <w:rPr>
          <w:rFonts w:cs="Calibri" w:cstheme="minorHAnsi" w:ascii="Calibri" w:hAnsi="Calibri"/>
          <w:sz w:val="24"/>
          <w:szCs w:val="24"/>
          <w:lang w:val="el-GR"/>
        </w:rPr>
        <w:t>. Ωστόσο, η δοκιμή με τα 2 mL mix, φαίνεται να οδηγεί στην πιο συμφέρουσα βιοαποδόμηση καθώς προσθήκη παραπάνω από 2 ml δεν δείχνει να συνεισφέρει σημαντικά.</w:t>
      </w:r>
    </w:p>
    <w:p>
      <w:pPr>
        <w:pStyle w:val="Eea"/>
        <w:tabs>
          <w:tab w:val="clear" w:pos="720"/>
          <w:tab w:val="right" w:pos="9638" w:leader="none"/>
        </w:tabs>
        <w:spacing w:lineRule="auto" w:line="240"/>
        <w:rPr>
          <w:rFonts w:ascii="Calibri" w:hAnsi="Calibri" w:cs="Calibri" w:asciiTheme="minorHAnsi" w:cstheme="minorHAnsi" w:hAnsiTheme="minorHAnsi"/>
          <w:sz w:val="24"/>
          <w:szCs w:val="24"/>
          <w:lang w:val="el-GR"/>
        </w:rPr>
      </w:pPr>
      <w:r>
        <w:rPr>
          <w:rFonts w:cs="Calibri" w:cstheme="minorHAnsi" w:ascii="Calibri" w:hAnsi="Calibri"/>
          <w:sz w:val="24"/>
          <w:szCs w:val="24"/>
          <w:lang w:val="el-GR"/>
        </w:rPr>
        <w:drawing>
          <wp:anchor behindDoc="0" distT="0" distB="0" distL="0" distR="0" simplePos="0" locked="0" layoutInCell="0" allowOverlap="1" relativeHeight="8">
            <wp:simplePos x="0" y="0"/>
            <wp:positionH relativeFrom="column">
              <wp:align>center</wp:align>
            </wp:positionH>
            <wp:positionV relativeFrom="paragraph">
              <wp:align>bottom</wp:align>
            </wp:positionV>
            <wp:extent cx="3504565" cy="233743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3504565" cy="2337435"/>
                    </a:xfrm>
                    <a:prstGeom prst="rect">
                      <a:avLst/>
                    </a:prstGeom>
                  </pic:spPr>
                </pic:pic>
              </a:graphicData>
            </a:graphic>
          </wp:anchor>
        </w:drawing>
      </w:r>
    </w:p>
    <w:p>
      <w:pPr>
        <w:pStyle w:val="Normal"/>
        <w:spacing w:lineRule="auto" w:line="240"/>
        <w:rPr>
          <w:rFonts w:ascii="Calibri" w:hAnsi="Calibri" w:cs="Times New Roman" w:asciiTheme="minorHAnsi" w:hAnsiTheme="minorHAnsi"/>
          <w:i/>
          <w:i/>
          <w:color w:val="auto"/>
          <w:sz w:val="22"/>
          <w:lang w:val="el-GR"/>
        </w:rPr>
      </w:pPr>
      <w:r>
        <w:rPr>
          <w:rFonts w:cs="Times New Roman"/>
          <w:b/>
          <w:bCs/>
          <w:i/>
          <w:sz w:val="22"/>
          <w:lang w:val="el-GR"/>
        </w:rPr>
        <w:t>Σχήμα 2</w:t>
      </w:r>
      <w:r>
        <w:rPr>
          <w:rFonts w:cs="Times New Roman"/>
          <w:i/>
          <w:sz w:val="22"/>
          <w:lang w:val="el-GR"/>
        </w:rPr>
        <w:t>. Ανάλυση ευαισθησίας στην ποσότητα του μιξ για τις 2 θερμοκρασίες</w:t>
      </w:r>
    </w:p>
    <w:p>
      <w:pPr>
        <w:pStyle w:val="Eea"/>
        <w:tabs>
          <w:tab w:val="clear" w:pos="720"/>
          <w:tab w:val="right" w:pos="9638" w:leader="none"/>
        </w:tabs>
        <w:spacing w:lineRule="auto" w:line="240"/>
        <w:rPr>
          <w:rFonts w:ascii="Calibri" w:hAnsi="Calibri" w:cs="Calibri" w:asciiTheme="minorHAnsi" w:cstheme="minorHAnsi" w:hAnsiTheme="minorHAnsi"/>
          <w:sz w:val="24"/>
          <w:szCs w:val="24"/>
          <w:lang w:val="el-GR"/>
        </w:rPr>
      </w:pPr>
      <w:r>
        <w:rPr>
          <w:rFonts w:cs="Calibri" w:ascii="Calibri" w:hAnsi="Calibri" w:asciiTheme="minorHAnsi" w:cstheme="minorHAnsi" w:hAnsiTheme="minorHAnsi"/>
          <w:sz w:val="24"/>
          <w:szCs w:val="24"/>
          <w:lang w:val="el-GR"/>
        </w:rPr>
        <w:t xml:space="preserve">Το Σχήμα 2 αναπαριστά ένα διάγραμμα ευαισθησίας στην ποσότητα του </w:t>
      </w:r>
      <w:r>
        <w:rPr>
          <w:rFonts w:cs="Calibri" w:ascii="Calibri" w:hAnsi="Calibri" w:asciiTheme="minorHAnsi" w:cstheme="minorHAnsi" w:hAnsiTheme="minorHAnsi"/>
          <w:sz w:val="24"/>
          <w:szCs w:val="24"/>
          <w:lang w:val="en-US"/>
        </w:rPr>
        <w:t>mix</w:t>
      </w:r>
      <w:r>
        <w:rPr>
          <w:rFonts w:cs="Calibri" w:ascii="Calibri" w:hAnsi="Calibri" w:asciiTheme="minorHAnsi" w:cstheme="minorHAnsi" w:hAnsiTheme="minorHAnsi"/>
          <w:sz w:val="24"/>
          <w:szCs w:val="24"/>
          <w:lang w:val="el-GR"/>
        </w:rPr>
        <w:t xml:space="preserve"> για κάθε ένωση σε κάθε θερμοκρασία το οποίο ενισχύει την υπόθεση αυτή. Φαίνεται πως με εξαίρεση την αιθανόλη, η οποία παράγεται σε μικρό βαθμό στους 40</w:t>
      </w:r>
      <w:r>
        <w:rPr>
          <w:rFonts w:cs="Calibri" w:ascii="Calibri" w:hAnsi="Calibri" w:asciiTheme="minorHAnsi" w:cstheme="minorHAnsi" w:hAnsiTheme="minorHAnsi"/>
          <w:sz w:val="24"/>
          <w:szCs w:val="24"/>
          <w:vertAlign w:val="superscript"/>
          <w:lang w:val="el-GR"/>
        </w:rPr>
        <w:t>o</w:t>
      </w:r>
      <w:r>
        <w:rPr>
          <w:rFonts w:cs="Calibri" w:ascii="Calibri" w:hAnsi="Calibri" w:asciiTheme="minorHAnsi" w:cstheme="minorHAnsi" w:hAnsiTheme="minorHAnsi"/>
          <w:sz w:val="24"/>
          <w:szCs w:val="24"/>
          <w:lang w:val="el-GR"/>
        </w:rPr>
        <w:t>C, όλα τα προϊόντα είναι ευαίσθητα στην προσθήκη του mix και άρα γίνεται πιο αποτελεσματική βιοαποδόμηση.</w:t>
      </w:r>
    </w:p>
    <w:p>
      <w:pPr>
        <w:pStyle w:val="BodyText"/>
        <w:widowControl w:val="false"/>
        <w:spacing w:lineRule="auto" w:line="240"/>
        <w:rPr>
          <w:rFonts w:ascii="Calibri" w:hAnsi="Calibri" w:cs="Times New Roman"/>
        </w:rPr>
      </w:pPr>
      <w:r>
        <w:rPr>
          <w:rFonts w:cs="Times New Roman" w:ascii="Calibri" w:hAnsi="Calibri"/>
        </w:rPr>
        <w:t xml:space="preserve">Κατά τη βιοαποδόμηση στον αντιδραστήρα πιλοτικής κλίμακας, αρχικά τροφοδοτήθηκαν 35,8 kg FW/day με προσθήκη 0.005 L </w:t>
      </w:r>
      <w:r>
        <w:rPr>
          <w:rFonts w:cs="Times New Roman" w:ascii="Calibri" w:hAnsi="Calibri"/>
          <w:lang w:val="en-US"/>
        </w:rPr>
        <w:t>mix</w:t>
      </w:r>
      <w:r>
        <w:rPr>
          <w:rFonts w:cs="Times New Roman" w:ascii="Calibri" w:hAnsi="Calibri"/>
        </w:rPr>
        <w:t xml:space="preserve">/kg FW και 4,2 kg νερού/kg FW και η εκροή είχε sCOD 9205,5 </w:t>
      </w:r>
      <w:r>
        <w:rPr>
          <w:rFonts w:cs="Times New Roman" w:ascii="DejaVu Sans" w:hAnsi="DejaVu Sans"/>
        </w:rPr>
        <w:t>±</w:t>
      </w:r>
      <w:r>
        <w:rPr>
          <w:rFonts w:cs="Times New Roman" w:ascii="Calibri" w:hAnsi="Calibri"/>
        </w:rPr>
        <w:t xml:space="preserve"> 3192,3 mg/L και έναν λόγο sCOD/tCOD 46,1 </w:t>
      </w:r>
      <w:r>
        <w:rPr>
          <w:rFonts w:cs="Times New Roman" w:ascii="DejaVu Sans" w:hAnsi="DejaVu Sans"/>
        </w:rPr>
        <w:t>±</w:t>
      </w:r>
      <w:r>
        <w:rPr>
          <w:rFonts w:cs="Times New Roman" w:ascii="Calibri" w:hAnsi="Calibri"/>
        </w:rPr>
        <w:t xml:space="preserve"> 12,2 %. Σε αυτή την κλίμακα, η τυπική απόκλιση οφείλεται στην ανομοιογένεια των υπολειμμάτων τροφών που παράγονταν ανά ημέρα από το εστιατόριο. Στη συνέχεια, αυξήθηκε η αραίωση με χρήση 5,7 kg νερού/kg FW ενώ οι υπόλοιπες συνθήκες παρέμειναν σταθερές. Παρατηρήθηκε μία μείωση στο sCOD στα 4981,0 </w:t>
      </w:r>
      <w:r>
        <w:rPr>
          <w:rFonts w:cs="Times New Roman" w:ascii="DejaVu Sans" w:hAnsi="DejaVu Sans"/>
        </w:rPr>
        <w:t>±</w:t>
      </w:r>
      <w:r>
        <w:rPr>
          <w:rFonts w:cs="Times New Roman" w:ascii="Calibri" w:hAnsi="Calibri"/>
        </w:rPr>
        <w:t xml:space="preserve"> 1288,7 mg/L, ενώ ο λόγος sCOD/tCOD ήταν 39,2 </w:t>
      </w:r>
      <w:r>
        <w:rPr>
          <w:rFonts w:cs="Times New Roman" w:ascii="DejaVu Sans" w:hAnsi="DejaVu Sans"/>
        </w:rPr>
        <w:t>±</w:t>
      </w:r>
      <w:r>
        <w:rPr>
          <w:rFonts w:cs="Times New Roman" w:ascii="Calibri" w:hAnsi="Calibri"/>
        </w:rPr>
        <w:t xml:space="preserve"> 10,4 %. Παρά τη μείωση της απόδοσης της υδρόλυσης δεν προκύπτει ασφαλές συμπέρασμα για την επίδραση της αραίωσης στη βιοαποδόμηση (p-Value 0,86). Έπειτα μειώθηκε η τροφοδοσία σε 25 kg FW/day και δοκιμάστηκε η προσθήκη διπλάσιας ποσότητας ενζύμων, δηλαδή 0,01 L </w:t>
      </w:r>
      <w:r>
        <w:rPr>
          <w:rFonts w:cs="Times New Roman" w:ascii="Calibri" w:hAnsi="Calibri"/>
          <w:lang w:val="en-US"/>
        </w:rPr>
        <w:t>mix</w:t>
      </w:r>
      <w:r>
        <w:rPr>
          <w:rFonts w:cs="Times New Roman" w:ascii="Calibri" w:hAnsi="Calibri"/>
        </w:rPr>
        <w:t xml:space="preserve">/kg FW ενώ η αραίωση ήταν 8.9 kg νερού/kg FW. Το sCOD του πειράματος αυτού ήταν 3609,3 </w:t>
      </w:r>
      <w:r>
        <w:rPr>
          <w:rFonts w:cs="Times New Roman" w:ascii="DejaVu Sans" w:hAnsi="DejaVu Sans"/>
        </w:rPr>
        <w:t>±</w:t>
      </w:r>
      <w:r>
        <w:rPr>
          <w:rFonts w:cs="Times New Roman" w:ascii="Calibri" w:hAnsi="Calibri"/>
        </w:rPr>
        <w:t xml:space="preserve"> 1993,0 mg/L ενώ ο λόγος sCOD/tCOD ήταν 32,7 </w:t>
      </w:r>
      <w:r>
        <w:rPr>
          <w:rFonts w:cs="Times New Roman" w:ascii="DejaVu Sans" w:hAnsi="DejaVu Sans"/>
        </w:rPr>
        <w:t>±</w:t>
      </w:r>
      <w:r>
        <w:rPr>
          <w:rFonts w:cs="Times New Roman" w:ascii="Calibri" w:hAnsi="Calibri"/>
        </w:rPr>
        <w:t xml:space="preserve"> 10,3 (%). Ο λόγος αυτός είναι μικρότερος από αυτούς των δύο παραπάνω πειραμάτων (p-Value 0,0002 και 0,0011 για το πρώτο και δεύτερο πείραμα αντίστοιχα) με συμπέρασμα ότι αυτή η αναλογία </w:t>
      </w:r>
      <w:r>
        <w:rPr>
          <w:rFonts w:cs="Times New Roman" w:ascii="Calibri" w:hAnsi="Calibri"/>
          <w:lang w:val="en-US"/>
        </w:rPr>
        <w:t>mix</w:t>
      </w:r>
      <w:r>
        <w:rPr>
          <w:rFonts w:cs="Times New Roman" w:ascii="Calibri" w:hAnsi="Calibri"/>
        </w:rPr>
        <w:t xml:space="preserve">/υποστρώματος δεν αυξάνει την απόδοση της υδρόλυσης. Με βάση τα αποτελέσματα της εργαστηριακής κλίμακας, η αναλογία αυτή, η οποία είναι αντίστοιχη των 2 mL </w:t>
      </w:r>
      <w:r>
        <w:rPr>
          <w:rFonts w:cs="Times New Roman" w:ascii="Calibri" w:hAnsi="Calibri"/>
          <w:lang w:val="en-US"/>
        </w:rPr>
        <w:t>mix</w:t>
      </w:r>
      <w:r>
        <w:rPr>
          <w:rFonts w:cs="Times New Roman" w:ascii="Calibri" w:hAnsi="Calibri"/>
        </w:rPr>
        <w:t xml:space="preserve">/200 </w:t>
      </w:r>
      <w:r>
        <w:rPr>
          <w:rFonts w:cs="Times New Roman" w:ascii="Calibri" w:hAnsi="Calibri"/>
          <w:lang w:val="en-US"/>
        </w:rPr>
        <w:t>g</w:t>
      </w:r>
      <w:r>
        <w:rPr>
          <w:rFonts w:cs="Times New Roman" w:ascii="Calibri" w:hAnsi="Calibri"/>
        </w:rPr>
        <w:t xml:space="preserve"> </w:t>
      </w:r>
      <w:r>
        <w:rPr>
          <w:rFonts w:cs="Times New Roman" w:ascii="Calibri" w:hAnsi="Calibri"/>
          <w:lang w:val="en-US"/>
        </w:rPr>
        <w:t>FW</w:t>
      </w:r>
      <w:r>
        <w:rPr>
          <w:rFonts w:cs="Times New Roman" w:ascii="Calibri" w:hAnsi="Calibri"/>
        </w:rPr>
        <w:t xml:space="preserve"> σε εκείνη την κλίμακα, βοήθησε στην παραγωγή περισσότερων προϊόντων ζύμωσης. Οπότε συμπεραίνεται πως η υδρόλυση και η ζύμωση δεν έχουν τις ίδιες βέλτιστες συνθήκες λειτουργίας.</w:t>
      </w:r>
    </w:p>
    <w:p>
      <w:pPr>
        <w:pStyle w:val="Eea"/>
        <w:tabs>
          <w:tab w:val="clear" w:pos="720"/>
          <w:tab w:val="right" w:pos="9638" w:leader="none"/>
        </w:tabs>
        <w:spacing w:lineRule="auto" w:line="240"/>
        <w:rPr>
          <w:rFonts w:ascii="Calibri" w:hAnsi="Calibri" w:cs="Calibri" w:cstheme="minorHAnsi"/>
          <w:b/>
          <w:bCs/>
          <w:color w:themeColor="text1" w:val="000000"/>
          <w:sz w:val="24"/>
          <w:szCs w:val="24"/>
          <w:lang w:val="el-GR"/>
        </w:rPr>
      </w:pPr>
      <w:r>
        <w:rPr>
          <w:rFonts w:cs="Calibri" w:cstheme="minorHAnsi" w:ascii="Calibri" w:hAnsi="Calibri"/>
          <w:b/>
          <w:bCs/>
          <w:color w:themeColor="text1" w:val="000000"/>
          <w:sz w:val="24"/>
          <w:szCs w:val="24"/>
          <w:lang w:val="el-GR"/>
        </w:rPr>
        <w:drawing>
          <wp:anchor behindDoc="0" distT="0" distB="0" distL="0" distR="0" simplePos="0" locked="0" layoutInCell="0" allowOverlap="1" relativeHeight="5">
            <wp:simplePos x="0" y="0"/>
            <wp:positionH relativeFrom="column">
              <wp:align>center</wp:align>
            </wp:positionH>
            <wp:positionV relativeFrom="paragraph">
              <wp:align>bottom</wp:align>
            </wp:positionV>
            <wp:extent cx="3754120" cy="225298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extLst>
                        <a:ext uri="{96DAC541-7B7A-43D3-8B79-37D633B846F1}">
                          <asvg:svgBlip xmlns:asvg="http://schemas.microsoft.com/office/drawing/2016/SVG/main" r:embed="rId7"/>
                        </a:ext>
                      </a:extLst>
                    </a:blip>
                    <a:stretch>
                      <a:fillRect/>
                    </a:stretch>
                  </pic:blipFill>
                  <pic:spPr bwMode="auto">
                    <a:xfrm>
                      <a:off x="0" y="0"/>
                      <a:ext cx="3754120" cy="2252980"/>
                    </a:xfrm>
                    <a:prstGeom prst="rect">
                      <a:avLst/>
                    </a:prstGeom>
                  </pic:spPr>
                </pic:pic>
              </a:graphicData>
            </a:graphic>
          </wp:anchor>
        </w:drawing>
      </w:r>
    </w:p>
    <w:p>
      <w:pPr>
        <w:pStyle w:val="Normal"/>
        <w:spacing w:lineRule="auto" w:line="240"/>
        <w:rPr>
          <w:rFonts w:ascii="Calibri" w:hAnsi="Calibri" w:cs="Times New Roman" w:asciiTheme="minorHAnsi" w:hAnsiTheme="minorHAnsi"/>
          <w:i/>
          <w:i/>
          <w:color w:val="auto"/>
          <w:sz w:val="22"/>
          <w:lang w:val="el-GR"/>
        </w:rPr>
      </w:pPr>
      <w:r>
        <w:rPr>
          <w:rFonts w:cs="Times New Roman"/>
          <w:b/>
          <w:i/>
          <w:sz w:val="22"/>
          <w:lang w:val="el-GR"/>
        </w:rPr>
        <w:t>Σχήμα 3.</w:t>
      </w:r>
      <w:r>
        <w:rPr>
          <w:rFonts w:cs="Times New Roman"/>
          <w:i/>
          <w:sz w:val="22"/>
          <w:lang w:val="el-GR"/>
        </w:rPr>
        <w:t xml:space="preserve"> Αποτελέσματα πρώτου κύκλου αναερόβιας χώνευσης</w:t>
      </w:r>
    </w:p>
    <w:p>
      <w:pPr>
        <w:pStyle w:val="BodyText"/>
        <w:widowControl w:val="false"/>
        <w:spacing w:lineRule="auto" w:line="240"/>
        <w:rPr>
          <w:rFonts w:ascii="Calibri" w:hAnsi="Calibri" w:cs="Times New Roman" w:asciiTheme="minorHAnsi" w:hAnsiTheme="minorHAnsi"/>
          <w:lang w:val="en-US"/>
        </w:rPr>
      </w:pPr>
      <w:r>
        <w:rPr>
          <w:rFonts w:cs="Times New Roman" w:ascii="Calibri" w:hAnsi="Calibri"/>
        </w:rPr>
        <w:t>Από το Σχήμα 3 φαίνεται πως η προσαρμογή του μοντέλου Gompertz ήταν καλή σε όλα τα πειράματα (</w:t>
      </w:r>
      <w:r>
        <w:rPr>
          <w:rFonts w:cs="Times New Roman" w:ascii="Calibri" w:hAnsi="Calibri"/>
          <w:lang w:val="en-US"/>
        </w:rPr>
        <w:t>R</w:t>
      </w:r>
      <w:r>
        <w:rPr>
          <w:rFonts w:cs="Times New Roman" w:ascii="Calibri" w:hAnsi="Calibri"/>
          <w:vertAlign w:val="superscript"/>
        </w:rPr>
        <w:t>2</w:t>
      </w:r>
      <w:r>
        <w:rPr>
          <w:rFonts w:cs="Times New Roman" w:ascii="Calibri" w:hAnsi="Calibri"/>
        </w:rPr>
        <w:t xml:space="preserve"> &gt;0,93). Συγκρίνοντας την συσσωρευτική παραγωγή μεθανίου από το ανεπεξέργαστο </w:t>
      </w:r>
      <w:r>
        <w:rPr>
          <w:rFonts w:cs="Times New Roman" w:ascii="Calibri" w:hAnsi="Calibri"/>
          <w:lang w:val="en-US"/>
        </w:rPr>
        <w:t>FW</w:t>
      </w:r>
      <w:r>
        <w:rPr>
          <w:rFonts w:cs="Times New Roman" w:ascii="Calibri" w:hAnsi="Calibri"/>
        </w:rPr>
        <w:t xml:space="preserve"> και από τα υδρολύματα παρατηρείται πως δεν μπορεί να παραχθεί</w:t>
      </w:r>
      <w:r>
        <w:rPr>
          <w:rFonts w:cs="Times New Roman" w:ascii="Calibri" w:hAnsi="Calibri" w:asciiTheme="minorHAnsi" w:hAnsiTheme="minorHAnsi"/>
        </w:rPr>
        <w:t xml:space="preserve"> </w:t>
      </w:r>
      <w:r>
        <w:rPr>
          <w:rFonts w:cs="Times New Roman" w:ascii="Calibri" w:hAnsi="Calibri"/>
        </w:rPr>
        <w:t xml:space="preserve">μεγάλη ποσότητα μεθανίου χωρίς προεπεξεργασία. Μέσω του μοντέλου Gompertz και των </w:t>
      </w:r>
      <w:r>
        <w:rPr>
          <w:rFonts w:cs="Times New Roman" w:ascii="Calibri" w:hAnsi="Calibri"/>
          <w:lang w:val="en-US"/>
        </w:rPr>
        <w:t>g</w:t>
      </w:r>
      <w:r>
        <w:rPr>
          <w:rFonts w:cs="Times New Roman" w:ascii="Calibri" w:hAnsi="Calibri"/>
        </w:rPr>
        <w:t xml:space="preserve"> </w:t>
      </w:r>
      <w:r>
        <w:rPr>
          <w:rFonts w:cs="Times New Roman" w:ascii="Calibri" w:hAnsi="Calibri"/>
          <w:lang w:val="en-US"/>
        </w:rPr>
        <w:t>VS</w:t>
      </w:r>
      <w:r>
        <w:rPr>
          <w:rFonts w:cs="Times New Roman" w:ascii="Calibri" w:hAnsi="Calibri"/>
        </w:rPr>
        <w:t>/αντιδραστήρα υπολογίστηκε η ειδική μεθανογόνος δραστικότητα της λάσπης (</w:t>
      </w:r>
      <w:r>
        <w:rPr>
          <w:rFonts w:cs="Times New Roman" w:ascii="Calibri" w:hAnsi="Calibri"/>
          <w:lang w:val="en-US"/>
        </w:rPr>
        <w:t>SMA</w:t>
      </w:r>
      <w:r>
        <w:rPr>
          <w:rFonts w:cs="Times New Roman" w:ascii="Calibri" w:hAnsi="Calibri"/>
        </w:rPr>
        <w:t xml:space="preserve">). Για τις δοκιμές με 0, 1, 2, και 4 </w:t>
      </w:r>
      <w:r>
        <w:rPr>
          <w:rFonts w:cs="Times New Roman" w:ascii="Calibri" w:hAnsi="Calibri"/>
          <w:lang w:val="en-US"/>
        </w:rPr>
        <w:t>mL</w:t>
      </w:r>
      <w:r>
        <w:rPr>
          <w:rFonts w:cs="Times New Roman" w:ascii="Calibri" w:hAnsi="Calibri"/>
        </w:rPr>
        <w:t xml:space="preserve"> </w:t>
      </w:r>
      <w:r>
        <w:rPr>
          <w:rFonts w:cs="Times New Roman" w:ascii="Calibri" w:hAnsi="Calibri"/>
          <w:lang w:val="en-US"/>
        </w:rPr>
        <w:t>mix</w:t>
      </w:r>
      <w:r>
        <w:rPr>
          <w:rFonts w:cs="Times New Roman" w:ascii="Calibri" w:hAnsi="Calibri"/>
        </w:rPr>
        <w:t xml:space="preserve"> αυτή ήταν 0,672, 1,707, 1,752 και 1,248 </w:t>
      </w:r>
      <w:r>
        <w:rPr>
          <w:rFonts w:cs="Times New Roman" w:ascii="Calibri" w:hAnsi="Calibri"/>
          <w:lang w:val="en-US"/>
        </w:rPr>
        <w:t>mL</w:t>
      </w:r>
      <w:r>
        <w:rPr>
          <w:rFonts w:cs="Times New Roman" w:ascii="Calibri" w:hAnsi="Calibri"/>
        </w:rPr>
        <w:t xml:space="preserve"> </w:t>
      </w:r>
      <w:r>
        <w:rPr>
          <w:rFonts w:cs="Times New Roman" w:ascii="Calibri" w:hAnsi="Calibri"/>
          <w:lang w:val="en-US"/>
        </w:rPr>
        <w:t>CH</w:t>
      </w:r>
      <w:r>
        <w:rPr>
          <w:rFonts w:cs="Times New Roman" w:ascii="Calibri" w:hAnsi="Calibri"/>
          <w:vertAlign w:val="subscript"/>
        </w:rPr>
        <w:t>4</w:t>
      </w:r>
      <w:r>
        <w:rPr>
          <w:rFonts w:cs="Times New Roman" w:ascii="Calibri" w:hAnsi="Calibri"/>
        </w:rPr>
        <w:t>/</w:t>
      </w:r>
      <w:r>
        <w:rPr>
          <w:rFonts w:cs="Times New Roman" w:ascii="Calibri" w:hAnsi="Calibri"/>
          <w:lang w:val="en-US"/>
        </w:rPr>
        <w:t>g</w:t>
      </w:r>
      <w:r>
        <w:rPr>
          <w:rFonts w:cs="Times New Roman" w:ascii="Calibri" w:hAnsi="Calibri"/>
        </w:rPr>
        <w:t xml:space="preserve"> </w:t>
      </w:r>
      <w:r>
        <w:rPr>
          <w:rFonts w:cs="Times New Roman" w:ascii="Calibri" w:hAnsi="Calibri"/>
          <w:lang w:val="en-US"/>
        </w:rPr>
        <w:t>VS</w:t>
      </w:r>
      <w:r>
        <w:rPr>
          <w:rFonts w:cs="Times New Roman" w:ascii="Calibri" w:hAnsi="Calibri"/>
        </w:rPr>
        <w:t>-</w:t>
      </w:r>
      <w:r>
        <w:rPr>
          <w:rFonts w:cs="Times New Roman" w:ascii="Calibri" w:hAnsi="Calibri"/>
          <w:lang w:val="en-US"/>
        </w:rPr>
        <w:t>day</w:t>
      </w:r>
      <w:r>
        <w:rPr>
          <w:rFonts w:cs="Times New Roman" w:ascii="Calibri" w:hAnsi="Calibri"/>
        </w:rPr>
        <w:t xml:space="preserve"> αντίστοιχα. Η </w:t>
      </w:r>
      <w:r>
        <w:rPr>
          <w:rFonts w:cs="Times New Roman" w:ascii="Calibri" w:hAnsi="Calibri"/>
          <w:lang w:val="en-US"/>
        </w:rPr>
        <w:t>SMA</w:t>
      </w:r>
      <w:r>
        <w:rPr>
          <w:rFonts w:cs="Times New Roman" w:ascii="Calibri" w:hAnsi="Calibri"/>
        </w:rPr>
        <w:t xml:space="preserve"> του ανεπεξέργαστου </w:t>
      </w:r>
      <w:r>
        <w:rPr>
          <w:rFonts w:cs="Times New Roman" w:ascii="Calibri" w:hAnsi="Calibri"/>
          <w:lang w:val="en-US"/>
        </w:rPr>
        <w:t>FW</w:t>
      </w:r>
      <w:r>
        <w:rPr>
          <w:rFonts w:cs="Times New Roman" w:ascii="Calibri" w:hAnsi="Calibri"/>
        </w:rPr>
        <w:t xml:space="preserve"> ήταν 0,936 </w:t>
      </w:r>
      <w:r>
        <w:rPr>
          <w:rFonts w:cs="Times New Roman" w:ascii="Calibri" w:hAnsi="Calibri"/>
          <w:lang w:val="en-US"/>
        </w:rPr>
        <w:t>mL</w:t>
      </w:r>
      <w:r>
        <w:rPr>
          <w:rFonts w:cs="Times New Roman" w:ascii="Calibri" w:hAnsi="Calibri"/>
        </w:rPr>
        <w:t xml:space="preserve"> </w:t>
      </w:r>
      <w:r>
        <w:rPr>
          <w:rFonts w:cs="Times New Roman" w:ascii="Calibri" w:hAnsi="Calibri"/>
          <w:lang w:val="en-US"/>
        </w:rPr>
        <w:t>CH</w:t>
      </w:r>
      <w:r>
        <w:rPr>
          <w:rFonts w:cs="Times New Roman" w:ascii="Calibri" w:hAnsi="Calibri"/>
          <w:vertAlign w:val="subscript"/>
        </w:rPr>
        <w:t>4</w:t>
      </w:r>
      <w:r>
        <w:rPr>
          <w:rFonts w:cs="Times New Roman" w:ascii="Calibri" w:hAnsi="Calibri"/>
        </w:rPr>
        <w:t>/</w:t>
      </w:r>
      <w:r>
        <w:rPr>
          <w:rFonts w:cs="Times New Roman" w:ascii="Calibri" w:hAnsi="Calibri"/>
          <w:lang w:val="en-US"/>
        </w:rPr>
        <w:t>g</w:t>
      </w:r>
      <w:r>
        <w:rPr>
          <w:rFonts w:cs="Times New Roman" w:ascii="Calibri" w:hAnsi="Calibri"/>
        </w:rPr>
        <w:t xml:space="preserve"> </w:t>
      </w:r>
      <w:r>
        <w:rPr>
          <w:rFonts w:cs="Times New Roman" w:ascii="Calibri" w:hAnsi="Calibri"/>
          <w:lang w:val="en-US"/>
        </w:rPr>
        <w:t>VS</w:t>
      </w:r>
      <w:r>
        <w:rPr>
          <w:rFonts w:cs="Times New Roman" w:ascii="Calibri" w:hAnsi="Calibri"/>
        </w:rPr>
        <w:t>-</w:t>
      </w:r>
      <w:r>
        <w:rPr>
          <w:rFonts w:cs="Times New Roman" w:ascii="Calibri" w:hAnsi="Calibri"/>
          <w:lang w:val="en-US"/>
        </w:rPr>
        <w:t>day</w:t>
      </w:r>
      <w:r>
        <w:rPr>
          <w:rFonts w:cs="Times New Roman" w:ascii="Calibri" w:hAnsi="Calibri"/>
        </w:rPr>
        <w:t xml:space="preserve">. Το </w:t>
      </w:r>
      <w:r>
        <w:rPr>
          <w:rFonts w:cs="Times New Roman" w:ascii="Calibri" w:hAnsi="Calibri"/>
          <w:lang w:val="en-US"/>
        </w:rPr>
        <w:t>pH</w:t>
      </w:r>
      <w:r>
        <w:rPr>
          <w:rFonts w:cs="Times New Roman" w:ascii="Calibri" w:hAnsi="Calibri"/>
        </w:rPr>
        <w:t xml:space="preserve"> στους αντιδραστήρες όπου τροφοδοτήθηκαν με υδρολύματα διακυμάνθηκε από 6,8 εώς 7,7 ενώ στον αντιδραστήρα που τροφοδοτήθηκε με ανεπεξέργαστο </w:t>
      </w:r>
      <w:r>
        <w:rPr>
          <w:rFonts w:cs="Times New Roman" w:ascii="Calibri" w:hAnsi="Calibri"/>
          <w:lang w:val="en-US"/>
        </w:rPr>
        <w:t>FW</w:t>
      </w:r>
      <w:r>
        <w:rPr>
          <w:rFonts w:cs="Times New Roman" w:ascii="Calibri" w:hAnsi="Calibri"/>
        </w:rPr>
        <w:t xml:space="preserve"> παρατηρήθηκε πτώση του </w:t>
      </w:r>
      <w:r>
        <w:rPr>
          <w:rFonts w:cs="Times New Roman" w:ascii="Calibri" w:hAnsi="Calibri"/>
          <w:lang w:val="en-US"/>
        </w:rPr>
        <w:t>pH</w:t>
      </w:r>
      <w:r>
        <w:rPr>
          <w:rFonts w:cs="Times New Roman" w:ascii="Calibri" w:hAnsi="Calibri"/>
        </w:rPr>
        <w:t xml:space="preserve"> σε 4,22 και κατά συνέπεια επήλθε αναστολή της μεθανογένεσης. Η τροφοδοσία με υδρόλυμα χωρίς την προσθήκη σκεύασματος (επίδραση μόνο της θερμοκασίας) οδηγεί επίσης σε χαμηλή παραγωγικότητα.</w:t>
      </w:r>
      <w:r>
        <w:rPr>
          <w:rFonts w:cs="Times New Roman" w:ascii="Calibri" w:hAnsi="Calibri" w:asciiTheme="minorHAnsi" w:hAnsiTheme="minorHAnsi"/>
        </w:rPr>
        <w:t xml:space="preserve"> </w:t>
      </w:r>
      <w:r>
        <w:rPr>
          <w:rFonts w:cs="Times New Roman" w:ascii="Calibri" w:hAnsi="Calibri"/>
        </w:rPr>
        <w:t>Είναι εμφανές πως το πείραμα με τα 2 m</w:t>
      </w:r>
      <w:r>
        <w:rPr>
          <w:rFonts w:cs="Times New Roman" w:ascii="Calibri" w:hAnsi="Calibri"/>
          <w:lang w:val="en-US"/>
        </w:rPr>
        <w:t>L</w:t>
      </w:r>
      <w:r>
        <w:rPr>
          <w:rFonts w:cs="Times New Roman" w:ascii="Calibri" w:hAnsi="Calibri"/>
        </w:rPr>
        <w:t xml:space="preserve"> </w:t>
      </w:r>
      <w:r>
        <w:rPr>
          <w:rFonts w:cs="Times New Roman" w:ascii="Calibri" w:hAnsi="Calibri"/>
          <w:lang w:val="en-US"/>
        </w:rPr>
        <w:t>mix</w:t>
      </w:r>
      <w:r>
        <w:rPr>
          <w:rFonts w:cs="Times New Roman" w:ascii="Calibri" w:hAnsi="Calibri"/>
        </w:rPr>
        <w:t xml:space="preserve">, έχει τον γρηγορότερο ρυθμό παραγωγής μεθανίου λόγω της οξεογενούς ζύμωσης. Ωστόσο το υδρόλυμα με 1 ml </w:t>
      </w:r>
      <w:r>
        <w:rPr>
          <w:rFonts w:cs="Times New Roman" w:ascii="Calibri" w:hAnsi="Calibri"/>
          <w:lang w:val="en-US"/>
        </w:rPr>
        <w:t>mix</w:t>
      </w:r>
      <w:r>
        <w:rPr>
          <w:rFonts w:cs="Times New Roman" w:ascii="Calibri" w:hAnsi="Calibri"/>
        </w:rPr>
        <w:t>, μετά από κάποιο χρόνο καθυστέρησης παρήγαγε περισσότερο μεθάνιο.</w:t>
      </w:r>
      <w:r>
        <w:rPr>
          <w:rFonts w:cs="Times New Roman" w:ascii="Calibri" w:hAnsi="Calibri" w:asciiTheme="minorHAnsi" w:hAnsiTheme="minorHAnsi"/>
        </w:rPr>
        <w:t xml:space="preserve"> Επιπλέον, παρατηρήθηκε μια σχετικά χαμηλή παραγωγή μεθανίου σε σχέση με τη μέγιστη θεωρητική (35 </w:t>
      </w:r>
      <w:r>
        <w:rPr>
          <w:rFonts w:cs="Times New Roman" w:ascii="Calibri" w:hAnsi="Calibri" w:asciiTheme="minorHAnsi" w:hAnsiTheme="minorHAnsi"/>
          <w:lang w:val="en-US"/>
        </w:rPr>
        <w:t>mL</w:t>
      </w:r>
      <w:r>
        <w:rPr>
          <w:rFonts w:cs="Times New Roman" w:ascii="Calibri" w:hAnsi="Calibri" w:asciiTheme="minorHAnsi" w:hAnsiTheme="minorHAnsi"/>
        </w:rPr>
        <w:t xml:space="preserve">/100 </w:t>
      </w:r>
      <w:r>
        <w:rPr>
          <w:rFonts w:cs="Times New Roman" w:ascii="Calibri" w:hAnsi="Calibri" w:asciiTheme="minorHAnsi" w:hAnsiTheme="minorHAnsi"/>
          <w:lang w:val="en-US"/>
        </w:rPr>
        <w:t>mg</w:t>
      </w:r>
      <w:r>
        <w:rPr>
          <w:rFonts w:cs="Times New Roman" w:ascii="Calibri" w:hAnsi="Calibri" w:asciiTheme="minorHAnsi" w:hAnsiTheme="minorHAnsi"/>
        </w:rPr>
        <w:t xml:space="preserve"> </w:t>
      </w:r>
      <w:r>
        <w:rPr>
          <w:rFonts w:cs="Times New Roman" w:ascii="Calibri" w:hAnsi="Calibri" w:asciiTheme="minorHAnsi" w:hAnsiTheme="minorHAnsi"/>
          <w:lang w:val="en-US"/>
        </w:rPr>
        <w:t>COD</w:t>
      </w:r>
      <w:r>
        <w:rPr>
          <w:rFonts w:cs="Times New Roman" w:ascii="Calibri" w:hAnsi="Calibri" w:asciiTheme="minorHAnsi" w:hAnsiTheme="minorHAnsi"/>
        </w:rPr>
        <w:t xml:space="preserve">) </w:t>
      </w:r>
      <w:r>
        <w:rPr>
          <w:rFonts w:cs="Times New Roman" w:ascii="Calibri" w:hAnsi="Calibri"/>
        </w:rPr>
        <w:t xml:space="preserve">και ακολούθησε ένας δεύτερος κύκλος πειραμάτων με αναερόβια λάσπη διαφορετικής προέλευσης και ενεργότητας. </w:t>
      </w:r>
      <w:r>
        <w:rPr>
          <w:rFonts w:cs="Times New Roman" w:ascii="Calibri" w:hAnsi="Calibri" w:asciiTheme="minorHAnsi" w:hAnsiTheme="minorHAnsi"/>
        </w:rPr>
        <w:t>Τα αποτελέσματα αυτής φαίνονται στο Σχήμα 4.</w:t>
      </w:r>
    </w:p>
    <w:p>
      <w:pPr>
        <w:pStyle w:val="BodyText"/>
        <w:widowControl w:val="false"/>
        <w:spacing w:lineRule="auto" w:line="240"/>
        <w:rPr>
          <w:rFonts w:ascii="Calibri" w:hAnsi="Calibri" w:cs="Times New Roman" w:asciiTheme="minorHAnsi" w:hAnsiTheme="minorHAnsi"/>
          <w:lang w:val="en-US"/>
        </w:rPr>
      </w:pPr>
      <w:r>
        <w:rPr/>
        <w:drawing>
          <wp:anchor behindDoc="0" distT="0" distB="0" distL="0" distR="0" simplePos="0" locked="0" layoutInCell="0" allowOverlap="1" relativeHeight="6">
            <wp:simplePos x="0" y="0"/>
            <wp:positionH relativeFrom="column">
              <wp:align>center</wp:align>
            </wp:positionH>
            <wp:positionV relativeFrom="paragraph">
              <wp:align>bottom</wp:align>
            </wp:positionV>
            <wp:extent cx="3851910" cy="231203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extLst>
                        <a:ext uri="{96DAC541-7B7A-43D3-8B79-37D633B846F1}">
                          <asvg:svgBlip xmlns:asvg="http://schemas.microsoft.com/office/drawing/2016/SVG/main" r:embed="rId9"/>
                        </a:ext>
                      </a:extLst>
                    </a:blip>
                    <a:stretch>
                      <a:fillRect/>
                    </a:stretch>
                  </pic:blipFill>
                  <pic:spPr bwMode="auto">
                    <a:xfrm>
                      <a:off x="0" y="0"/>
                      <a:ext cx="3851910" cy="2312035"/>
                    </a:xfrm>
                    <a:prstGeom prst="rect">
                      <a:avLst/>
                    </a:prstGeom>
                  </pic:spPr>
                </pic:pic>
              </a:graphicData>
            </a:graphic>
          </wp:anchor>
        </w:drawing>
      </w:r>
    </w:p>
    <w:p>
      <w:pPr>
        <w:pStyle w:val="Normal"/>
        <w:spacing w:lineRule="auto" w:line="240"/>
        <w:rPr>
          <w:rFonts w:ascii="Calibri" w:hAnsi="Calibri" w:cs="Times New Roman" w:asciiTheme="minorHAnsi" w:hAnsiTheme="minorHAnsi"/>
          <w:i/>
          <w:i/>
          <w:color w:val="auto"/>
          <w:sz w:val="22"/>
          <w:lang w:val="el-GR"/>
        </w:rPr>
      </w:pPr>
      <w:r>
        <w:rPr>
          <w:rFonts w:cs="Times New Roman"/>
          <w:b/>
          <w:i/>
          <w:sz w:val="22"/>
          <w:lang w:val="el-GR"/>
        </w:rPr>
        <w:t>Σχήμα 4.</w:t>
      </w:r>
      <w:r>
        <w:rPr>
          <w:rFonts w:cs="Times New Roman"/>
          <w:i/>
          <w:sz w:val="22"/>
          <w:lang w:val="el-GR"/>
        </w:rPr>
        <w:t xml:space="preserve"> Αποτελέσματα δεύτερου κύκλου αναερόβιας χώνευσης</w:t>
      </w:r>
    </w:p>
    <w:p>
      <w:pPr>
        <w:pStyle w:val="BodyText"/>
        <w:widowControl w:val="false"/>
        <w:spacing w:lineRule="auto" w:line="240" w:before="240" w:after="60"/>
        <w:rPr>
          <w:rFonts w:ascii="Calibri" w:hAnsi="Calibri" w:cs="Times New Roman" w:asciiTheme="minorHAnsi" w:hAnsiTheme="minorHAnsi"/>
        </w:rPr>
      </w:pPr>
      <w:r>
        <w:rPr>
          <w:rFonts w:cs="Times New Roman" w:ascii="Calibri" w:hAnsi="Calibri" w:asciiTheme="minorHAnsi" w:hAnsiTheme="minorHAnsi"/>
        </w:rPr>
        <w:t xml:space="preserve">Κατά το δεύτερο κύκλο αναερόβιας χώνευσης παρατηρείται η υψηλότερη παραγωγή μεθανίου με το υδρόλυμα από τη βιοαποδόμηση με 1 </w:t>
      </w:r>
      <w:r>
        <w:rPr>
          <w:rFonts w:cs="Times New Roman" w:ascii="Calibri" w:hAnsi="Calibri" w:asciiTheme="minorHAnsi" w:hAnsiTheme="minorHAnsi"/>
          <w:lang w:val="en-US"/>
        </w:rPr>
        <w:t>mL</w:t>
      </w:r>
      <w:r>
        <w:rPr>
          <w:rFonts w:cs="Times New Roman" w:ascii="Calibri" w:hAnsi="Calibri" w:asciiTheme="minorHAnsi" w:hAnsiTheme="minorHAnsi"/>
        </w:rPr>
        <w:t xml:space="preserve"> </w:t>
      </w:r>
      <w:r>
        <w:rPr>
          <w:rFonts w:cs="Times New Roman" w:ascii="Calibri" w:hAnsi="Calibri" w:asciiTheme="minorHAnsi" w:hAnsiTheme="minorHAnsi"/>
          <w:lang w:val="en-US"/>
        </w:rPr>
        <w:t>mix</w:t>
      </w:r>
      <w:r>
        <w:rPr>
          <w:rFonts w:cs="Times New Roman" w:ascii="Calibri" w:hAnsi="Calibri" w:asciiTheme="minorHAnsi" w:hAnsiTheme="minorHAnsi"/>
        </w:rPr>
        <w:t xml:space="preserve">/200 </w:t>
      </w:r>
      <w:r>
        <w:rPr>
          <w:rFonts w:cs="Times New Roman" w:ascii="Calibri" w:hAnsi="Calibri" w:asciiTheme="minorHAnsi" w:hAnsiTheme="minorHAnsi"/>
          <w:lang w:val="en-US"/>
        </w:rPr>
        <w:t>g</w:t>
      </w:r>
      <w:r>
        <w:rPr>
          <w:rFonts w:cs="Times New Roman" w:ascii="Calibri" w:hAnsi="Calibri" w:asciiTheme="minorHAnsi" w:hAnsiTheme="minorHAnsi"/>
        </w:rPr>
        <w:t xml:space="preserve"> </w:t>
      </w:r>
      <w:r>
        <w:rPr>
          <w:rFonts w:cs="Times New Roman" w:ascii="Calibri" w:hAnsi="Calibri" w:asciiTheme="minorHAnsi" w:hAnsiTheme="minorHAnsi"/>
          <w:lang w:val="en-US"/>
        </w:rPr>
        <w:t>FW</w:t>
      </w:r>
      <w:r>
        <w:rPr>
          <w:rFonts w:cs="Times New Roman" w:ascii="Calibri" w:hAnsi="Calibri" w:asciiTheme="minorHAnsi" w:hAnsiTheme="minorHAnsi"/>
        </w:rPr>
        <w:t xml:space="preserve"> να προσεγγίζει μάλιστα τη μέγιστη θεωρητική παραγωγή σε ποσοστό 97%. Ως προς την συνολική παραγόμενη ποσότητα μεθανίου ακολουθεί το υδρόλυμα από 2 </w:t>
      </w:r>
      <w:r>
        <w:rPr>
          <w:rFonts w:cs="Times New Roman" w:ascii="Calibri" w:hAnsi="Calibri" w:asciiTheme="minorHAnsi" w:hAnsiTheme="minorHAnsi"/>
          <w:lang w:val="en-US"/>
        </w:rPr>
        <w:t>mL</w:t>
      </w:r>
      <w:r>
        <w:rPr>
          <w:rFonts w:cs="Times New Roman" w:ascii="Calibri" w:hAnsi="Calibri" w:asciiTheme="minorHAnsi" w:hAnsiTheme="minorHAnsi"/>
        </w:rPr>
        <w:t xml:space="preserve"> </w:t>
      </w:r>
      <w:r>
        <w:rPr>
          <w:rFonts w:cs="Times New Roman" w:ascii="Calibri" w:hAnsi="Calibri" w:asciiTheme="minorHAnsi" w:hAnsiTheme="minorHAnsi"/>
          <w:lang w:val="en-US"/>
        </w:rPr>
        <w:t>mix</w:t>
      </w:r>
      <w:r>
        <w:rPr>
          <w:rFonts w:cs="Times New Roman" w:ascii="Calibri" w:hAnsi="Calibri" w:asciiTheme="minorHAnsi" w:hAnsiTheme="minorHAnsi"/>
        </w:rPr>
        <w:t xml:space="preserve"> ενώ το ανεπεξέργαστο </w:t>
      </w:r>
      <w:r>
        <w:rPr>
          <w:rFonts w:cs="Times New Roman" w:ascii="Calibri" w:hAnsi="Calibri" w:asciiTheme="minorHAnsi" w:hAnsiTheme="minorHAnsi"/>
          <w:lang w:val="en-US"/>
        </w:rPr>
        <w:t>FW</w:t>
      </w:r>
      <w:r>
        <w:rPr>
          <w:rFonts w:cs="Times New Roman" w:ascii="Calibri" w:hAnsi="Calibri" w:asciiTheme="minorHAnsi" w:hAnsiTheme="minorHAnsi"/>
        </w:rPr>
        <w:t xml:space="preserve"> παρήγαγε τη λιγότερη ποσότητα. Και σε αυτό τον κύκλο υποδεικνύονται παρόμοιες τάσεις ως προς το ρυθμό παραγωγής μεθανίου με τον προηγούμενο. Πιο συγκεκριμένα η </w:t>
      </w:r>
      <w:r>
        <w:rPr>
          <w:rFonts w:cs="Times New Roman" w:ascii="Calibri" w:hAnsi="Calibri" w:asciiTheme="minorHAnsi" w:hAnsiTheme="minorHAnsi"/>
          <w:lang w:val="en-US"/>
        </w:rPr>
        <w:t>SMA</w:t>
      </w:r>
      <w:r>
        <w:rPr>
          <w:rFonts w:cs="Times New Roman" w:ascii="Calibri" w:hAnsi="Calibri" w:asciiTheme="minorHAnsi" w:hAnsiTheme="minorHAnsi"/>
        </w:rPr>
        <w:t xml:space="preserve"> για τα υδρολύματα από 0, 1, 2 και 4 </w:t>
      </w:r>
      <w:r>
        <w:rPr>
          <w:rFonts w:cs="Times New Roman" w:ascii="Calibri" w:hAnsi="Calibri" w:asciiTheme="minorHAnsi" w:hAnsiTheme="minorHAnsi"/>
          <w:lang w:val="en-US"/>
        </w:rPr>
        <w:t>mL</w:t>
      </w:r>
      <w:r>
        <w:rPr>
          <w:rFonts w:cs="Times New Roman" w:ascii="Calibri" w:hAnsi="Calibri" w:asciiTheme="minorHAnsi" w:hAnsiTheme="minorHAnsi"/>
        </w:rPr>
        <w:t xml:space="preserve"> </w:t>
      </w:r>
      <w:r>
        <w:rPr>
          <w:rFonts w:cs="Times New Roman" w:ascii="Calibri" w:hAnsi="Calibri" w:asciiTheme="minorHAnsi" w:hAnsiTheme="minorHAnsi"/>
          <w:lang w:val="en-US"/>
        </w:rPr>
        <w:t>mix</w:t>
      </w:r>
      <w:r>
        <w:rPr>
          <w:rFonts w:cs="Times New Roman" w:ascii="Calibri" w:hAnsi="Calibri" w:asciiTheme="minorHAnsi" w:hAnsiTheme="minorHAnsi"/>
        </w:rPr>
        <w:t xml:space="preserve">/200 </w:t>
      </w:r>
      <w:r>
        <w:rPr>
          <w:rFonts w:cs="Times New Roman" w:ascii="Calibri" w:hAnsi="Calibri" w:asciiTheme="minorHAnsi" w:hAnsiTheme="minorHAnsi"/>
          <w:lang w:val="en-US"/>
        </w:rPr>
        <w:t>g</w:t>
      </w:r>
      <w:r>
        <w:rPr>
          <w:rFonts w:cs="Times New Roman" w:ascii="Calibri" w:hAnsi="Calibri" w:asciiTheme="minorHAnsi" w:hAnsiTheme="minorHAnsi"/>
        </w:rPr>
        <w:t xml:space="preserve"> </w:t>
      </w:r>
      <w:r>
        <w:rPr>
          <w:rFonts w:cs="Times New Roman" w:ascii="Calibri" w:hAnsi="Calibri" w:asciiTheme="minorHAnsi" w:hAnsiTheme="minorHAnsi"/>
          <w:lang w:val="en-US"/>
        </w:rPr>
        <w:t>FW</w:t>
      </w:r>
      <w:r>
        <w:rPr>
          <w:rFonts w:cs="Times New Roman" w:ascii="Calibri" w:hAnsi="Calibri" w:asciiTheme="minorHAnsi" w:hAnsiTheme="minorHAnsi"/>
        </w:rPr>
        <w:t xml:space="preserve"> ήταν 4,8, 10,8, 8,5 και 7,3 </w:t>
      </w:r>
      <w:r>
        <w:rPr>
          <w:rFonts w:cs="Times New Roman" w:ascii="Calibri" w:hAnsi="Calibri" w:asciiTheme="minorHAnsi" w:hAnsiTheme="minorHAnsi"/>
          <w:lang w:val="en-US"/>
        </w:rPr>
        <w:t>mL</w:t>
      </w:r>
      <w:r>
        <w:rPr>
          <w:rFonts w:cs="Times New Roman" w:ascii="Calibri" w:hAnsi="Calibri" w:asciiTheme="minorHAnsi" w:hAnsiTheme="minorHAnsi"/>
        </w:rPr>
        <w:t xml:space="preserve"> </w:t>
      </w:r>
      <w:r>
        <w:rPr>
          <w:rFonts w:cs="Times New Roman" w:ascii="Calibri" w:hAnsi="Calibri" w:asciiTheme="minorHAnsi" w:hAnsiTheme="minorHAnsi"/>
          <w:lang w:val="en-US"/>
        </w:rPr>
        <w:t>CH</w:t>
      </w:r>
      <w:r>
        <w:rPr>
          <w:rFonts w:cs="Times New Roman" w:ascii="Calibri" w:hAnsi="Calibri" w:asciiTheme="minorHAnsi" w:hAnsiTheme="minorHAnsi"/>
          <w:vertAlign w:val="subscript"/>
        </w:rPr>
        <w:t>4</w:t>
      </w:r>
      <w:r>
        <w:rPr>
          <w:rFonts w:cs="Times New Roman" w:ascii="Calibri" w:hAnsi="Calibri" w:asciiTheme="minorHAnsi" w:hAnsiTheme="minorHAnsi"/>
        </w:rPr>
        <w:t>/</w:t>
      </w:r>
      <w:r>
        <w:rPr>
          <w:rFonts w:cs="Times New Roman" w:ascii="Calibri" w:hAnsi="Calibri" w:asciiTheme="minorHAnsi" w:hAnsiTheme="minorHAnsi"/>
          <w:lang w:val="en-US"/>
        </w:rPr>
        <w:t>g</w:t>
      </w:r>
      <w:r>
        <w:rPr>
          <w:rFonts w:cs="Times New Roman" w:ascii="Calibri" w:hAnsi="Calibri" w:asciiTheme="minorHAnsi" w:hAnsiTheme="minorHAnsi"/>
        </w:rPr>
        <w:t xml:space="preserve"> </w:t>
      </w:r>
      <w:r>
        <w:rPr>
          <w:rFonts w:cs="Times New Roman" w:ascii="Calibri" w:hAnsi="Calibri" w:asciiTheme="minorHAnsi" w:hAnsiTheme="minorHAnsi"/>
          <w:lang w:val="en-US"/>
        </w:rPr>
        <w:t>VS</w:t>
      </w:r>
      <w:r>
        <w:rPr>
          <w:rFonts w:cs="Times New Roman" w:ascii="Calibri" w:hAnsi="Calibri" w:asciiTheme="minorHAnsi" w:hAnsiTheme="minorHAnsi"/>
        </w:rPr>
        <w:t>-</w:t>
      </w:r>
      <w:r>
        <w:rPr>
          <w:rFonts w:cs="Times New Roman" w:ascii="Calibri" w:hAnsi="Calibri" w:asciiTheme="minorHAnsi" w:hAnsiTheme="minorHAnsi"/>
          <w:lang w:val="en-US"/>
        </w:rPr>
        <w:t>day</w:t>
      </w:r>
      <w:r>
        <w:rPr>
          <w:rFonts w:cs="Times New Roman" w:ascii="Calibri" w:hAnsi="Calibri" w:asciiTheme="minorHAnsi" w:hAnsiTheme="minorHAnsi"/>
        </w:rPr>
        <w:t xml:space="preserve">, ενώ η </w:t>
      </w:r>
      <w:r>
        <w:rPr>
          <w:rFonts w:cs="Times New Roman" w:ascii="Calibri" w:hAnsi="Calibri" w:asciiTheme="minorHAnsi" w:hAnsiTheme="minorHAnsi"/>
          <w:lang w:val="en-US"/>
        </w:rPr>
        <w:t>SMA</w:t>
      </w:r>
      <w:r>
        <w:rPr>
          <w:rFonts w:cs="Times New Roman" w:ascii="Calibri" w:hAnsi="Calibri" w:asciiTheme="minorHAnsi" w:hAnsiTheme="minorHAnsi"/>
        </w:rPr>
        <w:t xml:space="preserve"> μετά από τροφοδοσία με το ανεπεξέργαστο </w:t>
      </w:r>
      <w:r>
        <w:rPr>
          <w:rFonts w:cs="Times New Roman" w:ascii="Calibri" w:hAnsi="Calibri" w:asciiTheme="minorHAnsi" w:hAnsiTheme="minorHAnsi"/>
          <w:lang w:val="en-US"/>
        </w:rPr>
        <w:t>FW</w:t>
      </w:r>
      <w:r>
        <w:rPr>
          <w:rFonts w:cs="Times New Roman" w:ascii="Calibri" w:hAnsi="Calibri" w:asciiTheme="minorHAnsi" w:hAnsiTheme="minorHAnsi"/>
        </w:rPr>
        <w:t xml:space="preserve"> ήταν 4,44 </w:t>
      </w:r>
      <w:r>
        <w:rPr>
          <w:rFonts w:cs="Times New Roman" w:ascii="Calibri" w:hAnsi="Calibri" w:asciiTheme="minorHAnsi" w:hAnsiTheme="minorHAnsi"/>
          <w:lang w:val="en-US"/>
        </w:rPr>
        <w:t>mL</w:t>
      </w:r>
      <w:r>
        <w:rPr>
          <w:rFonts w:cs="Times New Roman" w:ascii="Calibri" w:hAnsi="Calibri" w:asciiTheme="minorHAnsi" w:hAnsiTheme="minorHAnsi"/>
        </w:rPr>
        <w:t xml:space="preserve"> </w:t>
      </w:r>
      <w:r>
        <w:rPr>
          <w:rFonts w:cs="Times New Roman" w:ascii="Calibri" w:hAnsi="Calibri" w:asciiTheme="minorHAnsi" w:hAnsiTheme="minorHAnsi"/>
          <w:lang w:val="en-US"/>
        </w:rPr>
        <w:t>CH</w:t>
      </w:r>
      <w:r>
        <w:rPr>
          <w:rFonts w:cs="Times New Roman" w:ascii="Calibri" w:hAnsi="Calibri" w:asciiTheme="minorHAnsi" w:hAnsiTheme="minorHAnsi"/>
          <w:vertAlign w:val="subscript"/>
        </w:rPr>
        <w:t>4</w:t>
      </w:r>
      <w:r>
        <w:rPr>
          <w:rFonts w:cs="Times New Roman" w:ascii="Calibri" w:hAnsi="Calibri" w:asciiTheme="minorHAnsi" w:hAnsiTheme="minorHAnsi"/>
        </w:rPr>
        <w:t>/</w:t>
      </w:r>
      <w:r>
        <w:rPr>
          <w:rFonts w:cs="Times New Roman" w:ascii="Calibri" w:hAnsi="Calibri" w:asciiTheme="minorHAnsi" w:hAnsiTheme="minorHAnsi"/>
          <w:lang w:val="en-US"/>
        </w:rPr>
        <w:t>g</w:t>
      </w:r>
      <w:r>
        <w:rPr>
          <w:rFonts w:cs="Times New Roman" w:ascii="Calibri" w:hAnsi="Calibri" w:asciiTheme="minorHAnsi" w:hAnsiTheme="minorHAnsi"/>
        </w:rPr>
        <w:t xml:space="preserve"> </w:t>
      </w:r>
      <w:r>
        <w:rPr>
          <w:rFonts w:cs="Times New Roman" w:ascii="Calibri" w:hAnsi="Calibri" w:asciiTheme="minorHAnsi" w:hAnsiTheme="minorHAnsi"/>
          <w:lang w:val="en-US"/>
        </w:rPr>
        <w:t>VS</w:t>
      </w:r>
      <w:r>
        <w:rPr>
          <w:rFonts w:cs="Times New Roman" w:ascii="Calibri" w:hAnsi="Calibri" w:asciiTheme="minorHAnsi" w:hAnsiTheme="minorHAnsi"/>
        </w:rPr>
        <w:t>-</w:t>
      </w:r>
      <w:r>
        <w:rPr>
          <w:rFonts w:cs="Times New Roman" w:ascii="Calibri" w:hAnsi="Calibri" w:asciiTheme="minorHAnsi" w:hAnsiTheme="minorHAnsi"/>
          <w:lang w:val="en-US"/>
        </w:rPr>
        <w:t>day</w:t>
      </w:r>
      <w:r>
        <w:rPr>
          <w:rFonts w:cs="Times New Roman" w:ascii="Calibri" w:hAnsi="Calibri" w:asciiTheme="minorHAnsi" w:hAnsiTheme="minorHAnsi"/>
        </w:rPr>
        <w:t>.</w:t>
      </w:r>
    </w:p>
    <w:p>
      <w:pPr>
        <w:pStyle w:val="BodyText"/>
        <w:widowControl w:val="false"/>
        <w:spacing w:lineRule="auto" w:line="240" w:before="240" w:after="60"/>
        <w:rPr>
          <w:rFonts w:ascii="Calibri" w:hAnsi="Calibri" w:cs="Times New Roman" w:asciiTheme="minorHAnsi" w:hAnsiTheme="minorHAnsi"/>
        </w:rPr>
      </w:pPr>
      <w:r>
        <w:rPr/>
        <w:drawing>
          <wp:anchor behindDoc="0" distT="0" distB="0" distL="0" distR="0" simplePos="0" locked="0" layoutInCell="0" allowOverlap="1" relativeHeight="7">
            <wp:simplePos x="0" y="0"/>
            <wp:positionH relativeFrom="column">
              <wp:align>center</wp:align>
            </wp:positionH>
            <wp:positionV relativeFrom="paragraph">
              <wp:align>bottom</wp:align>
            </wp:positionV>
            <wp:extent cx="3667760" cy="220154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0">
                      <a:extLst>
                        <a:ext uri="{96DAC541-7B7A-43D3-8B79-37D633B846F1}">
                          <asvg:svgBlip xmlns:asvg="http://schemas.microsoft.com/office/drawing/2016/SVG/main" r:embed="rId11"/>
                        </a:ext>
                      </a:extLst>
                    </a:blip>
                    <a:stretch>
                      <a:fillRect/>
                    </a:stretch>
                  </pic:blipFill>
                  <pic:spPr bwMode="auto">
                    <a:xfrm>
                      <a:off x="0" y="0"/>
                      <a:ext cx="3667760" cy="2201545"/>
                    </a:xfrm>
                    <a:prstGeom prst="rect">
                      <a:avLst/>
                    </a:prstGeom>
                  </pic:spPr>
                </pic:pic>
              </a:graphicData>
            </a:graphic>
          </wp:anchor>
        </w:drawing>
      </w:r>
    </w:p>
    <w:p>
      <w:pPr>
        <w:pStyle w:val="Normal"/>
        <w:spacing w:lineRule="auto" w:line="240"/>
        <w:rPr>
          <w:rFonts w:ascii="Calibri" w:hAnsi="Calibri" w:cs="Times New Roman" w:asciiTheme="minorHAnsi" w:hAnsiTheme="minorHAnsi"/>
          <w:i/>
          <w:i/>
          <w:color w:val="auto"/>
          <w:sz w:val="22"/>
          <w:lang w:val="el-GR"/>
        </w:rPr>
      </w:pPr>
      <w:r>
        <w:rPr>
          <w:rFonts w:cs="Times New Roman"/>
          <w:b/>
          <w:i/>
          <w:sz w:val="22"/>
          <w:lang w:val="el-GR"/>
        </w:rPr>
        <w:t>Σχήμα 5.</w:t>
      </w:r>
      <w:r>
        <w:rPr>
          <w:rFonts w:cs="Times New Roman"/>
          <w:i/>
          <w:sz w:val="22"/>
          <w:lang w:val="el-GR"/>
        </w:rPr>
        <w:t xml:space="preserve"> Αποτελέσματα αναερόβιας χώνευσης με το υδρόλυμα της πιλοτικής μονάδας</w:t>
      </w:r>
    </w:p>
    <w:p>
      <w:pPr>
        <w:pStyle w:val="BodyText"/>
        <w:widowControl w:val="false"/>
        <w:spacing w:lineRule="auto" w:line="240"/>
        <w:rPr>
          <w:rFonts w:ascii="Calibri" w:hAnsi="Calibri" w:cs="Times New Roman" w:asciiTheme="minorHAnsi" w:hAnsiTheme="minorHAnsi"/>
        </w:rPr>
      </w:pPr>
      <w:r>
        <w:rPr>
          <w:rFonts w:cs="Times New Roman" w:ascii="Calibri" w:hAnsi="Calibri" w:asciiTheme="minorHAnsi" w:hAnsiTheme="minorHAnsi"/>
        </w:rPr>
        <w:t xml:space="preserve">Η συσσωρευτική παραγωγή μεθανίου από υδρόλυμα το οποίο προέκυψε από τον πιλοτικό αντιδραστήρα παρουσιάζεται στο σχήμα 5. Τα αποτελέσματα που προκύπτουν για την παραγωγή μεθανίου με υπόστρωμα υδρόλυμα πιλοτικού αντιδραστήρα, έρχονται σε συμφωνία με τα πειράματα στα υδρολύματα εργαστηριακής κλίμακας. Πιο συγκεκριμένα η </w:t>
      </w:r>
      <w:r>
        <w:rPr>
          <w:rFonts w:cs="Times New Roman" w:ascii="Calibri" w:hAnsi="Calibri" w:asciiTheme="minorHAnsi" w:hAnsiTheme="minorHAnsi"/>
          <w:lang w:val="en-US"/>
        </w:rPr>
        <w:t>SMA</w:t>
      </w:r>
      <w:r>
        <w:rPr>
          <w:rFonts w:cs="Times New Roman" w:ascii="Calibri" w:hAnsi="Calibri" w:asciiTheme="minorHAnsi" w:hAnsiTheme="minorHAnsi"/>
        </w:rPr>
        <w:t xml:space="preserve"> που προκύπτει ύστερα από τροφοδοσία με υδρόλυμα προερχόμενο από 0,005 </w:t>
      </w:r>
      <w:r>
        <w:rPr>
          <w:rFonts w:cs="Times New Roman" w:ascii="Calibri" w:hAnsi="Calibri" w:asciiTheme="minorHAnsi" w:hAnsiTheme="minorHAnsi"/>
          <w:lang w:val="en-US"/>
        </w:rPr>
        <w:t>mL</w:t>
      </w:r>
      <w:r>
        <w:rPr>
          <w:rFonts w:cs="Times New Roman" w:ascii="Calibri" w:hAnsi="Calibri" w:asciiTheme="minorHAnsi" w:hAnsiTheme="minorHAnsi"/>
        </w:rPr>
        <w:t xml:space="preserve"> </w:t>
      </w:r>
      <w:r>
        <w:rPr>
          <w:rFonts w:cs="Times New Roman" w:ascii="Calibri" w:hAnsi="Calibri" w:asciiTheme="minorHAnsi" w:hAnsiTheme="minorHAnsi"/>
          <w:lang w:val="en-US"/>
        </w:rPr>
        <w:t>mix</w:t>
      </w:r>
      <w:r>
        <w:rPr>
          <w:rFonts w:cs="Times New Roman" w:ascii="Calibri" w:hAnsi="Calibri" w:asciiTheme="minorHAnsi" w:hAnsiTheme="minorHAnsi"/>
        </w:rPr>
        <w:t>/</w:t>
      </w:r>
      <w:r>
        <w:rPr>
          <w:rFonts w:cs="Times New Roman" w:ascii="Calibri" w:hAnsi="Calibri" w:asciiTheme="minorHAnsi" w:hAnsiTheme="minorHAnsi"/>
          <w:lang w:val="en-US"/>
        </w:rPr>
        <w:t>kg</w:t>
      </w:r>
      <w:r>
        <w:rPr>
          <w:rFonts w:cs="Times New Roman" w:ascii="Calibri" w:hAnsi="Calibri" w:asciiTheme="minorHAnsi" w:hAnsiTheme="minorHAnsi"/>
        </w:rPr>
        <w:t xml:space="preserve"> </w:t>
      </w:r>
      <w:r>
        <w:rPr>
          <w:rFonts w:cs="Times New Roman" w:ascii="Calibri" w:hAnsi="Calibri" w:asciiTheme="minorHAnsi" w:hAnsiTheme="minorHAnsi"/>
          <w:lang w:val="en-US"/>
        </w:rPr>
        <w:t>FW</w:t>
      </w:r>
      <w:r>
        <w:rPr>
          <w:rFonts w:cs="Times New Roman" w:ascii="Calibri" w:hAnsi="Calibri" w:asciiTheme="minorHAnsi" w:hAnsiTheme="minorHAnsi"/>
        </w:rPr>
        <w:t xml:space="preserve"> είναι 2,304 </w:t>
      </w:r>
      <w:r>
        <w:rPr>
          <w:rFonts w:cs="Times New Roman" w:ascii="Calibri" w:hAnsi="Calibri" w:asciiTheme="minorHAnsi" w:hAnsiTheme="minorHAnsi"/>
          <w:lang w:val="en-US"/>
        </w:rPr>
        <w:t>mL</w:t>
      </w:r>
      <w:r>
        <w:rPr>
          <w:rFonts w:cs="Times New Roman" w:ascii="Calibri" w:hAnsi="Calibri" w:asciiTheme="minorHAnsi" w:hAnsiTheme="minorHAnsi"/>
        </w:rPr>
        <w:t xml:space="preserve"> </w:t>
      </w:r>
      <w:r>
        <w:rPr>
          <w:rFonts w:cs="Times New Roman" w:ascii="Calibri" w:hAnsi="Calibri" w:asciiTheme="minorHAnsi" w:hAnsiTheme="minorHAnsi"/>
          <w:lang w:val="en-US"/>
        </w:rPr>
        <w:t>CH</w:t>
      </w:r>
      <w:r>
        <w:rPr>
          <w:rFonts w:cs="Times New Roman" w:ascii="Calibri" w:hAnsi="Calibri" w:asciiTheme="minorHAnsi" w:hAnsiTheme="minorHAnsi"/>
          <w:vertAlign w:val="subscript"/>
        </w:rPr>
        <w:t>4</w:t>
      </w:r>
      <w:r>
        <w:rPr>
          <w:rFonts w:cs="Times New Roman" w:ascii="Calibri" w:hAnsi="Calibri" w:asciiTheme="minorHAnsi" w:hAnsiTheme="minorHAnsi"/>
        </w:rPr>
        <w:t>/</w:t>
      </w:r>
      <w:r>
        <w:rPr>
          <w:rFonts w:cs="Times New Roman" w:ascii="Calibri" w:hAnsi="Calibri" w:asciiTheme="minorHAnsi" w:hAnsiTheme="minorHAnsi"/>
          <w:lang w:val="en-US"/>
        </w:rPr>
        <w:t>g</w:t>
      </w:r>
      <w:r>
        <w:rPr>
          <w:rFonts w:cs="Times New Roman" w:ascii="Calibri" w:hAnsi="Calibri" w:asciiTheme="minorHAnsi" w:hAnsiTheme="minorHAnsi"/>
        </w:rPr>
        <w:t xml:space="preserve"> </w:t>
      </w:r>
      <w:r>
        <w:rPr>
          <w:rFonts w:cs="Times New Roman" w:ascii="Calibri" w:hAnsi="Calibri" w:asciiTheme="minorHAnsi" w:hAnsiTheme="minorHAnsi"/>
          <w:lang w:val="en-US"/>
        </w:rPr>
        <w:t>VS</w:t>
      </w:r>
      <w:r>
        <w:rPr>
          <w:rFonts w:cs="Times New Roman" w:ascii="Calibri" w:hAnsi="Calibri" w:asciiTheme="minorHAnsi" w:hAnsiTheme="minorHAnsi"/>
        </w:rPr>
        <w:t>-</w:t>
      </w:r>
      <w:r>
        <w:rPr>
          <w:rFonts w:cs="Times New Roman" w:ascii="Calibri" w:hAnsi="Calibri" w:asciiTheme="minorHAnsi" w:hAnsiTheme="minorHAnsi"/>
          <w:lang w:val="en-US"/>
        </w:rPr>
        <w:t>day</w:t>
      </w:r>
      <w:r>
        <w:rPr>
          <w:rFonts w:cs="Times New Roman" w:ascii="Calibri" w:hAnsi="Calibri" w:asciiTheme="minorHAnsi" w:hAnsiTheme="minorHAnsi"/>
        </w:rPr>
        <w:t xml:space="preserve">, ενώ η αντίστοιχη για 0,01 </w:t>
      </w:r>
      <w:r>
        <w:rPr>
          <w:rFonts w:cs="Times New Roman" w:ascii="Calibri" w:hAnsi="Calibri" w:asciiTheme="minorHAnsi" w:hAnsiTheme="minorHAnsi"/>
          <w:lang w:val="en-US"/>
        </w:rPr>
        <w:t>mL</w:t>
      </w:r>
      <w:r>
        <w:rPr>
          <w:rFonts w:cs="Times New Roman" w:ascii="Calibri" w:hAnsi="Calibri" w:asciiTheme="minorHAnsi" w:hAnsiTheme="minorHAnsi"/>
        </w:rPr>
        <w:t xml:space="preserve"> </w:t>
      </w:r>
      <w:r>
        <w:rPr>
          <w:rFonts w:cs="Times New Roman" w:ascii="Calibri" w:hAnsi="Calibri" w:asciiTheme="minorHAnsi" w:hAnsiTheme="minorHAnsi"/>
          <w:lang w:val="en-US"/>
        </w:rPr>
        <w:t>mix</w:t>
      </w:r>
      <w:r>
        <w:rPr>
          <w:rFonts w:cs="Times New Roman" w:ascii="Calibri" w:hAnsi="Calibri" w:asciiTheme="minorHAnsi" w:hAnsiTheme="minorHAnsi"/>
        </w:rPr>
        <w:t>/</w:t>
      </w:r>
      <w:r>
        <w:rPr>
          <w:rFonts w:cs="Times New Roman" w:ascii="Calibri" w:hAnsi="Calibri" w:asciiTheme="minorHAnsi" w:hAnsiTheme="minorHAnsi"/>
          <w:lang w:val="en-US"/>
        </w:rPr>
        <w:t>kg</w:t>
      </w:r>
      <w:r>
        <w:rPr>
          <w:rFonts w:cs="Times New Roman" w:ascii="Calibri" w:hAnsi="Calibri" w:asciiTheme="minorHAnsi" w:hAnsiTheme="minorHAnsi"/>
        </w:rPr>
        <w:t xml:space="preserve"> </w:t>
      </w:r>
      <w:r>
        <w:rPr>
          <w:rFonts w:cs="Times New Roman" w:ascii="Calibri" w:hAnsi="Calibri" w:asciiTheme="minorHAnsi" w:hAnsiTheme="minorHAnsi"/>
          <w:lang w:val="en-US"/>
        </w:rPr>
        <w:t>FW</w:t>
      </w:r>
      <w:r>
        <w:rPr>
          <w:rFonts w:cs="Times New Roman" w:ascii="Calibri" w:hAnsi="Calibri" w:asciiTheme="minorHAnsi" w:hAnsiTheme="minorHAnsi"/>
        </w:rPr>
        <w:t xml:space="preserve">  είναι 1,933 </w:t>
      </w:r>
      <w:r>
        <w:rPr>
          <w:rFonts w:cs="Times New Roman" w:ascii="Calibri" w:hAnsi="Calibri" w:asciiTheme="minorHAnsi" w:hAnsiTheme="minorHAnsi"/>
          <w:lang w:val="en-US"/>
        </w:rPr>
        <w:t>mL</w:t>
      </w:r>
      <w:r>
        <w:rPr>
          <w:rFonts w:cs="Times New Roman" w:ascii="Calibri" w:hAnsi="Calibri" w:asciiTheme="minorHAnsi" w:hAnsiTheme="minorHAnsi"/>
        </w:rPr>
        <w:t xml:space="preserve"> </w:t>
      </w:r>
      <w:r>
        <w:rPr>
          <w:rFonts w:cs="Times New Roman" w:ascii="Calibri" w:hAnsi="Calibri" w:asciiTheme="minorHAnsi" w:hAnsiTheme="minorHAnsi"/>
          <w:lang w:val="en-US"/>
        </w:rPr>
        <w:t>CH</w:t>
      </w:r>
      <w:r>
        <w:rPr>
          <w:rFonts w:cs="Times New Roman" w:ascii="Calibri" w:hAnsi="Calibri" w:asciiTheme="minorHAnsi" w:hAnsiTheme="minorHAnsi"/>
          <w:vertAlign w:val="subscript"/>
        </w:rPr>
        <w:t>4</w:t>
      </w:r>
      <w:r>
        <w:rPr>
          <w:rFonts w:cs="Times New Roman" w:ascii="Calibri" w:hAnsi="Calibri" w:asciiTheme="minorHAnsi" w:hAnsiTheme="minorHAnsi"/>
        </w:rPr>
        <w:t>/</w:t>
      </w:r>
      <w:r>
        <w:rPr>
          <w:rFonts w:cs="Times New Roman" w:ascii="Calibri" w:hAnsi="Calibri" w:asciiTheme="minorHAnsi" w:hAnsiTheme="minorHAnsi"/>
          <w:lang w:val="en-US"/>
        </w:rPr>
        <w:t>g</w:t>
      </w:r>
      <w:r>
        <w:rPr>
          <w:rFonts w:cs="Times New Roman" w:ascii="Calibri" w:hAnsi="Calibri" w:asciiTheme="minorHAnsi" w:hAnsiTheme="minorHAnsi"/>
        </w:rPr>
        <w:t xml:space="preserve"> </w:t>
      </w:r>
      <w:r>
        <w:rPr>
          <w:rFonts w:cs="Times New Roman" w:ascii="Calibri" w:hAnsi="Calibri" w:asciiTheme="minorHAnsi" w:hAnsiTheme="minorHAnsi"/>
          <w:lang w:val="en-US"/>
        </w:rPr>
        <w:t>VS</w:t>
      </w:r>
      <w:r>
        <w:rPr>
          <w:rFonts w:cs="Times New Roman" w:ascii="Calibri" w:hAnsi="Calibri" w:asciiTheme="minorHAnsi" w:hAnsiTheme="minorHAnsi"/>
        </w:rPr>
        <w:t>-</w:t>
      </w:r>
      <w:r>
        <w:rPr>
          <w:rFonts w:cs="Times New Roman" w:ascii="Calibri" w:hAnsi="Calibri" w:asciiTheme="minorHAnsi" w:hAnsiTheme="minorHAnsi"/>
          <w:lang w:val="en-US"/>
        </w:rPr>
        <w:t>day</w:t>
      </w:r>
      <w:r>
        <w:rPr>
          <w:rFonts w:cs="Times New Roman" w:ascii="Calibri" w:hAnsi="Calibri" w:asciiTheme="minorHAnsi" w:hAnsiTheme="minorHAnsi"/>
        </w:rPr>
        <w:t xml:space="preserve">. Παράλληλα όταν χρησιμοποιείται 0,005 </w:t>
      </w:r>
      <w:r>
        <w:rPr>
          <w:rFonts w:cs="Times New Roman" w:ascii="Calibri" w:hAnsi="Calibri" w:asciiTheme="minorHAnsi" w:hAnsiTheme="minorHAnsi"/>
          <w:lang w:val="en-US"/>
        </w:rPr>
        <w:t>mL</w:t>
      </w:r>
      <w:r>
        <w:rPr>
          <w:rFonts w:cs="Times New Roman" w:ascii="Calibri" w:hAnsi="Calibri" w:asciiTheme="minorHAnsi" w:hAnsiTheme="minorHAnsi"/>
        </w:rPr>
        <w:t xml:space="preserve"> </w:t>
      </w:r>
      <w:r>
        <w:rPr>
          <w:rFonts w:cs="Times New Roman" w:ascii="Calibri" w:hAnsi="Calibri" w:asciiTheme="minorHAnsi" w:hAnsiTheme="minorHAnsi"/>
          <w:lang w:val="en-US"/>
        </w:rPr>
        <w:t>mix</w:t>
      </w:r>
      <w:r>
        <w:rPr>
          <w:rFonts w:cs="Times New Roman" w:ascii="Calibri" w:hAnsi="Calibri" w:asciiTheme="minorHAnsi" w:hAnsiTheme="minorHAnsi"/>
        </w:rPr>
        <w:t>/</w:t>
      </w:r>
      <w:r>
        <w:rPr>
          <w:rFonts w:cs="Times New Roman" w:ascii="Calibri" w:hAnsi="Calibri" w:asciiTheme="minorHAnsi" w:hAnsiTheme="minorHAnsi"/>
          <w:lang w:val="en-US"/>
        </w:rPr>
        <w:t>kg</w:t>
      </w:r>
      <w:r>
        <w:rPr>
          <w:rFonts w:cs="Times New Roman" w:ascii="Calibri" w:hAnsi="Calibri" w:asciiTheme="minorHAnsi" w:hAnsiTheme="minorHAnsi"/>
        </w:rPr>
        <w:t xml:space="preserve"> </w:t>
      </w:r>
      <w:r>
        <w:rPr>
          <w:rFonts w:cs="Times New Roman" w:ascii="Calibri" w:hAnsi="Calibri" w:asciiTheme="minorHAnsi" w:hAnsiTheme="minorHAnsi"/>
          <w:lang w:val="en-US"/>
        </w:rPr>
        <w:t>FW</w:t>
      </w:r>
      <w:r>
        <w:rPr>
          <w:rFonts w:cs="Times New Roman" w:ascii="Calibri" w:hAnsi="Calibri" w:asciiTheme="minorHAnsi" w:hAnsiTheme="minorHAnsi"/>
        </w:rPr>
        <w:t xml:space="preserve"> η συνολική παραγωγή μεθανίου είναι υψηλότερη.</w:t>
      </w:r>
    </w:p>
    <w:p>
      <w:pPr>
        <w:pStyle w:val="BodyText"/>
        <w:widowControl w:val="false"/>
        <w:spacing w:lineRule="auto" w:line="240" w:before="240" w:after="60"/>
        <w:rPr>
          <w:rFonts w:ascii="Calibri" w:hAnsi="Calibri" w:asciiTheme="minorHAnsi" w:hAnsiTheme="minorHAnsi"/>
        </w:rPr>
      </w:pPr>
      <w:r>
        <w:rPr>
          <w:rFonts w:cs="Times New Roman" w:ascii="Calibri" w:hAnsi="Calibri" w:asciiTheme="minorHAnsi" w:hAnsiTheme="minorHAnsi"/>
          <w:b/>
        </w:rPr>
        <w:t>ΒΙΒΛΙΟΓΡΑΦΙΑ</w:t>
      </w:r>
    </w:p>
    <w:p>
      <w:pPr>
        <w:pStyle w:val="ListParagraph"/>
        <w:numPr>
          <w:ilvl w:val="0"/>
          <w:numId w:val="2"/>
        </w:numPr>
        <w:spacing w:lineRule="auto" w:line="240"/>
        <w:ind w:hanging="360" w:left="360"/>
        <w:rPr>
          <w:rFonts w:ascii="Calibri" w:hAnsi="Calibri" w:cs="Times New Roman" w:asciiTheme="minorHAnsi" w:hAnsiTheme="minorHAnsi"/>
          <w:szCs w:val="22"/>
          <w:lang w:val="en-US"/>
        </w:rPr>
      </w:pPr>
      <w:r>
        <w:rPr>
          <w:rFonts w:cs="Times New Roman" w:ascii="Calibri" w:hAnsi="Calibri"/>
          <w:szCs w:val="22"/>
          <w:lang w:val="en-US"/>
        </w:rPr>
        <w:t xml:space="preserve">Ishangulyyev R, Sanghyo K, and Sang HL. (2019). </w:t>
      </w:r>
      <w:r>
        <w:rPr>
          <w:rFonts w:cs="Times New Roman" w:ascii="Calibri" w:hAnsi="Calibri"/>
          <w:i/>
          <w:iCs/>
          <w:szCs w:val="22"/>
          <w:lang w:val="en-US"/>
        </w:rPr>
        <w:t>Foods.,</w:t>
      </w:r>
      <w:r>
        <w:rPr>
          <w:rFonts w:cs="Times New Roman" w:ascii="Calibri" w:hAnsi="Calibri"/>
          <w:szCs w:val="22"/>
          <w:lang w:val="en-US"/>
        </w:rPr>
        <w:t xml:space="preserve"> 8, 297.</w:t>
      </w:r>
    </w:p>
    <w:p>
      <w:pPr>
        <w:pStyle w:val="Normal"/>
        <w:numPr>
          <w:ilvl w:val="0"/>
          <w:numId w:val="2"/>
        </w:numPr>
        <w:spacing w:lineRule="auto" w:line="240" w:before="0" w:after="0"/>
        <w:ind w:hanging="360" w:left="360"/>
        <w:rPr>
          <w:sz w:val="22"/>
        </w:rPr>
      </w:pPr>
      <w:r>
        <w:rPr>
          <w:sz w:val="22"/>
        </w:rPr>
        <w:t xml:space="preserve">Usmani Z, Minaxi S, Abhishek KA, Gauri DS, Denise C, S. Chandra N, Vijay KT, Ravi N, Ashok P, Vijai KG. (2021). </w:t>
      </w:r>
      <w:r>
        <w:rPr>
          <w:i/>
          <w:sz w:val="22"/>
        </w:rPr>
        <w:t xml:space="preserve">Journal of Hazardous Materials., </w:t>
      </w:r>
      <w:r>
        <w:rPr>
          <w:sz w:val="22"/>
        </w:rPr>
        <w:t>416, 126154.</w:t>
      </w:r>
    </w:p>
    <w:p>
      <w:pPr>
        <w:pStyle w:val="Normal"/>
        <w:numPr>
          <w:ilvl w:val="0"/>
          <w:numId w:val="2"/>
        </w:numPr>
        <w:spacing w:lineRule="auto" w:line="240" w:before="0" w:after="0"/>
        <w:ind w:hanging="360" w:left="360"/>
        <w:rPr>
          <w:sz w:val="22"/>
        </w:rPr>
      </w:pPr>
      <w:bookmarkStart w:id="1" w:name="citeproc_bib_item_3"/>
      <w:r>
        <w:rPr>
          <w:rFonts w:cs="Times New Roman"/>
          <w:sz w:val="22"/>
          <w:lang w:val="en-US"/>
        </w:rPr>
        <w:t xml:space="preserve">Uçkun EK, Antoine PT, and Yu L. (2015). </w:t>
      </w:r>
      <w:r>
        <w:rPr>
          <w:rFonts w:cs="Times New Roman"/>
          <w:i/>
          <w:iCs/>
          <w:sz w:val="22"/>
          <w:lang w:val="en-US"/>
        </w:rPr>
        <w:t xml:space="preserve">Bioresource Technology., </w:t>
      </w:r>
      <w:r>
        <w:rPr>
          <w:rFonts w:cs="Times New Roman"/>
          <w:sz w:val="22"/>
          <w:lang w:val="en-US"/>
        </w:rPr>
        <w:t>183, 47–52.</w:t>
      </w:r>
      <w:bookmarkEnd w:id="1"/>
    </w:p>
    <w:p>
      <w:pPr>
        <w:pStyle w:val="Normal"/>
        <w:numPr>
          <w:ilvl w:val="0"/>
          <w:numId w:val="2"/>
        </w:numPr>
        <w:spacing w:lineRule="auto" w:line="240" w:before="0" w:after="0"/>
        <w:ind w:hanging="360" w:left="360"/>
        <w:rPr>
          <w:sz w:val="22"/>
        </w:rPr>
      </w:pPr>
      <w:r>
        <w:rPr>
          <w:rFonts w:cs="Times New Roman"/>
          <w:sz w:val="22"/>
          <w:lang w:val="en-US"/>
        </w:rPr>
        <w:t xml:space="preserve">Ma C, Liu J, Min Y, Zou L, Qian G, Li YY. (2018). </w:t>
      </w:r>
      <w:r>
        <w:rPr>
          <w:rFonts w:cs="Times New Roman"/>
          <w:i/>
          <w:sz w:val="22"/>
          <w:lang w:val="en-US"/>
        </w:rPr>
        <w:t>Renewable and Sustainable Energy Rev</w:t>
      </w:r>
      <w:r>
        <w:rPr>
          <w:rFonts w:cs="Times New Roman"/>
          <w:sz w:val="22"/>
          <w:lang w:val="en-US"/>
        </w:rPr>
        <w:t>., 90, 700–709.</w:t>
      </w:r>
    </w:p>
    <w:p>
      <w:pPr>
        <w:pStyle w:val="Normal"/>
        <w:numPr>
          <w:ilvl w:val="0"/>
          <w:numId w:val="2"/>
        </w:numPr>
        <w:spacing w:lineRule="auto" w:line="240" w:before="0" w:after="0"/>
        <w:ind w:hanging="360" w:left="360"/>
        <w:rPr>
          <w:sz w:val="22"/>
        </w:rPr>
      </w:pPr>
      <w:r>
        <w:rPr>
          <w:rFonts w:cs="Times New Roman"/>
          <w:sz w:val="22"/>
          <w:lang w:val="en-US"/>
        </w:rPr>
        <w:t xml:space="preserve">Zhang, Jingxin, Kai-Chee Loh, Wangliang Li, Jun Wei Lim, Yanjun Dai, and Yen Wah Tong. (2017). </w:t>
      </w:r>
      <w:r>
        <w:rPr>
          <w:rFonts w:cs="Times New Roman"/>
          <w:i/>
          <w:sz w:val="22"/>
          <w:lang w:val="en-US"/>
        </w:rPr>
        <w:t>Applied Energy</w:t>
      </w:r>
      <w:r>
        <w:rPr>
          <w:rFonts w:cs="Times New Roman"/>
          <w:sz w:val="22"/>
          <w:lang w:val="en-US"/>
        </w:rPr>
        <w:t>.,194 (5), 287–95.</w:t>
      </w:r>
    </w:p>
    <w:p>
      <w:pPr>
        <w:pStyle w:val="Normal"/>
        <w:numPr>
          <w:ilvl w:val="0"/>
          <w:numId w:val="2"/>
        </w:numPr>
        <w:spacing w:lineRule="auto" w:line="240" w:before="0" w:after="0"/>
        <w:ind w:hanging="360" w:left="360"/>
        <w:rPr>
          <w:sz w:val="22"/>
        </w:rPr>
      </w:pPr>
      <w:bookmarkStart w:id="2" w:name="citeproc_bib_item_4"/>
      <w:r>
        <w:rPr>
          <w:rFonts w:cs="Times New Roman"/>
          <w:sz w:val="22"/>
          <w:lang w:val="en-US"/>
        </w:rPr>
        <w:t xml:space="preserve">Zwietering MH, Jongenburger I, Rombouts FM, Riet K. (1990). </w:t>
      </w:r>
      <w:r>
        <w:rPr>
          <w:rFonts w:cs="Times New Roman"/>
          <w:i/>
          <w:iCs/>
          <w:sz w:val="22"/>
          <w:lang w:val="en-US"/>
        </w:rPr>
        <w:t>Ap.and Env. Microbiology</w:t>
      </w:r>
      <w:r>
        <w:rPr>
          <w:rFonts w:cs="Times New Roman"/>
          <w:sz w:val="22"/>
          <w:lang w:val="en-US"/>
        </w:rPr>
        <w:t>., 56, 1875–81.</w:t>
      </w:r>
      <w:bookmarkEnd w:id="2"/>
    </w:p>
    <w:p>
      <w:pPr>
        <w:pStyle w:val="ListParagraph"/>
        <w:numPr>
          <w:ilvl w:val="0"/>
          <w:numId w:val="2"/>
        </w:numPr>
        <w:spacing w:lineRule="auto" w:line="240"/>
        <w:ind w:hanging="360" w:left="360"/>
        <w:rPr>
          <w:szCs w:val="22"/>
          <w:lang w:val="en-US"/>
        </w:rPr>
      </w:pPr>
      <w:bookmarkStart w:id="3" w:name="citeproc_bib_item_1"/>
      <w:r>
        <w:rPr>
          <w:rFonts w:cs="Times New Roman" w:ascii="Calibri" w:hAnsi="Calibri" w:asciiTheme="minorHAnsi" w:hAnsiTheme="minorHAnsi"/>
          <w:szCs w:val="22"/>
          <w:lang w:val="en-US"/>
        </w:rPr>
        <w:t xml:space="preserve">Kai F, Huan L, Zhou D, Qiao W, Yangyang Z, Chengzhi Z. (2020). </w:t>
      </w:r>
      <w:r>
        <w:rPr>
          <w:rFonts w:cs="Times New Roman" w:ascii="Calibri" w:hAnsi="Calibri" w:asciiTheme="minorHAnsi" w:hAnsiTheme="minorHAnsi"/>
          <w:i/>
          <w:iCs/>
          <w:szCs w:val="22"/>
          <w:lang w:val="en-US"/>
        </w:rPr>
        <w:t>Renewable Energy</w:t>
      </w:r>
      <w:r>
        <w:rPr>
          <w:rFonts w:cs="Times New Roman" w:ascii="Calibri" w:hAnsi="Calibri" w:asciiTheme="minorHAnsi" w:hAnsiTheme="minorHAnsi"/>
          <w:szCs w:val="22"/>
          <w:lang w:val="en-US"/>
        </w:rPr>
        <w:t>., 146,1588–95.</w:t>
      </w:r>
      <w:bookmarkEnd w:id="3"/>
    </w:p>
    <w:sectPr>
      <w:headerReference w:type="even" r:id="rId12"/>
      <w:headerReference w:type="default" r:id="rId13"/>
      <w:headerReference w:type="first" r:id="rId14"/>
      <w:type w:val="nextPage"/>
      <w:pgSz w:w="11906" w:h="16838"/>
      <w:pgMar w:left="1134" w:right="1134" w:gutter="0" w:header="709"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Bookman Old Style">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Helvetica">
    <w:altName w:val="Arial"/>
    <w:charset w:val="01"/>
    <w:family w:val="roman"/>
    <w:pitch w:val="variable"/>
  </w:font>
  <w:font w:name="DejaVu Sans">
    <w:charset w:val="01"/>
    <w:family w:val="roman"/>
    <w:pitch w:val="variable"/>
  </w:font>
  <w:font w:name="Cambr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8306"/>
        <w:tab w:val="center" w:pos="4153" w:leader="none"/>
        <w:tab w:val="right" w:pos="9630" w:leader="none"/>
      </w:tabs>
      <w:rPr>
        <w:rFonts w:ascii="Cambria" w:hAnsi="Cambria" w:cs="Times New Roman"/>
        <w:i/>
        <w:i/>
        <w:color w:themeColor="background1" w:themeShade="80" w:val="808080"/>
        <w:szCs w:val="24"/>
        <w:lang w:val="el-GR"/>
      </w:rPr>
    </w:pPr>
    <w:r>
      <w:rPr>
        <w:rFonts w:cs="Times New Roman" w:ascii="Cambria" w:hAnsi="Cambria"/>
        <w:i/>
        <w:color w:themeColor="background1" w:themeShade="80" w:val="808080"/>
        <w:sz w:val="18"/>
        <w:szCs w:val="18"/>
        <w:lang w:val="el-GR"/>
      </w:rPr>
      <w:t>14</w:t>
    </w:r>
    <w:r>
      <w:rPr>
        <w:rFonts w:cs="Times New Roman" w:ascii="Cambria" w:hAnsi="Cambria"/>
        <w:i/>
        <w:color w:themeColor="background1" w:themeShade="80" w:val="808080"/>
        <w:sz w:val="18"/>
        <w:szCs w:val="18"/>
        <w:vertAlign w:val="superscript"/>
        <w:lang w:val="en-US"/>
      </w:rPr>
      <w:t>o</w:t>
    </w:r>
    <w:r>
      <w:rPr>
        <w:rFonts w:cs="Times New Roman" w:ascii="Cambria" w:hAnsi="Cambria"/>
        <w:i/>
        <w:color w:themeColor="background1" w:themeShade="80" w:val="808080"/>
        <w:sz w:val="18"/>
        <w:szCs w:val="18"/>
        <w:lang w:val="el-GR"/>
      </w:rPr>
      <w:t xml:space="preserve"> Πανελλήνιο Επιστημονικό Συνέδριο Χημικής Μηχανικής</w:t>
    </w:r>
    <w:r>
      <w:rPr>
        <w:rFonts w:cs="Times New Roman" w:ascii="Cambria" w:hAnsi="Cambria"/>
        <w:i/>
        <w:color w:themeColor="background1" w:themeShade="80" w:val="808080"/>
        <w:szCs w:val="24"/>
        <w:lang w:val="el-GR"/>
      </w:rPr>
      <w:tab/>
      <w:t xml:space="preserve"> </w:t>
    </w:r>
    <w:r>
      <w:rPr>
        <w:rFonts w:cs="Times New Roman" w:ascii="Cambria" w:hAnsi="Cambria"/>
        <w:i/>
        <w:color w:themeColor="background1" w:themeShade="80" w:val="808080"/>
        <w:sz w:val="18"/>
        <w:szCs w:val="18"/>
        <w:lang w:val="el-GR"/>
      </w:rPr>
      <w:t>Θεσσαλονίκη, 29-31 Μαΐου 2024</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8306"/>
        <w:tab w:val="center" w:pos="4153" w:leader="none"/>
        <w:tab w:val="right" w:pos="9630" w:leader="none"/>
      </w:tabs>
      <w:rPr>
        <w:rFonts w:ascii="Cambria" w:hAnsi="Cambria" w:cs="Times New Roman"/>
        <w:i/>
        <w:i/>
        <w:color w:themeColor="background1" w:themeShade="80" w:val="808080"/>
        <w:szCs w:val="24"/>
        <w:lang w:val="el-GR"/>
      </w:rPr>
    </w:pPr>
    <w:r>
      <w:rPr>
        <w:rFonts w:cs="Times New Roman" w:ascii="Cambria" w:hAnsi="Cambria"/>
        <w:i/>
        <w:color w:themeColor="background1" w:themeShade="80" w:val="808080"/>
        <w:sz w:val="18"/>
        <w:szCs w:val="18"/>
        <w:lang w:val="el-GR"/>
      </w:rPr>
      <w:t>14</w:t>
    </w:r>
    <w:r>
      <w:rPr>
        <w:rFonts w:cs="Times New Roman" w:ascii="Cambria" w:hAnsi="Cambria"/>
        <w:i/>
        <w:color w:themeColor="background1" w:themeShade="80" w:val="808080"/>
        <w:sz w:val="18"/>
        <w:szCs w:val="18"/>
        <w:vertAlign w:val="superscript"/>
        <w:lang w:val="en-US"/>
      </w:rPr>
      <w:t>o</w:t>
    </w:r>
    <w:r>
      <w:rPr>
        <w:rFonts w:cs="Times New Roman" w:ascii="Cambria" w:hAnsi="Cambria"/>
        <w:i/>
        <w:color w:themeColor="background1" w:themeShade="80" w:val="808080"/>
        <w:sz w:val="18"/>
        <w:szCs w:val="18"/>
        <w:lang w:val="el-GR"/>
      </w:rPr>
      <w:t xml:space="preserve"> Πανελλήνιο Επιστημονικό Συνέδριο Χημικής Μηχανικής</w:t>
    </w:r>
    <w:r>
      <w:rPr>
        <w:rFonts w:cs="Times New Roman" w:ascii="Cambria" w:hAnsi="Cambria"/>
        <w:i/>
        <w:color w:themeColor="background1" w:themeShade="80" w:val="808080"/>
        <w:szCs w:val="24"/>
        <w:lang w:val="el-GR"/>
      </w:rPr>
      <w:tab/>
      <w:t xml:space="preserve"> </w:t>
    </w:r>
    <w:r>
      <w:rPr>
        <w:rFonts w:cs="Times New Roman" w:ascii="Cambria" w:hAnsi="Cambria"/>
        <w:i/>
        <w:color w:themeColor="background1" w:themeShade="80" w:val="808080"/>
        <w:sz w:val="18"/>
        <w:szCs w:val="18"/>
        <w:lang w:val="el-GR"/>
      </w:rPr>
      <w:t>Θεσσαλονίκη, 29-31 Μαΐου 2024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l-G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02dd4"/>
    <w:pPr>
      <w:widowControl/>
      <w:suppressAutoHyphens w:val="true"/>
      <w:bidi w:val="0"/>
      <w:spacing w:lineRule="auto" w:line="276" w:before="0" w:after="200"/>
      <w:jc w:val="left"/>
    </w:pPr>
    <w:rPr>
      <w:rFonts w:ascii="Calibri" w:hAnsi="Calibri" w:eastAsia="Calibri" w:cs=""/>
      <w:color w:themeColor="text1" w:val="000000"/>
      <w:kern w:val="0"/>
      <w:sz w:val="24"/>
      <w:szCs w:val="22"/>
      <w:lang w:val="en-GB" w:eastAsia="en-US" w:bidi="ar-SA"/>
    </w:rPr>
  </w:style>
  <w:style w:type="paragraph" w:styleId="Heading2">
    <w:name w:val="Heading 2"/>
    <w:basedOn w:val="Normal"/>
    <w:link w:val="2Char"/>
    <w:uiPriority w:val="9"/>
    <w:qFormat/>
    <w:rsid w:val="00e805c9"/>
    <w:pPr>
      <w:spacing w:lineRule="auto" w:line="240" w:beforeAutospacing="1" w:afterAutospacing="1"/>
      <w:outlineLvl w:val="1"/>
    </w:pPr>
    <w:rPr>
      <w:rFonts w:ascii="Times New Roman" w:hAnsi="Times New Roman" w:eastAsia="Times New Roman" w:cs="Times New Roman"/>
      <w:b/>
      <w:bCs/>
      <w:sz w:val="36"/>
      <w:szCs w:val="36"/>
      <w:lang w:val="en-US"/>
    </w:rPr>
  </w:style>
  <w:style w:type="character" w:styleId="DefaultParagraphFont" w:default="1">
    <w:name w:val="Default Paragraph Font"/>
    <w:uiPriority w:val="1"/>
    <w:unhideWhenUsed/>
    <w:qFormat/>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Hyperlink">
    <w:name w:val="Hyperlink"/>
    <w:basedOn w:val="DefaultParagraphFont"/>
    <w:uiPriority w:val="99"/>
    <w:unhideWhenUsed/>
    <w:rsid w:val="00241b8e"/>
    <w:rPr>
      <w:color w:themeColor="hyperlink" w:val="0563C1"/>
      <w:u w:val="single"/>
    </w:rPr>
  </w:style>
  <w:style w:type="character" w:styleId="Char" w:customStyle="1">
    <w:name w:val="Κείμενο υποσημείωσης Char"/>
    <w:basedOn w:val="DefaultParagraphFont"/>
    <w:link w:val="FootnoteText"/>
    <w:uiPriority w:val="99"/>
    <w:semiHidden/>
    <w:qFormat/>
    <w:rsid w:val="00276727"/>
    <w:rPr>
      <w:sz w:val="20"/>
      <w:szCs w:val="20"/>
      <w:lang w:val="en-GB"/>
    </w:rPr>
  </w:style>
  <w:style w:type="character" w:styleId="Char1" w:customStyle="1">
    <w:name w:val="Κεφαλίδα Char"/>
    <w:basedOn w:val="DefaultParagraphFont"/>
    <w:link w:val="Header"/>
    <w:uiPriority w:val="99"/>
    <w:qFormat/>
    <w:rsid w:val="008b671c"/>
    <w:rPr>
      <w:lang w:val="en-GB"/>
    </w:rPr>
  </w:style>
  <w:style w:type="character" w:styleId="Char2" w:customStyle="1">
    <w:name w:val="Υποσέλιδο Char"/>
    <w:basedOn w:val="DefaultParagraphFont"/>
    <w:link w:val="Footer"/>
    <w:uiPriority w:val="99"/>
    <w:qFormat/>
    <w:rsid w:val="008b671c"/>
    <w:rPr>
      <w:lang w:val="en-GB"/>
    </w:rPr>
  </w:style>
  <w:style w:type="character" w:styleId="FollowedHyperlink">
    <w:name w:val="FollowedHyperlink"/>
    <w:basedOn w:val="DefaultParagraphFont"/>
    <w:uiPriority w:val="99"/>
    <w:semiHidden/>
    <w:unhideWhenUsed/>
    <w:rsid w:val="00333849"/>
    <w:rPr>
      <w:color w:themeColor="followedHyperlink" w:val="954F72"/>
      <w:u w:val="single"/>
    </w:rPr>
  </w:style>
  <w:style w:type="character" w:styleId="Char3" w:customStyle="1">
    <w:name w:val="Σώμα κειμένου Char"/>
    <w:basedOn w:val="DefaultParagraphFont"/>
    <w:qFormat/>
    <w:rsid w:val="00873c7a"/>
    <w:rPr>
      <w:rFonts w:ascii="Bookman Old Style" w:hAnsi="Bookman Old Style" w:eastAsia="Times New Roman" w:cs="Bookman Old Style"/>
      <w:color w:val="FF0000"/>
      <w:sz w:val="24"/>
      <w:szCs w:val="24"/>
      <w:lang w:eastAsia="el-GR"/>
    </w:rPr>
  </w:style>
  <w:style w:type="character" w:styleId="Char4" w:customStyle="1">
    <w:name w:val="Κείμενο πλαισίου Char"/>
    <w:basedOn w:val="DefaultParagraphFont"/>
    <w:link w:val="BalloonText"/>
    <w:uiPriority w:val="99"/>
    <w:semiHidden/>
    <w:qFormat/>
    <w:rsid w:val="002062b7"/>
    <w:rPr>
      <w:rFonts w:ascii="Tahoma" w:hAnsi="Tahoma" w:cs="Tahoma"/>
      <w:sz w:val="16"/>
      <w:szCs w:val="16"/>
      <w:lang w:val="en-GB"/>
    </w:rPr>
  </w:style>
  <w:style w:type="character" w:styleId="2Char" w:customStyle="1">
    <w:name w:val="Επικεφαλίδα 2 Char"/>
    <w:basedOn w:val="DefaultParagraphFont"/>
    <w:link w:val="Heading2"/>
    <w:uiPriority w:val="9"/>
    <w:qFormat/>
    <w:rsid w:val="00e805c9"/>
    <w:rPr>
      <w:rFonts w:ascii="Times New Roman" w:hAnsi="Times New Roman" w:eastAsia="Times New Roman" w:cs="Times New Roman"/>
      <w:b/>
      <w:bCs/>
      <w:sz w:val="36"/>
      <w:szCs w:val="36"/>
      <w:lang w:val="en-US"/>
    </w:rPr>
  </w:style>
  <w:style w:type="character" w:styleId="Singlehighlightclass" w:customStyle="1">
    <w:name w:val="single_highlight_class"/>
    <w:basedOn w:val="DefaultParagraphFont"/>
    <w:qFormat/>
    <w:rsid w:val="00e805c9"/>
    <w:rPr/>
  </w:style>
  <w:style w:type="character" w:styleId="Articleentryauthorslinks" w:customStyle="1">
    <w:name w:val="articleentryauthorslinks"/>
    <w:basedOn w:val="DefaultParagraphFont"/>
    <w:qFormat/>
    <w:rsid w:val="00e805c9"/>
    <w:rPr/>
  </w:style>
  <w:style w:type="character" w:styleId="Entryauthor" w:customStyle="1">
    <w:name w:val="entryauthor"/>
    <w:basedOn w:val="DefaultParagraphFont"/>
    <w:qFormat/>
    <w:rsid w:val="00e805c9"/>
    <w:rPr/>
  </w:style>
  <w:style w:type="character" w:styleId="Notinjournal" w:customStyle="1">
    <w:name w:val="notinjournal"/>
    <w:basedOn w:val="DefaultParagraphFont"/>
    <w:qFormat/>
    <w:rsid w:val="00e805c9"/>
    <w:rPr/>
  </w:style>
  <w:style w:type="character" w:styleId="HTMLCite">
    <w:name w:val="HTML Cite"/>
    <w:basedOn w:val="DefaultParagraphFont"/>
    <w:uiPriority w:val="99"/>
    <w:semiHidden/>
    <w:unhideWhenUsed/>
    <w:qFormat/>
    <w:rsid w:val="00e805c9"/>
    <w:rPr>
      <w:i/>
      <w:iCs/>
    </w:rPr>
  </w:style>
  <w:style w:type="character" w:styleId="Strong">
    <w:name w:val="Strong"/>
    <w:basedOn w:val="DefaultParagraphFont"/>
    <w:uiPriority w:val="22"/>
    <w:qFormat/>
    <w:rsid w:val="00e805c9"/>
    <w:rPr>
      <w:b/>
      <w:bCs/>
    </w:rPr>
  </w:style>
  <w:style w:type="character" w:styleId="Emphasis">
    <w:name w:val="Emphasis"/>
    <w:basedOn w:val="DefaultParagraphFont"/>
    <w:uiPriority w:val="20"/>
    <w:qFormat/>
    <w:rsid w:val="00e805c9"/>
    <w:rPr>
      <w:i/>
      <w:iCs/>
    </w:rPr>
  </w:style>
  <w:style w:type="character" w:styleId="Articlepagerange" w:customStyle="1">
    <w:name w:val="articlepagerange"/>
    <w:basedOn w:val="DefaultParagraphFont"/>
    <w:qFormat/>
    <w:rsid w:val="00e805c9"/>
    <w:rPr/>
  </w:style>
  <w:style w:type="character" w:styleId="Hps" w:customStyle="1">
    <w:name w:val="hps"/>
    <w:basedOn w:val="DefaultParagraphFont"/>
    <w:qFormat/>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Char3"/>
    <w:rsid w:val="00873c7a"/>
    <w:pPr>
      <w:spacing w:lineRule="auto" w:line="360" w:before="0" w:after="0"/>
      <w:jc w:val="both"/>
    </w:pPr>
    <w:rPr>
      <w:rFonts w:ascii="Bookman Old Style" w:hAnsi="Bookman Old Style" w:eastAsia="Times New Roman" w:cs="Bookman Old Style"/>
      <w:szCs w:val="24"/>
      <w:lang w:val="el-GR" w:eastAsia="el-G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qFormat/>
    <w:pPr>
      <w:suppressLineNumbers/>
      <w:spacing w:before="120" w:after="120"/>
    </w:pPr>
    <w:rPr>
      <w:i/>
      <w:iCs/>
      <w:szCs w:val="24"/>
    </w:rPr>
  </w:style>
  <w:style w:type="paragraph" w:styleId="Caption11" w:customStyle="1">
    <w:name w:val="caption11"/>
    <w:basedOn w:val="Normal"/>
    <w:qFormat/>
    <w:pPr>
      <w:suppressLineNumbers/>
      <w:spacing w:before="120" w:after="120"/>
    </w:pPr>
    <w:rPr>
      <w:rFonts w:cs="Lohit Devanagari"/>
      <w:i/>
      <w:iCs/>
      <w:szCs w:val="24"/>
    </w:rPr>
  </w:style>
  <w:style w:type="paragraph" w:styleId="CETAddress" w:customStyle="1">
    <w:name w:val="CET Address"/>
    <w:basedOn w:val="Normal"/>
    <w:uiPriority w:val="99"/>
    <w:qFormat/>
    <w:rsid w:val="00241b8e"/>
    <w:pPr>
      <w:keepNext w:val="true"/>
      <w:spacing w:lineRule="auto" w:line="264" w:before="0" w:after="200"/>
      <w:contextualSpacing/>
    </w:pPr>
    <w:rPr>
      <w:rFonts w:ascii="Arial" w:hAnsi="Arial" w:eastAsia="Times New Roman" w:cs="Times New Roman"/>
      <w:sz w:val="16"/>
      <w:szCs w:val="20"/>
    </w:rPr>
  </w:style>
  <w:style w:type="paragraph" w:styleId="FootnoteText">
    <w:name w:val="Footnote Text"/>
    <w:basedOn w:val="Normal"/>
    <w:link w:val="Char"/>
    <w:uiPriority w:val="99"/>
    <w:semiHidden/>
    <w:unhideWhenUsed/>
    <w:rsid w:val="00276727"/>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Char1"/>
    <w:uiPriority w:val="99"/>
    <w:unhideWhenUsed/>
    <w:rsid w:val="008b671c"/>
    <w:pPr>
      <w:tabs>
        <w:tab w:val="clear" w:pos="720"/>
        <w:tab w:val="center" w:pos="4153" w:leader="none"/>
        <w:tab w:val="right" w:pos="8306" w:leader="none"/>
      </w:tabs>
      <w:spacing w:lineRule="auto" w:line="240" w:before="0" w:after="0"/>
    </w:pPr>
    <w:rPr/>
  </w:style>
  <w:style w:type="paragraph" w:styleId="Footer">
    <w:name w:val="Footer"/>
    <w:basedOn w:val="Normal"/>
    <w:link w:val="Char2"/>
    <w:uiPriority w:val="99"/>
    <w:unhideWhenUsed/>
    <w:rsid w:val="008b671c"/>
    <w:pPr>
      <w:tabs>
        <w:tab w:val="clear" w:pos="720"/>
        <w:tab w:val="center" w:pos="4153" w:leader="none"/>
        <w:tab w:val="right" w:pos="8306" w:leader="none"/>
      </w:tabs>
      <w:spacing w:lineRule="auto" w:line="240" w:before="0" w:after="0"/>
    </w:pPr>
    <w:rPr/>
  </w:style>
  <w:style w:type="paragraph" w:styleId="BalloonText">
    <w:name w:val="Balloon Text"/>
    <w:basedOn w:val="Normal"/>
    <w:link w:val="Char4"/>
    <w:uiPriority w:val="99"/>
    <w:semiHidden/>
    <w:unhideWhenUsed/>
    <w:qFormat/>
    <w:rsid w:val="002062b7"/>
    <w:pPr>
      <w:spacing w:lineRule="auto" w:line="240" w:before="0" w:after="0"/>
    </w:pPr>
    <w:rPr>
      <w:rFonts w:ascii="Tahoma" w:hAnsi="Tahoma" w:cs="Tahoma"/>
      <w:sz w:val="16"/>
      <w:szCs w:val="16"/>
    </w:rPr>
  </w:style>
  <w:style w:type="paragraph" w:styleId="AbstHead" w:customStyle="1">
    <w:name w:val="Abst Head"/>
    <w:basedOn w:val="Normal"/>
    <w:qFormat/>
    <w:rsid w:val="00de59e3"/>
    <w:pPr>
      <w:keepNext w:val="true"/>
      <w:spacing w:lineRule="auto" w:line="240" w:before="0" w:after="240"/>
    </w:pPr>
    <w:rPr>
      <w:rFonts w:ascii="Helvetica" w:hAnsi="Helvetica" w:eastAsia="Times New Roman" w:cs="Times New Roman"/>
      <w:b/>
      <w:caps/>
      <w:sz w:val="22"/>
      <w:szCs w:val="20"/>
      <w:lang w:val="en-US"/>
    </w:rPr>
  </w:style>
  <w:style w:type="paragraph" w:styleId="Reference" w:customStyle="1">
    <w:name w:val="Reference"/>
    <w:basedOn w:val="Normal"/>
    <w:qFormat/>
    <w:rsid w:val="00de59e3"/>
    <w:pPr>
      <w:numPr>
        <w:ilvl w:val="0"/>
        <w:numId w:val="1"/>
      </w:numPr>
      <w:spacing w:lineRule="exact" w:line="240" w:before="0" w:after="0"/>
      <w:jc w:val="both"/>
    </w:pPr>
    <w:rPr>
      <w:rFonts w:ascii="Helvetica" w:hAnsi="Helvetica" w:eastAsia="Times New Roman" w:cs="Times New Roman"/>
      <w:sz w:val="20"/>
      <w:szCs w:val="20"/>
      <w:lang w:val="en-US"/>
    </w:rPr>
  </w:style>
  <w:style w:type="paragraph" w:styleId="ListParagraph">
    <w:name w:val="List Paragraph"/>
    <w:basedOn w:val="Normal"/>
    <w:uiPriority w:val="34"/>
    <w:qFormat/>
    <w:rsid w:val="007f5f14"/>
    <w:pPr>
      <w:spacing w:lineRule="auto" w:line="360" w:before="0" w:after="0"/>
      <w:ind w:left="720"/>
      <w:contextualSpacing/>
      <w:jc w:val="both"/>
    </w:pPr>
    <w:rPr>
      <w:rFonts w:ascii="Times New Roman" w:hAnsi="Times New Roman"/>
      <w:sz w:val="22"/>
      <w:szCs w:val="24"/>
      <w:lang w:val="el-GR"/>
    </w:rPr>
  </w:style>
  <w:style w:type="paragraph" w:styleId="Eea" w:customStyle="1">
    <w:name w:val="?e?µe?a"/>
    <w:qFormat/>
    <w:pPr>
      <w:widowControl/>
      <w:suppressAutoHyphens w:val="true"/>
      <w:bidi w:val="0"/>
      <w:spacing w:lineRule="exact" w:line="240" w:before="0" w:after="0"/>
      <w:jc w:val="both"/>
      <w:textAlignment w:val="baseline"/>
    </w:pPr>
    <w:rPr>
      <w:rFonts w:ascii="Times New Roman" w:hAnsi="Times New Roman" w:eastAsia="Times New Roman" w:cs="Times New Roman"/>
      <w:color w:val="auto"/>
      <w:kern w:val="0"/>
      <w:sz w:val="20"/>
      <w:szCs w:val="20"/>
      <w:lang w:val="en-GB" w:eastAsia="en-US" w:bidi="ar-SA"/>
    </w:rPr>
  </w:style>
  <w:style w:type="paragraph" w:styleId="FirstParagraph" w:customStyle="1">
    <w:name w:val="First Paragraph"/>
    <w:basedOn w:val="BodyText"/>
    <w:next w:val="BodyText"/>
    <w:qFormat/>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3.png"/><Relationship Id="rId5" Type="http://schemas.openxmlformats.org/officeDocument/2006/relationships/image" Target="media/image4.svg"/><Relationship Id="rId6" Type="http://schemas.openxmlformats.org/officeDocument/2006/relationships/image" Target="media/image5.png"/><Relationship Id="rId7" Type="http://schemas.openxmlformats.org/officeDocument/2006/relationships/image" Target="media/image6.svg"/><Relationship Id="rId8" Type="http://schemas.openxmlformats.org/officeDocument/2006/relationships/image" Target="media/image7.png"/><Relationship Id="rId9" Type="http://schemas.openxmlformats.org/officeDocument/2006/relationships/image" Target="media/image8.svg"/><Relationship Id="rId10" Type="http://schemas.openxmlformats.org/officeDocument/2006/relationships/image" Target="media/image9.png"/><Relationship Id="rId11" Type="http://schemas.openxmlformats.org/officeDocument/2006/relationships/image" Target="media/image10.sv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Relationship Id="rId20" Type="http://schemas.openxmlformats.org/officeDocument/2006/relationships/customXml" Target="../customXml/item2.xml"/><Relationship Id="rId21"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610559A81C7144C8D6440B6ABFA8405" ma:contentTypeVersion="3" ma:contentTypeDescription="Create a new document." ma:contentTypeScope="" ma:versionID="a5d433496a8ab409d1e9842e2628ac70">
  <xsd:schema xmlns:xsd="http://www.w3.org/2001/XMLSchema" xmlns:xs="http://www.w3.org/2001/XMLSchema" xmlns:p="http://schemas.microsoft.com/office/2006/metadata/properties" xmlns:ns2="17645b64-b07e-41f5-ab95-378e4c783f49" targetNamespace="http://schemas.microsoft.com/office/2006/metadata/properties" ma:root="true" ma:fieldsID="a6f4a16b2a111a4e7381619fd81839a2" ns2:_="">
    <xsd:import namespace="17645b64-b07e-41f5-ab95-378e4c783f49"/>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645b64-b07e-41f5-ab95-378e4c783f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7AD359-A67A-451F-AB0E-12435D2F66D1}">
  <ds:schemaRefs>
    <ds:schemaRef ds:uri="http://schemas.microsoft.com/sharepoint/v3/contenttype/forms"/>
  </ds:schemaRefs>
</ds:datastoreItem>
</file>

<file path=customXml/itemProps2.xml><?xml version="1.0" encoding="utf-8"?>
<ds:datastoreItem xmlns:ds="http://schemas.openxmlformats.org/officeDocument/2006/customXml" ds:itemID="{C1ACC81A-712E-4A80-BB28-9319191AE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645b64-b07e-41f5-ab95-378e4c783f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4BC932-2D7F-4177-A25E-415A207D83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TotalTime>
  <Application>LibreOffice/24.2.2.2$Linux_X86_64 LibreOffice_project/420$Build-2</Application>
  <AppVersion>15.0000</AppVersion>
  <Pages>7</Pages>
  <Words>2455</Words>
  <Characters>14277</Characters>
  <CharactersWithSpaces>16775</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2024-05-01T12:58:00Z</dcterms:created>
  <dc:creator>C. Chatzidoukas</dc:creator>
  <dc:description/>
  <dc:language>el-GR</dc:language>
  <cp:lastModifiedBy/>
  <cp:lastPrinted>2024-04-25T17:52:00Z</cp:lastPrinted>
  <dcterms:modified xsi:type="dcterms:W3CDTF">2024-05-01T16:23:07Z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0x010100D610559A81C7144C8D6440B6ABFA8405</vt:lpwstr>
  </property>
</Properties>
</file>