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0"/>
          <w:szCs w:val="40"/>
        </w:rPr>
        <w:t xml:space="preserve">Project FORESIGHT</w:t>
      </w:r>
    </w:p>
    <w:p>
      <w:pPr>
        <w:spacing w:after="300"/>
      </w:pPr>
      <w:r>
        <w:rPr>
          <w:i/>
          <w:iCs/>
          <w:color w:val="444444"/>
          <w:sz w:val="24"/>
          <w:szCs w:val="24"/>
        </w:rPr>
        <w:t xml:space="preserve">Data Quality &amp; EDA Insight Memo</w:t>
      </w:r>
    </w:p>
    <w:p>
      <w:pPr>
        <w:pStyle w:val="Heading1"/>
      </w:pPr>
      <w:r>
        <w:t xml:space="preserve">Data quality</w:t>
      </w:r>
    </w:p>
    <w:p>
      <w:pPr>
        <w:spacing w:after="150"/>
      </w:pPr>
      <w:r>
        <w:rPr>
          <w:sz w:val="22"/>
          <w:szCs w:val="22"/>
        </w:rPr>
        <w:t xml:space="preserve">The raw extract (76,000 rows, 20 products, 5 stores, Jan 2022 to Jan 2024) came back completely clean on the standard checks — zero missing values across all 16 columns, and zero duplicate rows. That's worth flagging rather than assuming: this dataset is a public stand-in for NorthBay's real extract, so it doesn't carry the messiness (missing values, inconsistent casing, duplicate records) that the brief describes for the actual client data. A real extract from NorthBay would need the cleaning step this one didn't require, and that step should still be built into the pipeline so it's ready for messier data later.</w:t>
      </w:r>
    </w:p>
    <w:p>
      <w:pPr>
        <w:spacing w:after="300"/>
      </w:pPr>
      <w:r>
        <w:rPr>
          <w:sz w:val="22"/>
          <w:szCs w:val="22"/>
        </w:rPr>
        <w:t xml:space="preserve">One real inconsistency did turn up during aggregation: a handful of Product IDs are recorded under more than one category across different rows of the raw data (for example, P0001 shows up as both "Electronics" and "Groceries"). When the daily data was grouped up to weekly figures, the category was taken as whichever value appeared first for that product-week, which is a reasonable simplification but not something to gloss over — a cleaner fix would be to take the most frequent category per SKU across the full history.</w:t>
      </w:r>
    </w:p>
    <w:p>
      <w:pPr>
        <w:pStyle w:val="Heading1"/>
      </w:pPr>
      <w:r>
        <w:t xml:space="preserve">Demand patterns</w:t>
      </w:r>
    </w:p>
    <w:p>
      <w:pPr>
        <w:spacing w:after="100"/>
      </w:pPr>
      <w:r>
        <w:rPr>
          <w:b/>
          <w:bCs/>
          <w:sz w:val="22"/>
          <w:szCs w:val="22"/>
        </w:rPr>
        <w:t xml:space="preserve">By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1F2937" w:val="clear"/>
          </w:tcPr>
          <w:p>
            <w:r>
              <w:rPr>
                <w:b/>
                <w:bCs/>
                <w:color w:val="FFFFFF"/>
                <w:sz w:val="21"/>
                <w:szCs w:val="21"/>
              </w:rPr>
              <w:t xml:space="preserve">Category</w:t>
            </w:r>
          </w:p>
        </w:tc>
        <w:tc>
          <w:tcPr>
            <w:tcW w:type="dxa" w:w="2700"/>
            <w:shd w:fill="1F2937" w:val="clear"/>
          </w:tcPr>
          <w:p>
            <w:r>
              <w:rPr>
                <w:b/>
                <w:bCs/>
                <w:color w:val="FFFFFF"/>
                <w:sz w:val="21"/>
                <w:szCs w:val="21"/>
              </w:rPr>
              <w:t xml:space="preserve">Avg daily demand</w:t>
            </w:r>
          </w:p>
        </w:tc>
        <w:tc>
          <w:tcPr>
            <w:tcW w:type="dxa" w:w="2700"/>
            <w:shd w:fill="1F2937" w:val="clear"/>
          </w:tcPr>
          <w:p>
            <w:r>
              <w:rPr>
                <w:b/>
                <w:bCs/>
                <w:color w:val="FFFFFF"/>
                <w:sz w:val="21"/>
                <w:szCs w:val="21"/>
              </w:rPr>
              <w:t xml:space="preserve">Share of total</w:t>
            </w:r>
          </w:p>
        </w:tc>
      </w:tr>
      <w:tr>
        <w:tc>
          <w:tcPr>
            <w:tcW w:type="dxa" w:w="3600"/>
          </w:tcPr>
          <w:p>
            <w:r>
              <w:rPr>
                <w:b w:val="false"/>
                <w:bCs w:val="false"/>
                <w:color w:val="000000"/>
                <w:sz w:val="21"/>
                <w:szCs w:val="21"/>
              </w:rPr>
              <w:t xml:space="preserve">Groceries</w:t>
            </w:r>
          </w:p>
        </w:tc>
        <w:tc>
          <w:tcPr>
            <w:tcW w:type="dxa" w:w="2700"/>
          </w:tcPr>
          <w:p>
            <w:r>
              <w:rPr>
                <w:b w:val="false"/>
                <w:bCs w:val="false"/>
                <w:color w:val="000000"/>
                <w:sz w:val="21"/>
                <w:szCs w:val="21"/>
              </w:rPr>
              <w:t xml:space="preserve">121.0</w:t>
            </w:r>
          </w:p>
        </w:tc>
        <w:tc>
          <w:tcPr>
            <w:tcW w:type="dxa" w:w="2700"/>
          </w:tcPr>
          <w:p>
            <w:r>
              <w:rPr>
                <w:b w:val="false"/>
                <w:bCs w:val="false"/>
                <w:color w:val="000000"/>
                <w:sz w:val="21"/>
                <w:szCs w:val="21"/>
              </w:rPr>
              <w:t xml:space="preserve">46.4%</w:t>
            </w:r>
          </w:p>
        </w:tc>
      </w:tr>
      <w:tr>
        <w:tc>
          <w:tcPr>
            <w:tcW w:type="dxa" w:w="3600"/>
          </w:tcPr>
          <w:p>
            <w:r>
              <w:rPr>
                <w:b w:val="false"/>
                <w:bCs w:val="false"/>
                <w:color w:val="000000"/>
                <w:sz w:val="21"/>
                <w:szCs w:val="21"/>
              </w:rPr>
              <w:t xml:space="preserve">Clothing</w:t>
            </w:r>
          </w:p>
        </w:tc>
        <w:tc>
          <w:tcPr>
            <w:tcW w:type="dxa" w:w="2700"/>
          </w:tcPr>
          <w:p>
            <w:r>
              <w:rPr>
                <w:b w:val="false"/>
                <w:bCs w:val="false"/>
                <w:color w:val="000000"/>
                <w:sz w:val="21"/>
                <w:szCs w:val="21"/>
              </w:rPr>
              <w:t xml:space="preserve">112.6</w:t>
            </w:r>
          </w:p>
        </w:tc>
        <w:tc>
          <w:tcPr>
            <w:tcW w:type="dxa" w:w="2700"/>
          </w:tcPr>
          <w:p>
            <w:r>
              <w:rPr>
                <w:b w:val="false"/>
                <w:bCs w:val="false"/>
                <w:color w:val="000000"/>
                <w:sz w:val="21"/>
                <w:szCs w:val="21"/>
              </w:rPr>
              <w:t xml:space="preserve">17.3%</w:t>
            </w:r>
          </w:p>
        </w:tc>
      </w:tr>
      <w:tr>
        <w:tc>
          <w:tcPr>
            <w:tcW w:type="dxa" w:w="3600"/>
          </w:tcPr>
          <w:p>
            <w:r>
              <w:rPr>
                <w:b w:val="false"/>
                <w:bCs w:val="false"/>
                <w:color w:val="000000"/>
                <w:sz w:val="21"/>
                <w:szCs w:val="21"/>
              </w:rPr>
              <w:t xml:space="preserve">Furniture</w:t>
            </w:r>
          </w:p>
        </w:tc>
        <w:tc>
          <w:tcPr>
            <w:tcW w:type="dxa" w:w="2700"/>
          </w:tcPr>
          <w:p>
            <w:r>
              <w:rPr>
                <w:b w:val="false"/>
                <w:bCs w:val="false"/>
                <w:color w:val="000000"/>
                <w:sz w:val="21"/>
                <w:szCs w:val="21"/>
              </w:rPr>
              <w:t xml:space="preserve">73.6</w:t>
            </w:r>
          </w:p>
        </w:tc>
        <w:tc>
          <w:tcPr>
            <w:tcW w:type="dxa" w:w="2700"/>
          </w:tcPr>
          <w:p>
            <w:r>
              <w:rPr>
                <w:b w:val="false"/>
                <w:bCs w:val="false"/>
                <w:color w:val="000000"/>
                <w:sz w:val="21"/>
                <w:szCs w:val="21"/>
              </w:rPr>
              <w:t xml:space="preserve">12.7%</w:t>
            </w:r>
          </w:p>
        </w:tc>
      </w:tr>
      <w:tr>
        <w:tc>
          <w:tcPr>
            <w:tcW w:type="dxa" w:w="3600"/>
          </w:tcPr>
          <w:p>
            <w:r>
              <w:rPr>
                <w:b w:val="false"/>
                <w:bCs w:val="false"/>
                <w:color w:val="000000"/>
                <w:sz w:val="21"/>
                <w:szCs w:val="21"/>
              </w:rPr>
              <w:t xml:space="preserve">Toys</w:t>
            </w:r>
          </w:p>
        </w:tc>
        <w:tc>
          <w:tcPr>
            <w:tcW w:type="dxa" w:w="2700"/>
          </w:tcPr>
          <w:p>
            <w:r>
              <w:rPr>
                <w:b w:val="false"/>
                <w:bCs w:val="false"/>
                <w:color w:val="000000"/>
                <w:sz w:val="21"/>
                <w:szCs w:val="21"/>
              </w:rPr>
              <w:t xml:space="preserve">92.6</w:t>
            </w:r>
          </w:p>
        </w:tc>
        <w:tc>
          <w:tcPr>
            <w:tcW w:type="dxa" w:w="2700"/>
          </w:tcPr>
          <w:p>
            <w:r>
              <w:rPr>
                <w:b w:val="false"/>
                <w:bCs w:val="false"/>
                <w:color w:val="000000"/>
                <w:sz w:val="21"/>
                <w:szCs w:val="21"/>
              </w:rPr>
              <w:t xml:space="preserve">12.4%</w:t>
            </w:r>
          </w:p>
        </w:tc>
      </w:tr>
      <w:tr>
        <w:tc>
          <w:tcPr>
            <w:tcW w:type="dxa" w:w="3600"/>
          </w:tcPr>
          <w:p>
            <w:r>
              <w:rPr>
                <w:b w:val="false"/>
                <w:bCs w:val="false"/>
                <w:color w:val="000000"/>
                <w:sz w:val="21"/>
                <w:szCs w:val="21"/>
              </w:rPr>
              <w:t xml:space="preserve">Electronics</w:t>
            </w:r>
          </w:p>
        </w:tc>
        <w:tc>
          <w:tcPr>
            <w:tcW w:type="dxa" w:w="2700"/>
          </w:tcPr>
          <w:p>
            <w:r>
              <w:rPr>
                <w:b w:val="false"/>
                <w:bCs w:val="false"/>
                <w:color w:val="000000"/>
                <w:sz w:val="21"/>
                <w:szCs w:val="21"/>
              </w:rPr>
              <w:t xml:space="preserve">97.5</w:t>
            </w:r>
          </w:p>
        </w:tc>
        <w:tc>
          <w:tcPr>
            <w:tcW w:type="dxa" w:w="2700"/>
          </w:tcPr>
          <w:p>
            <w:r>
              <w:rPr>
                <w:b w:val="false"/>
                <w:bCs w:val="false"/>
                <w:color w:val="000000"/>
                <w:sz w:val="21"/>
                <w:szCs w:val="21"/>
              </w:rPr>
              <w:t xml:space="preserve">11.2%</w:t>
            </w:r>
          </w:p>
        </w:tc>
      </w:tr>
    </w:tbl>
    <w:p>
      <w:pPr>
        <w:spacing w:after="200"/>
      </w:pPr>
    </w:p>
    <w:p>
      <w:pPr>
        <w:spacing w:after="200"/>
      </w:pPr>
      <w:r>
        <w:rPr>
          <w:sz w:val="22"/>
          <w:szCs w:val="22"/>
        </w:rPr>
        <w:t xml:space="preserve">Groceries dominates — it's nearly half of all demand on its own, and comfortably more than Clothing, Furniture, Toys and Electronics combined. Any forecasting error in this category costs more in absolute terms than the same percentage error anywhere else, which is why it gets called out separately in the risk and executive sections.</w:t>
      </w:r>
    </w:p>
    <w:p>
      <w:pPr>
        <w:spacing w:after="200"/>
      </w:pPr>
      <w:r>
        <w:rPr>
          <w:sz w:val="22"/>
          <w:szCs w:val="22"/>
        </w:rPr>
        <w:t xml:space="preserve">At the individual SKU level, demand is fairly evenly spread rather than concentrated in a couple of hero products — the top 5 SKUs by total demand (P0009, P0013, P0004, P0007, P0002) each sit in a similar 420,000–450,000 range, and even the bottom 5 (P0020, P0012, P0017, P0014, P0019) aren't far behind at 320,000–372,000. There's no obvious dead stock in this dataset — nothing that's barely selling at all — which is a bit different from what a real D2C catalogue usually looks like, and worth noting as a limitation of the synthetic data rather than a finding about NorthBay's actual product mix.</w:t>
      </w:r>
    </w:p>
    <w:p>
      <w:pPr>
        <w:spacing w:after="100"/>
      </w:pPr>
      <w:r>
        <w:rPr>
          <w:b/>
          <w:bCs/>
          <w:sz w:val="22"/>
          <w:szCs w:val="22"/>
        </w:rPr>
        <w:t xml:space="preserve">Seasonality</w:t>
      </w:r>
    </w:p>
    <w:p>
      <w:pPr>
        <w:spacing w:after="200"/>
      </w:pPr>
      <w:r>
        <w:rPr>
          <w:sz w:val="22"/>
          <w:szCs w:val="22"/>
        </w:rPr>
        <w:t xml:space="preserve">Summer runs highest (112.9 units/day on average) and Spring lowest (97.7), with Autumn and Winter sitting close together in between. The swing between the strongest and weakest season is about 15%, which is a real but fairly mild seasonal effect — not dramatic enough on its own to explain forecast error, but worth having as a feature, which it is in the model (month and week-of-year).</w:t>
      </w:r>
    </w:p>
    <w:p>
      <w:pPr>
        <w:spacing w:after="100"/>
      </w:pPr>
      <w:r>
        <w:rPr>
          <w:b/>
          <w:bCs/>
          <w:sz w:val="22"/>
          <w:szCs w:val="22"/>
        </w:rPr>
        <w:t xml:space="preserve">Promotions</w:t>
      </w:r>
    </w:p>
    <w:p>
      <w:pPr>
        <w:spacing w:after="300"/>
      </w:pPr>
      <w:r>
        <w:rPr>
          <w:sz w:val="22"/>
          <w:szCs w:val="22"/>
        </w:rPr>
        <w:t xml:space="preserve">This is the strongest single driver in the data. Promoted days average 123.3 units versus 95.0 on non-promoted days — roughly a 30% lift. Any forecast that ignores promotion status will systematically under-predict promo weeks and over-predict quiet ones; the model accounts for this directly since Promotion is included as a feature.</w:t>
      </w:r>
    </w:p>
    <w:p>
      <w:pPr>
        <w:pStyle w:val="Heading1"/>
      </w:pPr>
      <w:r>
        <w:t xml:space="preserve">Three things worth acting on</w:t>
      </w:r>
    </w:p>
    <w:p>
      <w:r>
        <w:rPr>
          <w:sz w:val="22"/>
          <w:szCs w:val="22"/>
        </w:rPr>
        <w:t xml:space="preserve">First, Groceries needs the most forecasting attention — it's nearly half the business, so even small percentage errors there matter more in rupee terms than anywhere else. Second, promotions are a reliable ~30% demand lever, which means the promo calendar has to stay synced with the forecasting pipeline or the model will quietly under-order during promo weeks. Third, the data itself came in unusually clean for a retail extract, which is a reminder that the pipeline's cleaning logic hasn't really been stress-tested — it should still be built to handle missing values and duplicates robustly, since NorthBay's real extracts won't be this tidy.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2026-08-20T12:58:45.680Z</dcterms:created>
  <dcterms:modified xsi:type="dcterms:W3CDTF">2026-08-20T12:58:45.694Z</dcterms:modified>
</cp:coreProperties>
</file>

<file path=docProps/custom.xml><?xml version="1.0" encoding="utf-8"?>
<Properties xmlns="http://schemas.openxmlformats.org/officeDocument/2006/custom-properties" xmlns:vt="http://schemas.openxmlformats.org/officeDocument/2006/docPropsVTypes"/>
</file>