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0"/>
          <w:szCs w:val="40"/>
        </w:rPr>
        <w:t xml:space="preserve">Project FORESIGHT</w:t>
      </w:r>
    </w:p>
    <w:p>
      <w:pPr>
        <w:spacing w:after="100"/>
      </w:pPr>
      <w:r>
        <w:rPr>
          <w:i/>
          <w:iCs/>
          <w:color w:val="444444"/>
          <w:sz w:val="24"/>
          <w:szCs w:val="24"/>
        </w:rPr>
        <w:t xml:space="preserve">Demand &amp; Inventory Intelligence — Executive Readout</w:t>
      </w:r>
    </w:p>
    <w:p>
      <w:pPr>
        <w:spacing w:after="300"/>
      </w:pPr>
      <w:r>
        <w:rPr>
          <w:color w:val="666666"/>
          <w:sz w:val="20"/>
          <w:szCs w:val="20"/>
        </w:rPr>
        <w:t xml:space="preserve">Prepared for the Head of Operations and Finance, NorthBay Living</w:t>
      </w:r>
    </w:p>
    <w:p>
      <w:pPr>
        <w:pStyle w:val="Heading1"/>
      </w:pPr>
      <w:r>
        <w:t xml:space="preserve">Where things stand</w:t>
      </w:r>
    </w:p>
    <w:p>
      <w:pPr>
        <w:spacing w:after="150"/>
      </w:pPr>
      <w:r>
        <w:rPr>
          <w:sz w:val="22"/>
          <w:szCs w:val="22"/>
        </w:rPr>
        <w:t xml:space="preserve">Right now, about 17.5% of demand across NorthBay's catalogue is going unmet because products run out before customers can buy them. That number comes straight from the sales history, not an estimate. Eight of the twenty SKUs we looked at need to be reordered soon, and together they represent roughly Rs 26.5 lakh in revenue that's at risk if nothing changes.</w:t>
      </w:r>
    </w:p>
    <w:p>
      <w:pPr>
        <w:spacing w:after="300"/>
      </w:pPr>
      <w:r>
        <w:rPr>
          <w:sz w:val="22"/>
          <w:szCs w:val="22"/>
        </w:rPr>
        <w:t xml:space="preserve">We built a forecasting model and tested it the honest way — against a simple baseline, on data it hadn't seen. It beats that baseline by a decent margin, and it's now wired into a dashboard the ops team can open and use on their own.</w:t>
      </w:r>
    </w:p>
    <w:p>
      <w:pPr>
        <w:pStyle w:val="Heading1"/>
      </w:pPr>
      <w:r>
        <w:t xml:space="preserve">The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1F2937" w:val="clear"/>
          </w:tcPr>
          <w:p>
            <w:r>
              <w:rPr>
                <w:b/>
                <w:bCs/>
                <w:color w:val="FFFFFF"/>
                <w:sz w:val="21"/>
                <w:szCs w:val="21"/>
              </w:rPr>
              <w:t xml:space="preserve">Metric</w:t>
            </w:r>
          </w:p>
        </w:tc>
        <w:tc>
          <w:tcPr>
            <w:tcW w:type="dxa" w:w="3500"/>
            <w:shd w:fill="1F2937" w:val="clear"/>
          </w:tcPr>
          <w:p>
            <w:r>
              <w:rPr>
                <w:b/>
                <w:bCs/>
                <w:color w:val="FFFFFF"/>
                <w:sz w:val="21"/>
                <w:szCs w:val="21"/>
              </w:rPr>
              <w:t xml:space="preserve">Value</w:t>
            </w:r>
          </w:p>
        </w:tc>
      </w:tr>
      <w:tr>
        <w:tc>
          <w:tcPr>
            <w:tcW w:type="dxa" w:w="5500"/>
          </w:tcPr>
          <w:p>
            <w:r>
              <w:rPr>
                <w:b w:val="false"/>
                <w:bCs w:val="false"/>
                <w:color w:val="000000"/>
                <w:sz w:val="21"/>
                <w:szCs w:val="21"/>
              </w:rPr>
              <w:t xml:space="preserve">Baseline (seasonal-naive) WAPE</w:t>
            </w:r>
          </w:p>
        </w:tc>
        <w:tc>
          <w:tcPr>
            <w:tcW w:type="dxa" w:w="3500"/>
          </w:tcPr>
          <w:p>
            <w:r>
              <w:rPr>
                <w:b w:val="false"/>
                <w:bCs w:val="false"/>
                <w:color w:val="000000"/>
                <w:sz w:val="21"/>
                <w:szCs w:val="21"/>
              </w:rPr>
              <w:t xml:space="preserve">17.32%</w:t>
            </w:r>
          </w:p>
        </w:tc>
      </w:tr>
      <w:tr>
        <w:tc>
          <w:tcPr>
            <w:tcW w:type="dxa" w:w="5500"/>
          </w:tcPr>
          <w:p>
            <w:r>
              <w:rPr>
                <w:b w:val="false"/>
                <w:bCs w:val="false"/>
                <w:color w:val="000000"/>
                <w:sz w:val="21"/>
                <w:szCs w:val="21"/>
              </w:rPr>
              <w:t xml:space="preserve">Model (XGBoost) WAPE</w:t>
            </w:r>
          </w:p>
        </w:tc>
        <w:tc>
          <w:tcPr>
            <w:tcW w:type="dxa" w:w="3500"/>
          </w:tcPr>
          <w:p>
            <w:r>
              <w:rPr>
                <w:b w:val="false"/>
                <w:bCs w:val="false"/>
                <w:color w:val="000000"/>
                <w:sz w:val="21"/>
                <w:szCs w:val="21"/>
              </w:rPr>
              <w:t xml:space="preserve">13.77%</w:t>
            </w:r>
          </w:p>
        </w:tc>
      </w:tr>
      <w:tr>
        <w:tc>
          <w:tcPr>
            <w:tcW w:type="dxa" w:w="5500"/>
          </w:tcPr>
          <w:p>
            <w:r>
              <w:rPr>
                <w:b w:val="false"/>
                <w:bCs w:val="false"/>
                <w:color w:val="000000"/>
                <w:sz w:val="21"/>
                <w:szCs w:val="21"/>
              </w:rPr>
              <w:t xml:space="preserve">SKUs flagged Reorder Now</w:t>
            </w:r>
          </w:p>
        </w:tc>
        <w:tc>
          <w:tcPr>
            <w:tcW w:type="dxa" w:w="3500"/>
          </w:tcPr>
          <w:p>
            <w:r>
              <w:rPr>
                <w:b w:val="false"/>
                <w:bCs w:val="false"/>
                <w:color w:val="000000"/>
                <w:sz w:val="21"/>
                <w:szCs w:val="21"/>
              </w:rPr>
              <w:t xml:space="preserve">8 of 20</w:t>
            </w:r>
          </w:p>
        </w:tc>
      </w:tr>
      <w:tr>
        <w:tc>
          <w:tcPr>
            <w:tcW w:type="dxa" w:w="5500"/>
          </w:tcPr>
          <w:p>
            <w:r>
              <w:rPr>
                <w:b w:val="false"/>
                <w:bCs w:val="false"/>
                <w:color w:val="000000"/>
                <w:sz w:val="21"/>
                <w:szCs w:val="21"/>
              </w:rPr>
              <w:t xml:space="preserve">SKUs flagged Markdown / Clear</w:t>
            </w:r>
          </w:p>
        </w:tc>
        <w:tc>
          <w:tcPr>
            <w:tcW w:type="dxa" w:w="3500"/>
          </w:tcPr>
          <w:p>
            <w:r>
              <w:rPr>
                <w:b w:val="false"/>
                <w:bCs w:val="false"/>
                <w:color w:val="000000"/>
                <w:sz w:val="21"/>
                <w:szCs w:val="21"/>
              </w:rPr>
              <w:t xml:space="preserve">0 of 20</w:t>
            </w:r>
          </w:p>
        </w:tc>
      </w:tr>
      <w:tr>
        <w:tc>
          <w:tcPr>
            <w:tcW w:type="dxa" w:w="5500"/>
          </w:tcPr>
          <w:p>
            <w:r>
              <w:rPr>
                <w:b w:val="false"/>
                <w:bCs w:val="false"/>
                <w:color w:val="000000"/>
                <w:sz w:val="21"/>
                <w:szCs w:val="21"/>
              </w:rPr>
              <w:t xml:space="preserve">Demand lost to stockouts historically</w:t>
            </w:r>
          </w:p>
        </w:tc>
        <w:tc>
          <w:tcPr>
            <w:tcW w:type="dxa" w:w="3500"/>
          </w:tcPr>
          <w:p>
            <w:r>
              <w:rPr>
                <w:b w:val="false"/>
                <w:bCs w:val="false"/>
                <w:color w:val="000000"/>
                <w:sz w:val="21"/>
                <w:szCs w:val="21"/>
              </w:rPr>
              <w:t xml:space="preserve">~17.5%</w:t>
            </w:r>
          </w:p>
        </w:tc>
      </w:tr>
    </w:tbl>
    <w:p>
      <w:pPr>
        <w:spacing w:after="300"/>
      </w:pPr>
    </w:p>
    <w:p>
      <w:pPr>
        <w:pStyle w:val="Heading1"/>
      </w:pPr>
      <w:r>
        <w:t xml:space="preserve">What we found</w:t>
      </w:r>
    </w:p>
    <w:p>
      <w:pPr>
        <w:spacing w:after="100"/>
      </w:pPr>
      <w:r>
        <w:rPr>
          <w:b/>
          <w:bCs/>
          <w:sz w:val="22"/>
          <w:szCs w:val="22"/>
        </w:rPr>
        <w:t xml:space="preserve">Stockouts, not overstock, are the real problem</w:t>
      </w:r>
    </w:p>
    <w:p>
      <w:pPr>
        <w:spacing w:after="200"/>
      </w:pPr>
      <w:r>
        <w:rPr>
          <w:sz w:val="22"/>
          <w:szCs w:val="22"/>
        </w:rPr>
        <w:t xml:space="preserve">Not one SKU came back flagged for markdown. The risk is entirely on the reorder side — 8 of 20 products are projected to run short within their supplier lead time. That lines up with what Operations said at kickoff: the issue is running out of what people want, not sitting on stock nobody's buying.</w:t>
      </w:r>
    </w:p>
    <w:p>
      <w:pPr>
        <w:spacing w:after="100"/>
      </w:pPr>
      <w:r>
        <w:rPr>
          <w:b/>
          <w:bCs/>
          <w:sz w:val="22"/>
          <w:szCs w:val="22"/>
        </w:rPr>
        <w:t xml:space="preserve">Groceries is carrying almost half the business</w:t>
      </w:r>
    </w:p>
    <w:p>
      <w:pPr>
        <w:spacing w:after="200"/>
      </w:pPr>
      <w:r>
        <w:rPr>
          <w:sz w:val="22"/>
          <w:szCs w:val="22"/>
        </w:rPr>
        <w:t xml:space="preserve">46.4% of total demand sits in the Groceries category alone — more than Clothing, Furniture, Toys and Electronics put together. A stockout here does more damage than one anywhere else, so it's the first place to tighten forecasting and safety stock.</w:t>
      </w:r>
    </w:p>
    <w:p>
      <w:pPr>
        <w:spacing w:after="100"/>
      </w:pPr>
      <w:r>
        <w:rPr>
          <w:b/>
          <w:bCs/>
          <w:sz w:val="22"/>
          <w:szCs w:val="22"/>
        </w:rPr>
        <w:t xml:space="preserve">Promotions move the needle by about 30%</w:t>
      </w:r>
    </w:p>
    <w:p>
      <w:pPr>
        <w:spacing w:after="300"/>
      </w:pPr>
      <w:r>
        <w:rPr>
          <w:sz w:val="22"/>
          <w:szCs w:val="22"/>
        </w:rPr>
        <w:t xml:space="preserve">Demand during promo periods averaged 123 units/day, against 95 units/day without one. The model has this built in as a feature, so promo weeks aren't quietly under-forecast the way they would be with a simpler approach.</w:t>
      </w:r>
    </w:p>
    <w:p>
      <w:pPr>
        <w:pStyle w:val="Heading1"/>
      </w:pPr>
      <w:r>
        <w:t xml:space="preserve">What we'd recommend doing next</w:t>
      </w:r>
    </w:p>
    <w:p>
      <w:pPr>
        <w:spacing w:after="300"/>
      </w:pPr>
      <w:r>
        <w:rPr>
          <w:sz w:val="22"/>
          <w:szCs w:val="22"/>
        </w:rPr>
        <w:t xml:space="preserve">Reorder the 8 flagged SKUs — the dashboard ranks them by revenue at stake, so the team can start with whatever matters most and work down the list. Groceries forecasting deserves the closest attention going forward, since small errors there carry the biggest rupee cost. Keep the promo calendar fed into the pipeline; anything not reflected there will get quietly under-ordered. And re-run the pipeline monthly — the forecast is only as good as the last data pull.</w:t>
      </w:r>
    </w:p>
    <w:p>
      <w:pPr>
        <w:pStyle w:val="Heading1"/>
      </w:pPr>
      <w:r>
        <w:t xml:space="preserve">How accurate is it, honestly</w:t>
      </w:r>
    </w:p>
    <w:p>
      <w:pPr>
        <w:spacing w:after="150"/>
      </w:pPr>
      <w:r>
        <w:rPr>
          <w:sz w:val="22"/>
          <w:szCs w:val="22"/>
        </w:rPr>
        <w:t xml:space="preserve">The model's error (WAPE) came out to 13.77%, against a 17.32% baseline — a real improvement measured on a proper backtest, not something read off the training data. It's worth saying that in the earliest test window the model actually lost to the baseline, 20.6% versus 18.9%, simply because it didn't have much history to learn from yet. It won every fold after that as more data became available. We're reporting that rather than leaving it out.</w:t>
      </w:r>
    </w:p>
    <w:p>
      <w:pPr>
        <w:spacing w:after="300"/>
      </w:pPr>
      <w:r>
        <w:rPr>
          <w:sz w:val="22"/>
          <w:szCs w:val="22"/>
        </w:rPr>
        <w:t xml:space="preserve">Two things worth flagging: the 4-week risk forecast currently carries the latest week's prediction forward rather than recalculating week by week, and supplier lead time and reorder points were estimated since they weren't in the data we had. Both are reasonable next steps to tighten up.</w:t>
      </w:r>
    </w:p>
    <w:p>
      <w:pPr>
        <w:pStyle w:val="Heading1"/>
      </w:pPr>
      <w:r>
        <w:t xml:space="preserve">What's actually being handed over</w:t>
      </w:r>
    </w:p>
    <w:p>
      <w:r>
        <w:rPr>
          <w:sz w:val="22"/>
          <w:szCs w:val="22"/>
        </w:rPr>
        <w:t xml:space="preserve">A live dashboard, filterable by category and SKU, showing forecast against actuals and a ranked reorder/markdown list. A pipeline that re-runs from raw data with one command, so this doesn't need to be rebuilt every month. And a rupee figure attached to the risk, so this is something Finance can act on too, not just a chart for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2026-08-20T12:53:54.274Z</dcterms:created>
  <dcterms:modified xsi:type="dcterms:W3CDTF">2026-08-20T12:53:54.291Z</dcterms:modified>
</cp:coreProperties>
</file>

<file path=docProps/custom.xml><?xml version="1.0" encoding="utf-8"?>
<Properties xmlns="http://schemas.openxmlformats.org/officeDocument/2006/custom-properties" xmlns:vt="http://schemas.openxmlformats.org/officeDocument/2006/docPropsVTypes"/>
</file>