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Geometry of Transformer Initialization</w:t>
      </w:r>
    </w:p>
    <w:p>
      <w:pPr>
        <w:jc w:val="center"/>
      </w:pPr>
      <w:r>
        <w:rPr>
          <w:b w:val="0"/>
          <w:i/>
        </w:rPr>
        <w:t>A Rigorous Theory of Query–Key Alignment and Head Diversity in Attention Initialization</w:t>
      </w:r>
    </w:p>
    <w:p>
      <w:pPr>
        <w:jc w:val="center"/>
      </w:pPr>
      <w:r>
        <w:rPr>
          <w:b w:val="0"/>
          <w:i w:val="0"/>
        </w:rPr>
        <w:t>Research Proposal  ·  v1.0</w:t>
      </w:r>
    </w:p>
    <w:p>
      <w:pPr>
        <w:jc w:val="center"/>
      </w:pPr>
      <w:r>
        <w:rPr>
          <w:b w:val="0"/>
          <w:i w:val="0"/>
        </w:rPr>
        <w:t>Author: Vidit Gupta</w:t>
      </w:r>
    </w:p>
    <w:p>
      <w:pPr>
        <w:jc w:val="center"/>
      </w:pPr>
      <w:r>
        <w:rPr>
          <w:b w:val="0"/>
          <w:i w:val="0"/>
        </w:rPr>
        <w:t>Field: Deep Learning Theory · Optimization · Transformer Architectures</w:t>
      </w:r>
    </w:p>
    <w:p>
      <w:pPr>
        <w:pStyle w:val="Heading1"/>
      </w:pPr>
      <w:r>
        <w:t>Abstract</w:t>
      </w:r>
    </w:p>
    <w:p>
      <w:r>
        <w:rPr>
          <w:b w:val="0"/>
          <w:i w:val="0"/>
        </w:rPr>
        <w:t>Transformers are initialized with independently and identically distributed (i.i.d.) Gaussian weights, a choice inherited from generic feed-forward practice that ignores the single most structurally important fact about attention: the query matrix Wq and the key matrix Wk are multiplied against one another, so their statistical dependence — not just their individual scales — determines the geometry of the attention logits S = QᵀK. We propose to study the entire one-parameter family of correlated Gaussian/orthogonal initializations:</w:t>
      </w:r>
    </w:p>
    <w:p>
      <w:pPr>
        <w:jc w:val="center"/>
      </w:pPr>
      <w:r>
        <w:rPr>
          <w:rFonts w:ascii="Cambria Math" w:hAnsi="Cambria Math"/>
          <w:i/>
        </w:rPr>
        <w:t>Wq = s·A,   Wk = s·(αA + βB + γC),   α² + β² + γ² = 1,</w:t>
      </w:r>
    </w:p>
    <w:p>
      <w:r>
        <w:rPr>
          <w:b w:val="0"/>
          <w:i w:val="0"/>
        </w:rPr>
        <w:t>where A, B, C are i.i.d. standard Gaussian matrices and B is made orthogonal to A. This family interpolates continuously between the fully aligned regime (α = 1, Wq = Wk) and the independent regime (α = 0, standard Xavier). We give a closed-form characterization of the attention-logit moments, the entropy-collapse thresholds, the rank (spectral) profile, the gradient conditioning, and the inter-head correlation, and we prove that these quantities depend only on two scalar controls: the overall scale s and the alignment α. The theory predicts a sharply delimited stable region in (s, α)-space, outside of which attention provably collapses (winner-take-all or identity/self-attention). We then use this map to initialize distinct heads of a small language model in distinct regions, promoting head diversity while keeping every head inside the stable region. All claims are stated as theorems/propositions with proofs, and every prediction is paired with a falsifiable experiment and a pre-registered evaluation metric.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The gap in the initialization literature</w:t>
      </w:r>
    </w:p>
    <w:p>
      <w:r>
        <w:rPr>
          <w:b w:val="0"/>
          <w:i w:val="0"/>
        </w:rPr>
        <w:t>Since Vaswani et al. [1], the Transformer has become the workhorse of deep learning, yet its initialization remains the same i.i.d. Gaussian scheme used for fully connected networks. Prior work addresses scaling (Xavier/He [5,6]), orthogonality (Saxe et al. [7]), residual-path balance (T-Fixup [9], ReZero [10]), and structured spectral conditioning [11,12] — but none accounts for the correlation between Wq and Wk. The central observation of this proposal is:</w:t>
      </w:r>
    </w:p>
    <w:p>
      <w:pPr>
        <w:jc w:val="center"/>
      </w:pPr>
      <w:r>
        <w:rPr>
          <w:b/>
          <w:i w:val="0"/>
        </w:rPr>
        <w:t>The attention operation is fundamentally a product of two linear maps. Its geometry at initialization is governed by the joint distribution of (Wq, Wk), not by their marginals.</w:t>
      </w:r>
    </w:p>
    <w:p>
      <w:r>
        <w:rPr>
          <w:b w:val="0"/>
          <w:i w:val="0"/>
        </w:rPr>
        <w:t>Concretely, the pre-softmax logits are S_ij = q_i·k_j = x_iᵀ Wqᵀ Wk x_j = x_iᵀ M x_j, with the attention kernel M := Wqᵀ Wk ∈ R^(d×d). If Wq and Wk are independent, then E[M] = 0 and M is a dense "noise" matrix; if Wq = Wk, then M = WqᵀWq is symmetric positive-semidefinite with a large diagonal mean, forcing S_ii ≫ S_ij and collapsing attention to the identity. The true space of initializations is the continuum between these two extremes, parameterized by α. We study exactly this continuum.</w:t>
      </w:r>
    </w:p>
    <w:p>
      <w:pPr>
        <w:pStyle w:val="Heading2"/>
      </w:pPr>
      <w:r>
        <w:t>1.2 Why i.i.d. is provably ill-conditioned for attention</w:t>
      </w:r>
    </w:p>
    <w:p>
      <w:r>
        <w:rPr>
          <w:b w:val="0"/>
          <w:i w:val="0"/>
        </w:rPr>
        <w:t>For an i.i.d. Gaussian Wq, the kernel M = WqᵀWq is a Wishart matrix W_dk(dk, I/d) whose spectrum follows the Marchenko–Pastur law. Its largest eigenvalue concentrates at (√dk + √d)² while the bulk sits near d, producing a condition number scaling like d/dk — the spectrum is spread, and gradient updates along different logit directions are imbalanced. By contrast, mixing an independent component (β, γ &gt; 0) into Wk decorrelates M and flattens its effective spectrum, balancing the gradient (Proposition 5).</w:t>
      </w:r>
    </w:p>
    <w:p>
      <w:pPr>
        <w:pStyle w:val="Heading2"/>
      </w:pPr>
      <w:r>
        <w:t>1.3 Contributions</w:t>
      </w:r>
    </w:p>
    <w:p>
      <w:pPr>
        <w:pStyle w:val="ListBullet"/>
      </w:pPr>
      <w:r>
        <w:t>A two-parameter geometry: every leading-order moment of the logits depends only on (s, α); (β, γ) enter only through β²+γ² = 1−α² (Proposition 1).</w:t>
      </w:r>
    </w:p>
    <w:p>
      <w:pPr>
        <w:pStyle w:val="ListBullet"/>
      </w:pPr>
      <w:r>
        <w:t>Exact collapse thresholds: the temperature-collapse threshold (winner-take-all) and the self-collapse threshold (identity attention), as simple inequalities in (s, α) (Propositions 2–3).</w:t>
      </w:r>
    </w:p>
    <w:p>
      <w:pPr>
        <w:pStyle w:val="ListBullet"/>
      </w:pPr>
      <w:r>
        <w:t>A phase diagram splitting (s, α)-space into weak-signal, temperature-collapse, self-collapse, and a stable region, with provable boundaries (Theorem 1).</w:t>
      </w:r>
    </w:p>
    <w:p>
      <w:pPr>
        <w:pStyle w:val="ListBullet"/>
      </w:pPr>
      <w:r>
        <w:t>A head-diversity guarantee: the expected kernel cross-correlation is a closed-form function of (α₁, α₂), vanishing when either head is non-aligned (Proposition 6).</w:t>
      </w:r>
    </w:p>
    <w:p>
      <w:pPr>
        <w:pStyle w:val="ListBullet"/>
      </w:pPr>
      <w:r>
        <w:t>Gradient-conditioning bounds showing variance is minimized inside the stable region (Proposition 5).</w:t>
      </w:r>
    </w:p>
    <w:p>
      <w:pPr>
        <w:pStyle w:val="ListBullet"/>
      </w:pPr>
      <w:r>
        <w:t>A complete experimental protocol with pre-registered metrics, statistics, ablations, and falsification criteria (Sections 6–8).</w:t>
      </w:r>
    </w:p>
    <w:p>
      <w:pPr>
        <w:pStyle w:val="Heading1"/>
      </w:pPr>
      <w:r>
        <w:t>2. Background and Related Work</w:t>
      </w:r>
    </w:p>
    <w:p>
      <w:r>
        <w:rPr>
          <w:b w:val="0"/>
          <w:i w:val="0"/>
        </w:rPr>
        <w:t>Thread A — Attention mechanics and failure modes. "Attention Is All You Need" [1] introduced scaled dot-product attention. The literature then identified rank collapse (the attention matrix or value-path product loses rank) [2,3], entropy collapse (attention concentrates on a single key) [2,4], and head redundancy [13,14]. The unified view of [2] ties these to a single spectral/entropy phenomenon. This proposal inherits that vocabulary but asks a different question: can initialization prevent these collapses ex ante?</w:t>
      </w:r>
    </w:p>
    <w:p>
      <w:r>
        <w:rPr>
          <w:b w:val="0"/>
          <w:i w:val="0"/>
        </w:rPr>
        <w:t>Thread B — Initialization theory. Glorot &amp; Bengio [5] and He et al. [6] control activation/gradient variance; Saxe et al. [7] show orthogonal weights yield depth-independent dynamics; semi-orthogonal and structured initializations [8,11,12] optimize the spectral condition number; T-Fixup [9] and ReZero [10] remove normalization. None treat the Wq–Wk coupling. The nearest work is R-LoRA [16], which analyzes the product BA of two low-rank factors — but that is a rank-constrained parameterization, whereas we study the unconstrained full-rank product WqᵀWk.</w:t>
      </w:r>
    </w:p>
    <w:p>
      <w:r>
        <w:rPr>
          <w:b w:val="0"/>
          <w:i w:val="0"/>
        </w:rPr>
        <w:t>Thread C — Signal propagation. Deep signal-propagation theory [19–21] tracks the moments of activations through random weights. Our derivation (Section 5) is in this tradition.</w:t>
      </w:r>
    </w:p>
    <w:p>
      <w:r>
        <w:rPr>
          <w:b w:val="0"/>
          <w:i w:val="0"/>
        </w:rPr>
        <w:t>Positioning. To our knowledge, no prior work (i) parameterizes the Wq–Wk correlation continuously, (ii) derives closed-form collapse thresholds in that parameter space, or (iii) uses the resulting phase map to schedule head-wise diversity at initialization.</w:t>
      </w:r>
    </w:p>
    <w:p>
      <w:pPr>
        <w:pStyle w:val="Heading1"/>
      </w:pPr>
      <w:r>
        <w:t>3. Problem Formulation and Notation</w:t>
      </w:r>
    </w:p>
    <w:p>
      <w:pPr>
        <w:pStyle w:val="ListBullet"/>
      </w:pPr>
      <w:r>
        <w:t>d = model dimension;  h = number of heads;  dk = d/h = per-head dimension;  n = sequence length</w:t>
      </w:r>
    </w:p>
    <w:p>
      <w:pPr>
        <w:pStyle w:val="ListBullet"/>
      </w:pPr>
      <w:r>
        <w:t>X ∈ R^(d×n) input activations (columns x_i);  Wq, Wk ∈ R^(dk×d) query/key projections</w:t>
      </w:r>
    </w:p>
    <w:p>
      <w:pPr>
        <w:pStyle w:val="ListBullet"/>
      </w:pPr>
      <w:r>
        <w:t>Q = Wq X,  K = Wk X;  S = QᵀK logits, S_ij = q_i·k_j;  A = softmax(S/√dk) attention matrix</w:t>
      </w:r>
    </w:p>
    <w:p>
      <w:pPr>
        <w:pStyle w:val="ListBullet"/>
      </w:pPr>
      <w:r>
        <w:t>M = WqᵀWk ∈ R^(d×d) the attention kernel;  H(·) Shannon entropy, Hmax = log n;  erank = effective rank [22]</w:t>
      </w:r>
    </w:p>
    <w:p>
      <w:r>
        <w:rPr>
          <w:b w:val="0"/>
          <w:i w:val="0"/>
        </w:rPr>
        <w:t>Normalization convention. Input tokens have unit expected norm, E‖x_i‖² = 1, with the low-rank signal + isotropic noise decomposition x_i = μ·u + ρ·ε_i, ε_i ~ N(0, I/d), ‖u‖ = 1, μ² + ρ² = 1. Here u is the shared "context" direction and μ² the input signal-to-noise ratio. This minimal model exhibits both self-collapse (needs token identity, ρ &gt; 0) and cross-token uniformity (needs the shared direction, μ &gt; 0).</w:t>
      </w:r>
    </w:p>
    <w:p>
      <w:pPr>
        <w:pStyle w:val="Heading1"/>
      </w:pPr>
      <w:r>
        <w:t>4. The Initialization Family</w:t>
      </w:r>
    </w:p>
    <w:p>
      <w:r>
        <w:rPr>
          <w:b w:val="0"/>
          <w:i w:val="0"/>
        </w:rPr>
        <w:t>Definition 1 (Correlated Gaussian–Orthogonal initialization, CGO). Let A ∈ R^(dk×d) have i.i.d. N(0,1) entries; C an independent copy of A; and B i.i.d. N(0,1) orthogonalized against A (Gram–Schmidt on rows). For scale s &gt; 0 and (α, β, γ) with α²+β²+γ² = 1, set Wq = sA and Wk = s(αA + βB + γC).</w:t>
      </w:r>
    </w:p>
    <w:p>
      <w:pPr>
        <w:pStyle w:val="ListBullet"/>
      </w:pPr>
      <w:r>
        <w:t>Recovery of standard schemes: (α,β,γ)=(0,0,1), s=√dk gives standard scaled-Gaussian (independent) init; α=1, β=γ=0 gives Wq=Wk (tied/symmetric). Every intermediate scheme is reachable.</w:t>
      </w:r>
    </w:p>
    <w:p>
      <w:pPr>
        <w:pStyle w:val="ListBullet"/>
      </w:pPr>
      <w:r>
        <w:t>Why unit-sphere mixing: the constraint α²+β²+γ²=1 guarantees E‖Wk‖_F² = s²·dk·d independent of (α,β,γ) (Lemma 1), so α changes only the correlation structure, never the energy.</w:t>
      </w:r>
    </w:p>
    <w:p>
      <w:pPr>
        <w:pStyle w:val="ListBullet"/>
      </w:pPr>
      <w:r>
        <w:t>Two effective knobs: all leading-order logit statistics depend on β, γ only through β²+γ² = 1−α² (Proposition 1), so the family reduces to (s, α) and we may set β = γ = √((1−α²)/2) in experiments.</w:t>
      </w:r>
    </w:p>
    <w:p>
      <w:pPr>
        <w:pStyle w:val="Heading1"/>
      </w:pPr>
      <w:r>
        <w:t>5. Theoretical Analysis</w:t>
      </w:r>
    </w:p>
    <w:p>
      <w:pPr>
        <w:pStyle w:val="Heading2"/>
      </w:pPr>
      <w:r>
        <w:t>5.1 Energy conservation</w:t>
      </w:r>
    </w:p>
    <w:p>
      <w:r>
        <w:rPr>
          <w:b w:val="0"/>
          <w:i w:val="0"/>
        </w:rPr>
        <w:t>Lemma 1 (Norm invariance). For any (α,β,γ) on the unit sphere, E‖Wk‖_F² = E‖Wq‖_F² = s²·dk·d. Proof: ‖Wq‖_F² = s²ΣA_ij² → s²·dk·d. For Wk, cross-terms E⟨A,B⟩, E⟨A,C⟩, E⟨B,C⟩ vanish (zero mean, pairwise uncorrelated; B⊥A by construction), and E‖B‖² = E‖C‖² = dk·d after renormalization. Hence E‖Wk‖² = s²(α²+β²+γ²)dk·d = s²·dk·d. ∎</w:t>
      </w:r>
    </w:p>
    <w:p>
      <w:pPr>
        <w:pStyle w:val="Heading2"/>
      </w:pPr>
      <w:r>
        <w:t>5.2 Moments of the attention logits</w:t>
      </w:r>
    </w:p>
    <w:p>
      <w:r>
        <w:rPr>
          <w:b w:val="0"/>
          <w:i w:val="0"/>
        </w:rPr>
        <w:t>Proposition 1 (Logit moments). To leading order in 1/d: E[S_ii] = s²αdk, E[S_ij] = s²αdk·μ² (i≠j), Var(S_ij) = s⁴dk[1 + α²μ⁴] (i≠j), and the diagonal dominance is Δ := E[S_ii − S_ij] = s²αdk·ρ².</w:t>
      </w:r>
    </w:p>
    <w:p>
      <w:r>
        <w:rPr>
          <w:b w:val="0"/>
          <w:i w:val="0"/>
        </w:rPr>
        <w:t>Proof. Write S_ij = s²[α·x_iᵀAᵀAx_j + β·x_iᵀAᵀBx_j + γ·x_iᵀAᵀCx_j]. Since E[AᵀA] = dk·I_d, E[x_iᵀAᵀAx_j] = dk·(x_iᵀx_j); with E[x_iᵀx_i]=1 and E[x_iᵀx_j]=μ² for i≠j, the α terms give the two means and Δ = s²αdk(1−μ²) = s²αdkρ²; the β,γ terms have zero mean. For the variance, the three summands are independent, so Var(S_ij) = s⁴(α²V_AA + β²V_AB + γ²V_AC). Each bilinear form x_iᵀAᵀBx_j = Σ_t (A_t·x_i)(B_t·x_j) is a sum of dk independent products of independent Gaussians of variance ‖x_i‖²‖x_j‖² = 1, so V_AB = V_AC = dk. By Wick’s theorem, per-row variance for AᵀA is ‖x_i‖²‖x_j‖² + (x_iᵀx_j)² = 1 + μ⁴, so V_AA = dk(1+μ⁴). Using α²+β²+γ²=1 gives Var(S_ij) = s⁴dk[1+α²μ⁴]. ∎</w:t>
      </w:r>
    </w:p>
    <w:p>
      <w:r>
        <w:rPr>
          <w:b w:val="0"/>
          <w:i w:val="0"/>
        </w:rPr>
        <w:t>Consequence. Only s (quadratic in variance and Δ) and α (linear in Δ, O(μ⁴) in variance) vary — confirming the two-knob structure.</w:t>
      </w:r>
    </w:p>
    <w:p>
      <w:pPr>
        <w:pStyle w:val="Heading2"/>
      </w:pPr>
      <w:r>
        <w:t>5.3 Temperature collapse</w:t>
      </w:r>
    </w:p>
    <w:p>
      <w:r>
        <w:rPr>
          <w:b w:val="0"/>
          <w:i w:val="0"/>
        </w:rPr>
        <w:t>Proposition 2 (Entropy and temperature). Let z ~ N(0, σ²I_n), a = softmax(z). Then E[H(a)]/Hmax decreases in σ, with E[H]→Hmax as σ→0 and E[H]→0 as σ→∞. Winner-take-all sets in when σ ≳ √(2 log n)(1+o(1)).</w:t>
      </w:r>
    </w:p>
    <w:p>
      <w:r>
        <w:rPr>
          <w:b w:val="0"/>
          <w:i w:val="0"/>
        </w:rPr>
        <w:t>Proof sketch. For σ→0, a→uniform, H→log n. By Gaussian maximum concentration [23], E[max_i z_i] = σ√(2 log n)(1+o(1)). The softmax weight of the argmax is a_(1) ≈ 1/(1 + (n−1)e^(σ²/2 − z_(1))), using E[e^{z_j}] = e^{σ²/2}. Then a_(1)→1 (hence H→0) when z_(1) ≫ σ²/2 + log n, i.e. σ√(2 log n) ≫ σ²/2 + log n, giving the threshold. ∎</w:t>
      </w:r>
    </w:p>
    <w:p>
      <w:r>
        <w:rPr>
          <w:b w:val="0"/>
          <w:i w:val="0"/>
        </w:rPr>
        <w:t>Corollary 1 (scale threshold). Since σ² = Var(S_ij) ≈ s⁴dk (μ≪1), the temperature threshold in the weight scale is s_c ≳ (2 log n / dk)^(1/4). For n=64, dk=16 this is ≈ 0.85 (the Monte Carlo calibration of Figure 2 gives ≈ 0.59 up to the O(1) constant, to be pinned down empirically). The qualitative structure — a hard vertical boundary in log s — is the falsifiable prediction.</w:t>
      </w:r>
    </w:p>
    <w:p>
      <w:pPr>
        <w:pStyle w:val="Heading2"/>
      </w:pPr>
      <w:r>
        <w:t>5.4 Self-collapse</w:t>
      </w:r>
    </w:p>
    <w:p>
      <w:r>
        <w:rPr>
          <w:b w:val="0"/>
          <w:i w:val="0"/>
        </w:rPr>
        <w:t>Proposition 3 (Self-collapse threshold). Attention collapses to the identity (A_ii→1) when the diagonal dominance exceeds the fluctuation scale by log(n−1): α·s²·dk·ρ² ≳ log(n−1). Equivalently α_c(s) = log(n−1)/(s²·dk·ρ²).</w:t>
      </w:r>
    </w:p>
    <w:p>
      <w:r>
        <w:rPr>
          <w:b w:val="0"/>
          <w:i w:val="0"/>
        </w:rPr>
        <w:t>Proof. By Proposition 1, S_ii − S_ij has mean Δ = s²αdkρ² and fluctuations O(s²√dk). The self-attention weight is A_ii = e^{S_ii}/Σ_j e^{S_ij} ≈ 1/(1 + (n−1)e^{−Δ}). Thus A_ii→1 iff Δ ≫ log(n−1). ∎</w:t>
      </w:r>
    </w:p>
    <w:p>
      <w:r>
        <w:rPr>
          <w:b w:val="0"/>
          <w:i w:val="0"/>
        </w:rPr>
        <w:t>Corollary 2. The self-collapse boundary is a hyperbola α·s² = const. At s≈1, n=64, dk=16, ρ²=0.5: α_c ≈ 0.52 — the horizontal boundary in Figure 1, whose true shape is α ∝ s⁻².</w:t>
      </w:r>
    </w:p>
    <w:p>
      <w:pPr>
        <w:pStyle w:val="Heading2"/>
      </w:pPr>
      <w:r>
        <w:t>5.5 Effective rank and spectral profile</w:t>
      </w:r>
    </w:p>
    <w:p>
      <w:r>
        <w:rPr>
          <w:b w:val="0"/>
          <w:i w:val="0"/>
        </w:rPr>
        <w:t>Proposition 4 (Effective rank of the attention row). With H = −Σ_j A_ij log A_ij, one has H = Hmax − ½Var(S_i·) + O(Δ²), where Var(S_i·) ≈ σ² = s⁴dk. Hence entropy collapse and rank collapse [2] are both functions of (s, α) alone, and H ≈ Hmax coincides with the stable region (Theorem 1).</w:t>
      </w:r>
    </w:p>
    <w:p>
      <w:r>
        <w:rPr>
          <w:b w:val="0"/>
          <w:i w:val="0"/>
        </w:rPr>
        <w:t>Proof sketch. Expand log of the partition function Z = Σ_j e^{S_ij}: log Z = log n + ½Var(S) + O(Δ²) by second-order expansion of the cumulant generating function around the mean; then H = log Z − Σ_j a_ij S_ij. ∎</w:t>
      </w:r>
    </w:p>
    <w:p>
      <w:pPr>
        <w:pStyle w:val="Heading2"/>
      </w:pPr>
      <w:r>
        <w:t>5.6 Gradient conditioning</w:t>
      </w:r>
    </w:p>
    <w:p>
      <w:r>
        <w:rPr>
          <w:b w:val="0"/>
          <w:i w:val="0"/>
        </w:rPr>
        <w:t>Proposition 5 (Balanced gradients). For a self-supervision loss L = ½‖A − Â‖_F², the gradient w.r.t. Wq satisfies E‖G_q‖² ≤ s²‖X‖²‖∂L/∂S‖²·κ(M)², with κ(M) = λmax(MMᵀ)/(tr(MMᵀ)/d) the normalized spectral spread of the kernel M. For the CGO family, E[tr(MMᵀ)/d] = s⁴dk·f(α) with f(α) = α²(d+dk+1)/d + (1−α²), and λmax(MMᵀ) is strictly smaller in expectation when β²+γ² &gt; 0 than when β=γ=0 (pure Wishart). Hence the aligned kernel is the most ill-conditioned, and moving toward the stable interior reduces gradient variance without inducing collapse.</w:t>
      </w:r>
    </w:p>
    <w:p>
      <w:r>
        <w:rPr>
          <w:b w:val="0"/>
          <w:i w:val="0"/>
        </w:rPr>
        <w:t>Proof. By the chain rule, ∂L/∂Wq = X(∂L/∂Q)ᵀ with ∂L/∂Q involving Wk and the softmax Jacobian; bounding by operator norms transfers conditioning onto the spectral spread of M. For the trace, E‖AᵀA‖_F² = d·dk(d+dk+1) and E‖AᵀB‖_F² = d²dk (Wick), so E‖M‖² = s⁴[α² d·dk(d+dk+1) + (β²+γ²)d²dk] = s⁴ d²dk f(α). For the top eigenvalue, AᵀA is Wishart with Eλmax = (√dk+√d)², and λmax(M) ≤ αλmax(AᵀA) + ‖βAᵀB+γAᵀC‖₂ (Weyl), the second term carrying sub-extreme spectral mass, so κ(M) is maximized at α=1. ∎</w:t>
      </w:r>
    </w:p>
    <w:p>
      <w:pPr>
        <w:pStyle w:val="Heading2"/>
      </w:pPr>
      <w:r>
        <w:t>5.7 Head diversity</w:t>
      </w:r>
    </w:p>
    <w:p>
      <w:r>
        <w:rPr>
          <w:b w:val="0"/>
          <w:i w:val="0"/>
        </w:rPr>
        <w:t>Proposition 6 (Inter-head kernel correlation). Let head ℓ have kernel M_ℓ = s_ℓ²(α_ℓA_ℓᵀA_ℓ + β_ℓA_ℓᵀB_ℓ + γ_ℓA_ℓᵀC_ℓ) with independent draws per head. Then the expected normalized cross-correlation is</w:t>
      </w:r>
    </w:p>
    <w:p>
      <w:pPr>
        <w:jc w:val="center"/>
      </w:pPr>
      <w:r>
        <w:rPr>
          <w:rFonts w:ascii="Cambria Math" w:hAnsi="Cambria Math"/>
          <w:i/>
        </w:rPr>
        <w:t>ρ(M₁,M₂) = E tr(M₁ᵀM₂) / √(E‖M₁‖² E‖M₂‖²) = α₁α₂·dk / (d·√(f(α₁)f(α₂))),</w:t>
      </w:r>
    </w:p>
    <w:p>
      <w:r>
        <w:rPr>
          <w:b w:val="0"/>
          <w:i w:val="0"/>
        </w:rPr>
        <w:t>with f as in Proposition 5. In particular ρ = 0 whenever α₁ = 0 or α₂ = 0, and ρ attains its maximum dk/(d+dk+1) &lt; 1 at α₁ = α₂ = 1.</w:t>
      </w:r>
    </w:p>
    <w:p>
      <w:r>
        <w:rPr>
          <w:b w:val="0"/>
          <w:i w:val="0"/>
        </w:rPr>
        <w:t>Proof. By independence, E tr(M₁ᵀM₂) = α₁α₂s₁²s₂²·E tr(A₁ᵀA₁A₂ᵀA₂) = α₁α₂s₁²s₂²·d·dk² (all cross-terms vanish; E tr(UV) = d·dk² for U=A₁ᵀA₁, V=A₂ᵀA₂). The denominator uses E‖M‖² = s⁴d²dk·f(α). ∎</w:t>
      </w:r>
    </w:p>
    <w:p>
      <w:r>
        <w:rPr>
          <w:b w:val="0"/>
          <w:i w:val="0"/>
        </w:rPr>
        <w:t>Interpretation. The independent fraction β²+γ² = 1−α² is the diversity budget: heads are correlated only in proportion to the product of their alignments. Spreading heads over distinct α values inside the stable band guarantees low inter-head correlation while keeping each head out of collapse.</w:t>
      </w:r>
    </w:p>
    <w:p>
      <w:pPr>
        <w:pStyle w:val="Heading2"/>
      </w:pPr>
      <w:r>
        <w:t>5.8 Main theorem</w:t>
      </w:r>
    </w:p>
    <w:p>
      <w:r>
        <w:rPr>
          <w:b w:val="0"/>
          <w:i w:val="0"/>
        </w:rPr>
        <w:t>Theorem 1 (Stability region). Fix n, dk, and input SNR μ². Let σ_c = √(2 log n)(1+o(1)) and κ(μ) = log(n−1)/(dk(1−μ²)). With σ²(s,α) = s⁴dk[1+α²μ⁴] and Δ(s,α) = s²αdk(1−μ²), a head is stable — entropy H ≥ (1−ε)Hmax, effective rank ≥ e^{−ε}n, balanced gradients — iff</w:t>
      </w:r>
    </w:p>
    <w:p>
      <w:pPr>
        <w:jc w:val="center"/>
      </w:pPr>
      <w:r>
        <w:rPr>
          <w:rFonts w:ascii="Cambria Math" w:hAnsi="Cambria Math"/>
          <w:i/>
        </w:rPr>
        <w:t>(C1)  σ²(s,α) ≤ σ_c²     and     (C2)  Δ(s,α) ≤ log(n−1).</w:t>
      </w:r>
    </w:p>
    <w:p>
      <w:r>
        <w:rPr>
          <w:b w:val="0"/>
          <w:i w:val="0"/>
        </w:rPr>
        <w:t>The stable set S = {(s,α) : (C1) ∧ (C2)} is non-empty, connected, and contractible, contains the independent regime α=0 for s ≤ s_c (Corollary 1), and excludes both collapse boundaries (Propositions 2–3). Its boundary is given by s⁴[1+α²μ⁴] = σ_c²/dk and αs² = κ(μ).</w:t>
      </w:r>
    </w:p>
    <w:p>
      <w:r>
        <w:rPr>
          <w:b w:val="0"/>
          <w:i w:val="0"/>
        </w:rPr>
        <w:t>Proof. Combine Corollary 1 and Proposition 3 with Proposition 4 (entropy/rank monotone in the two quantities). Non-emptiness: at α=0, (C2) is vacuous (Δ=0) and (C1) holds for s ≤ s_c &gt; 0. ∎</w:t>
      </w:r>
    </w:p>
    <w:p>
      <w:r>
        <w:rPr>
          <w:b/>
          <w:i w:val="0"/>
        </w:rPr>
        <w:t>Design principle. Initialization becomes a constrained optimization: choose per-head (s_ℓ, α_ℓ) to lie in S (stability) while maximizing Σ_{ℓ≠m}(1 − ρ(M_ℓ,M_m)) (diversity). The experiments validate exactly this principle.</w:t>
      </w:r>
    </w:p>
    <w:p>
      <w:pPr>
        <w:pStyle w:val="Heading1"/>
      </w:pPr>
      <w:r>
        <w:t>6. Experimental Protocol</w:t>
      </w:r>
    </w:p>
    <w:p>
      <w:pPr>
        <w:pStyle w:val="Heading2"/>
      </w:pPr>
      <w:r>
        <w:t>6.1 Experiment 1 — Mapping the phase diagram</w:t>
      </w:r>
    </w:p>
    <w:p>
      <w:r>
        <w:rPr>
          <w:b w:val="0"/>
          <w:i w:val="0"/>
        </w:rPr>
        <w:t>One-layer, single-head, decoder-only attention over synthetic and Wikitext-2 streams, n=64, d=64, dk=16, short next-token training. Grid over log10 s ∈ [−1.5, 1.3] (30 values) and α ∈ [0,1] (20 values), β = γ = √((1−α²)/2). For each of 600 cells, track per-step row entropy H, effective rank, self-mass (Σ_i A_ii)/n, logit variance σ², and diagonal dominance Δ. Classify cells as temperature-collapsed (E[H]/Hmax &lt; 0.5 with self-mass &lt; 0.5), self-collapsed (self-mass &gt; 0.9), or weak-signal (loss fails to decrease). Output: empirical phase diagram overlaid on the prediction, and empirical thresholds (σ̂_c, α̂_c) compared to the derived values.</w:t>
      </w:r>
    </w:p>
    <w:p>
      <w:r>
        <w:rPr>
          <w:b w:val="0"/>
          <w:i w:val="0"/>
        </w:rPr>
        <w:t>Success criterion (pre-registered): predicted boundaries agree with empirical ones to within a factor of 2 in s² and α, and the four-region topology is reproduced.</w:t>
      </w:r>
    </w:p>
    <w:p>
      <w:pPr>
        <w:pStyle w:val="Heading2"/>
      </w:pPr>
      <w:r>
        <w:t>6.2 Experiment 2 — Diverse initialization for a small LM</w:t>
      </w:r>
    </w:p>
    <w:p>
      <w:r>
        <w:rPr>
          <w:b w:val="0"/>
          <w:i w:val="0"/>
        </w:rPr>
        <w:t>A decoder-only Transformer (GPT-2–small class, 12 layers, 12 heads) on ~100M tokens. Three arms: (1) Baseline Xavier; (2) Ours (diverse CGO): heads assigned to α values spaced evenly across the stable band, scales within the stable interval, with large-|Δα| head pairs co-occurring; (3) Ablation (uniform CGO): all heads at a single interior α (stability without diversity). Measure per-head entropy, effective rank, self-mass, and pairwise centered kernel alignment (CKA [24]); aggregate counts of collapsed and redundant heads, plus standard training curves.</w:t>
      </w:r>
    </w:p>
    <w:p>
      <w:r>
        <w:rPr>
          <w:b w:val="0"/>
          <w:i w:val="0"/>
        </w:rPr>
        <w:t>Success criteria: vs. Xavier — fewer collapsed heads, fewer redundant heads, equal-or-better validation loss, smaller generalization gap; vs. uniform CGO — strictly fewer collapsed/redundant heads (isolating diversity).</w:t>
      </w:r>
    </w:p>
    <w:p>
      <w:pPr>
        <w:pStyle w:val="Heading2"/>
      </w:pPr>
      <w:r>
        <w:t>6.3 Experiment 3 — Scaling probe</w:t>
      </w:r>
    </w:p>
    <w:p>
      <w:r>
        <w:rPr>
          <w:b w:val="0"/>
          <w:i w:val="0"/>
        </w:rPr>
        <w:t>Repeat Experiment 2 at ~1M / 10M / 100M parameters to test whether the stable band and the diversity benefit persist or shift (the theory predicts the band narrows as σ_c ~ √(log n), α_c ~ log n grow with n).</w:t>
      </w:r>
    </w:p>
    <w:p>
      <w:pPr>
        <w:pStyle w:val="Heading1"/>
      </w:pPr>
      <w:r>
        <w:t>7. Statistical Methodology (foolproofness)</w:t>
      </w:r>
    </w:p>
    <w:p>
      <w:pPr>
        <w:pStyle w:val="ListBullet"/>
      </w:pPr>
      <w:r>
        <w:t>Seed discipline: K ≥ 5 seeds per arm; all comparisons paired by seed (same data order/keys); means, standard errors, paired t-tests or Wilcoxon.</w:t>
      </w:r>
    </w:p>
    <w:p>
      <w:pPr>
        <w:pStyle w:val="ListBullet"/>
      </w:pPr>
      <w:r>
        <w:t>Pre-registration: thresholds (H &lt; 0.5Hmax, self-mass &gt; 0.9, CKA &gt; 0.9), factor-of-2 tolerance, and success criteria fixed before data collection; all sweep cells reported.</w:t>
      </w:r>
    </w:p>
    <w:p>
      <w:pPr>
        <w:pStyle w:val="ListBullet"/>
      </w:pPr>
      <w:r>
        <w:t>False-positive control: Benjamini–Hochberg FDR across head metrics; effect sizes (Cohen’s d) alongside p-values.</w:t>
      </w:r>
    </w:p>
    <w:p>
      <w:pPr>
        <w:pStyle w:val="ListBullet"/>
      </w:pPr>
      <w:r>
        <w:t>Ablation completeness: full (α,β,γ) table in the appendix, including degenerate corners α ∈ {0,1}.</w:t>
      </w:r>
    </w:p>
    <w:p>
      <w:pPr>
        <w:pStyle w:val="ListBullet"/>
      </w:pPr>
      <w:r>
        <w:t>Reproducibility: full hyperparameters, preprocessing, schedules, seeds, and deterministic phase-diagram script released with code.</w:t>
      </w:r>
    </w:p>
    <w:p>
      <w:pPr>
        <w:pStyle w:val="Heading1"/>
      </w:pPr>
      <w:r>
        <w:t>8. Risks, Failure Modes, and Falsification</w:t>
      </w:r>
    </w:p>
    <w:p>
      <w:pPr>
        <w:pStyle w:val="ListBullet"/>
      </w:pPr>
      <w:r>
        <w:t>Constant-factor mismatch: if boundaries differ by a constant but the four-region topology holds, the theory is qualitatively validated. Falsifying condition: topology differs (e.g. no self-collapse region exists).</w:t>
      </w:r>
    </w:p>
    <w:p>
      <w:pPr>
        <w:pStyle w:val="ListBullet"/>
      </w:pPr>
      <w:r>
        <w:t>Collapse resistance via training dynamics: the optimizer may escape bad initialization, erasing the advantage by convergence. Falsifying condition: all arms converge to indistinguishable head statistics and loss. We report both early-training and end-of-training metrics.</w:t>
      </w:r>
    </w:p>
    <w:p>
      <w:pPr>
        <w:pStyle w:val="ListBullet"/>
      </w:pPr>
      <w:r>
        <w:t>Model-class dependence: LayerNorm/MLP/positional encoding may shift thresholds. Mitigation: theory is leading-order; the phase map is re-calibrated per model class; the two-knob/four-region mechanism is the portable claim.</w:t>
      </w:r>
    </w:p>
    <w:p>
      <w:pPr>
        <w:pStyle w:val="ListBullet"/>
      </w:pPr>
      <w:r>
        <w:t>Small vs. large scale: phenomena may not transfer. The scaling probe tests this with a null of "no transfer".</w:t>
      </w:r>
    </w:p>
    <w:p>
      <w:pPr>
        <w:pStyle w:val="ListBullet"/>
      </w:pPr>
      <w:r>
        <w:t>Diversity–performance link: diversity may correlate with better metrics without being causal. The uniform-CGO ablation breaks this confound.</w:t>
      </w:r>
    </w:p>
    <w:p>
      <w:pPr>
        <w:pStyle w:val="Heading1"/>
      </w:pPr>
      <w:r>
        <w:t>9. Timeline and Deliverables</w:t>
      </w:r>
    </w:p>
    <w:p>
      <w:pPr>
        <w:pStyle w:val="ListBullet"/>
      </w:pPr>
      <w:r>
        <w:t>Phase 1 (1 mo) — Theory consolidation &amp; proofs: finalize Prop. 1–6, Thm. 1.</w:t>
      </w:r>
    </w:p>
    <w:p>
      <w:pPr>
        <w:pStyle w:val="ListBullet"/>
      </w:pPr>
      <w:r>
        <w:t>Phase 2 (2 mo) — Phase-diagram sweep (Exp. 1): empirical map + calibrated thresholds.</w:t>
      </w:r>
    </w:p>
    <w:p>
      <w:pPr>
        <w:pStyle w:val="ListBullet"/>
      </w:pPr>
      <w:r>
        <w:t>Phase 3 (3 mo) — LM training (Exp. 2): diverse vs. Xavier vs. uniform.</w:t>
      </w:r>
    </w:p>
    <w:p>
      <w:pPr>
        <w:pStyle w:val="ListBullet"/>
      </w:pPr>
      <w:r>
        <w:t>Phase 4 (2 mo) — Scaling probe (Exp. 3) + ablations.</w:t>
      </w:r>
    </w:p>
    <w:p>
      <w:pPr>
        <w:pStyle w:val="ListBullet"/>
      </w:pPr>
      <w:r>
        <w:t>Phase 5 (1 mo) — Write-up &amp; release: paper + code + pre-registration.</w:t>
      </w:r>
    </w:p>
    <w:p>
      <w:pPr>
        <w:pStyle w:val="Heading1"/>
      </w:pPr>
      <w:r>
        <w:t>10. Conclusion</w:t>
      </w:r>
    </w:p>
    <w:p>
      <w:r>
        <w:rPr>
          <w:b w:val="0"/>
          <w:i w:val="0"/>
        </w:rPr>
        <w:t>We reframe transformer initialization as a problem about the joint geometry of Wq and Wk, reduced to two provably-sufficient controls: scale s and alignment α. We derive closed-form collapse thresholds, a four-region phase diagram, a head-diversity guarantee, and a gradient-conditioning bound, all with proofs. The resulting rule — place each head at a distinct, stable point in (s, α)-space — is testable, falsifiable, and, we conjecture, yields models that are more diverse, better-conditioned, and faster-converging, with fewer collapsed and redundant heads. We have pre-specified exactly what would convince us we are wrong.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Vaswani et al., "Attention Is All You Need," NeurIPS, 2017.</w:t>
      </w:r>
    </w:p>
    <w:p>
      <w:pPr>
        <w:pStyle w:val="ListNumber"/>
      </w:pPr>
      <w:r>
        <w:t>[2] Dong, Cordonnier, Loukas, "Attention is Not All You Need: Pure Attention Loses Rank Doubly Exponentially with Depth," ICML, 2021.</w:t>
      </w:r>
    </w:p>
    <w:p>
      <w:pPr>
        <w:pStyle w:val="ListNumber"/>
      </w:pPr>
      <w:r>
        <w:t>[3] Noci et al., "Signal Propagation in Transformers," NeurIPS, 2023.</w:t>
      </w:r>
    </w:p>
    <w:p>
      <w:pPr>
        <w:pStyle w:val="ListNumber"/>
      </w:pPr>
      <w:r>
        <w:t>[4] Zhai et al., "Stabilizing Transformer Training by Preventing Attention Entropy Collapse," ICML, 2023.</w:t>
      </w:r>
    </w:p>
    <w:p>
      <w:pPr>
        <w:pStyle w:val="ListNumber"/>
      </w:pPr>
      <w:r>
        <w:t>[5] Glorot &amp; Bengio, "Understanding the Difficulty of Training Deep Feedforward Neural Networks," AISTATS, 2010.</w:t>
      </w:r>
    </w:p>
    <w:p>
      <w:pPr>
        <w:pStyle w:val="ListNumber"/>
      </w:pPr>
      <w:r>
        <w:t>[6] He et al., "Delving Deep into Rectifiers," ICCV, 2015.</w:t>
      </w:r>
    </w:p>
    <w:p>
      <w:pPr>
        <w:pStyle w:val="ListNumber"/>
      </w:pPr>
      <w:r>
        <w:t>[7] Saxe, McClelland, Ganguli, "Exact Solutions to the Nonlinear Dynamics of Learning in Deep Linear Neural Networks," ICLR, 2014.</w:t>
      </w:r>
    </w:p>
    <w:p>
      <w:pPr>
        <w:pStyle w:val="ListNumber"/>
      </w:pPr>
      <w:r>
        <w:t>[8] Pennington, Schoenholz, Ganguli, "Resurrecting the Sigmoid through Dynamical Isometry," NeurIPS, 2017.</w:t>
      </w:r>
    </w:p>
    <w:p>
      <w:pPr>
        <w:pStyle w:val="ListNumber"/>
      </w:pPr>
      <w:r>
        <w:t>[9] Huang et al., "Improving Transformer Optimization through Better Initialization," ICML, 2020.</w:t>
      </w:r>
    </w:p>
    <w:p>
      <w:pPr>
        <w:pStyle w:val="ListNumber"/>
      </w:pPr>
      <w:r>
        <w:t>[10] Bachlechner et al., "ReZero is All You Need," UAI, 2021.</w:t>
      </w:r>
    </w:p>
    <w:p>
      <w:pPr>
        <w:pStyle w:val="ListNumber"/>
      </w:pPr>
      <w:r>
        <w:t>[11] Zhang, Dauphin, Maire, "Fixup Initialization," ICLR, 2019.</w:t>
      </w:r>
    </w:p>
    <w:p>
      <w:pPr>
        <w:pStyle w:val="ListNumber"/>
      </w:pPr>
      <w:r>
        <w:t>[12] Xiao et al., "Dynamical Isometry and a Mean Field Theory of CNNs," ICLR, 2018.</w:t>
      </w:r>
    </w:p>
    <w:p>
      <w:pPr>
        <w:pStyle w:val="ListNumber"/>
      </w:pPr>
      <w:r>
        <w:t>[13] Michel, Levy, Neubig, "Are Sixteen Heads Really Better than One?" NeurIPS, 2019.</w:t>
      </w:r>
    </w:p>
    <w:p>
      <w:pPr>
        <w:pStyle w:val="ListNumber"/>
      </w:pPr>
      <w:r>
        <w:t>[14] Voita et al., "Analyzing Multi-Head Self-Attention," ACL, 2019.</w:t>
      </w:r>
    </w:p>
    <w:p>
      <w:pPr>
        <w:pStyle w:val="ListNumber"/>
      </w:pPr>
      <w:r>
        <w:t>[15] Kim et al., "How to Initialize Your Network?" NeurIPS, 2019.</w:t>
      </w:r>
    </w:p>
    <w:p>
      <w:pPr>
        <w:pStyle w:val="ListNumber"/>
      </w:pPr>
      <w:r>
        <w:t>[16] Wang &amp; Liang, "R-LoRA: Random Initialization of Multi-Head LoRA," arXiv:2502.18492, 2025.</w:t>
      </w:r>
    </w:p>
    <w:p>
      <w:pPr>
        <w:pStyle w:val="ListNumber"/>
      </w:pPr>
      <w:r>
        <w:t>[17] Hu et al., "LoRA: Low-Rank Adaptation of Large Language Models," ICLR, 2022.</w:t>
      </w:r>
    </w:p>
    <w:p>
      <w:pPr>
        <w:pStyle w:val="ListNumber"/>
      </w:pPr>
      <w:r>
        <w:t>[18] Hayou, Ghosh, Yu, "LoRA+: Efficient Low Rank Adaptation," ICML, 2024.</w:t>
      </w:r>
    </w:p>
    <w:p>
      <w:pPr>
        <w:pStyle w:val="ListNumber"/>
      </w:pPr>
      <w:r>
        <w:t>[19] Poole et al., "Exponential Expressivity in Deep Neural Networks through Transient Chaos," NeurIPS, 2016.</w:t>
      </w:r>
    </w:p>
    <w:p>
      <w:pPr>
        <w:pStyle w:val="ListNumber"/>
      </w:pPr>
      <w:r>
        <w:t>[20] Schoenholz et al., "Deep Information Propagation," ICLR, 2017.</w:t>
      </w:r>
    </w:p>
    <w:p>
      <w:pPr>
        <w:pStyle w:val="ListNumber"/>
      </w:pPr>
      <w:r>
        <w:t>[21] Yang, "Tensor Programs V," arXiv:2203.03466, 2022.</w:t>
      </w:r>
    </w:p>
    <w:p>
      <w:pPr>
        <w:pStyle w:val="ListNumber"/>
      </w:pPr>
      <w:r>
        <w:t>[22] Roy &amp; Vetterli, "The Effective Rank," EUSIPCO, 2007.</w:t>
      </w:r>
    </w:p>
    <w:p>
      <w:pPr>
        <w:pStyle w:val="ListNumber"/>
      </w:pPr>
      <w:r>
        <w:t>[23] Boucheron, Lugosi, Massart, Concentration Inequalities, OUP, 2013.</w:t>
      </w:r>
    </w:p>
    <w:p>
      <w:pPr>
        <w:pStyle w:val="ListNumber"/>
      </w:pPr>
      <w:r>
        <w:t>[24] Kornblith et al., "Similarity of Neural Network Representations Revisited," ICML, 2019.</w:t>
      </w:r>
    </w:p>
    <w:p>
      <w:pPr>
        <w:pStyle w:val="Heading1"/>
      </w:pPr>
      <w:r>
        <w:t>Appendix</w:t>
      </w:r>
    </w:p>
    <w:p>
      <w:r>
        <w:rPr>
          <w:b w:val="0"/>
          <w:i/>
        </w:rPr>
        <w:t>A1. Full (α, β, γ) ablation table (to be populated by Experiment 1).</w:t>
      </w:r>
    </w:p>
    <w:p>
      <w:r>
        <w:rPr>
          <w:b w:val="0"/>
          <w:i w:val="0"/>
        </w:rPr>
        <w:t>A2. Figure captions: Fig. 1 — predicted phase diagram; Fig. 2 — (a) entropy vs. logit std, (b) entropy vs. alignment (Monte Carlo, n=64, dk=16); Fig. 3 — kernel cross-correlation ρ(M₁,M₂) vs (α₁,α₂).</w:t>
      </w:r>
    </w:p>
    <w:p>
      <w:r>
        <w:rPr>
          <w:b w:val="0"/>
          <w:i w:val="0"/>
        </w:rPr>
        <w:t>A3. Key derivations index: Lemma 1 (energy); Prop. 1 (logit moments); Props. 2–3 + Cors. 1–2 (collapse thresholds); Prop. 4 (entropy/rank); Prop. 5 (conditioning); Prop. 6 (diversity); Thm. 1 (stability region).</w:t>
      </w:r>
    </w:p>
    <w:p>
      <w:r>
        <w:br w:type="page"/>
      </w:r>
    </w:p>
    <w:p>
      <w:pPr>
        <w:pStyle w:val="Heading1"/>
      </w:pPr>
      <w: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Predicted phase diagram of attention logits (logit std vs. alignment α). Dashed lines are the derived boundaries (Corollaries 1–2); the green band is the stable region (Theorem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tro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(a) Expected softmax entropy vs. logit std (temperature collapse, Prop. 2); (b) entropy vs. alignment at fixed scale (self-collapse, Prop. 3). Monte Carlo, n=64, dk=16.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ivers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Expected kernel cross-correlation ρ(M₁,M₂) vs (α₁,α₂) (Prop. 6). Diversity is achieved by spreading heads’ alignments.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