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36"/>
          <w:szCs w:val="36"/>
        </w:rPr>
        <w:t xml:space="preserve">Telefónica — Single Source of Truth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4"/>
          <w:szCs w:val="24"/>
        </w:rPr>
        <w:t xml:space="preserve">Knowledge management and RAG: platform requirements against Lyzr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Purpose.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This document states what the SSoT requires of the knowledge layer, why each requirement exists (traced to the RFP and the SSoT use-case document), what is observable in Lyzr today, and a concrete example of the behaviour we must be able to demonstrate. It is a working document for the Lyzr platform team and for the Accenture technical response.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What changes the question.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Lyzr’s knowledge base is built for a chatbot over a corpus. The SSoT is a permissioned, versioned, multi-tenant corpus in which the same query must return different results for different users. Almost every requirement below follows from that single difference.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 note on deployment.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The RAG modules deploy into Azure, so perimeter is no longer a blocker. The open question is whether the vector store and embedding endpoint sit inside Telefónica’s own subscription and Foundry — a subscription boundary, not a cloud logo. Clause VI (non-feeding) depends on the first reading, not the second.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Requirements</w:t>
      </w:r>
    </w:p>
    <w:tbl>
      <w:tblPr>
        <w:tblW w:type="dxa" w:w="1395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2200"/>
        <w:gridCol w:w="1600"/>
        <w:gridCol w:w="1700"/>
        <w:gridCol w:w="3800"/>
        <w:gridCol w:w="3958"/>
      </w:tblGrid>
      <w:tr>
        <w:trPr>
          <w:tblHeader/>
        </w:trPr>
        <w:tc>
          <w:tcPr>
            <w:tcW w:type="dxa" w:w="700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600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Lyzr today</w:t>
            </w:r>
          </w:p>
        </w:tc>
        <w:tc>
          <w:tcPr>
            <w:tcW w:type="dxa" w:w="1700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00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actually means</w:t>
            </w:r>
          </w:p>
        </w:tc>
        <w:tc>
          <w:tcPr>
            <w:tcW w:type="dxa" w:w="3958"/>
            <w:shd w:fill="1F29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Concrete example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Vector store in customer Azure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Qdrant [Lyzr 2]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Resolved — confirm boundary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Qdrant instance holding the vectors runs inside Telefónica’s own subscription, not Lyzr’s.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Their architect asks “whose subscription?” on 16 July. The answer must be a subscription ID, not “it’s on Azure.”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Azure-deployed multilingual embeddings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ada-002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Resolved — pick a better model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embedding endpoint resolves to their Azure OpenAI deployment, and the model handles ES/EN/DE/PT in one vector space.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Spanish query — “¿cuál es nuestra postura sobre sostenibilidad?” — must retrieve the German-language sustainability messaging doc. ada-002 does this poorly.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Per-chunk structured metadata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Unknown — critical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Every chunk stores a JSON payload alongside its vector, not just text. The three-layer taxonomy lives here as queryable fields.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workforce-report chunk carries year_quarter: 2026-Q1, confidentiality: confidential, plan_axes: [ambitious-management]. Without this you can only search text, so “figures from Q1 only” is impossible.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ACL fields on chunk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Unknown — critical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allowed_groups[] and sensitivity_label sit on the chunk, synced from Entra and Purview. These are the security boundary, not tags.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HR chunk carries allowed_groups: [grp-people-culture, grp-comms-internal]. A Brand Brazil user’s query can never surface it — not because the agent declines, but because the chunk is not in their index.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Full citation payload via API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URL + score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Retrieval returns the whole metadata record per hit, so the sources panel can render what the use-case document specifies.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panel must show: Q1 2026 Results · vFinal · 14 May · IR · confidential · 0.87 · [open]. Today the playground returns a URL and a percentage.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Pre-filtered vector search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Unknown — critical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permission predicate goes inside the ANN search, not after it. Filter first, then find nearest neighbours (early-binding).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Brand Brazil asks about diversity. Post-filter: top-10 are all confidential HR chunks, all dropped → zero results. Pre-filter: top-10 drawn from their permitted universe → the public fact sheet.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Dual filter (user + destination)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Follows from C1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Two independent ceilings: what the person may see, and what the artefact being produced may contain.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cleared Comms lead drafting an external press release asks for headcount. The confidential HR table is not retrieved — she may read it; the release may not carry it.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Four legs in one query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Types look exclusive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Blocker — reframe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Semantic + keyword + graph + agentic, fused. In practice: semantic and keyword in Qdrant, graph in a second store, agentic in GitAgent, fusion in our Superflow.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“What was Q1 revenue?” — vector search matches prose about “a strong quarter.” Only BM25 reliably hits the exact token €8,127M. Both legs, or you cite the wrong number.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Rerank; scores via API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Score in playground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Partial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cross-encoder reorders the fused candidate set; expired documents are hard-dropped; scores are exposed to the UI.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Observed today: three hits from the same URL scoring 82.19 / 82.06 / 81.82. That is a retrieval that found one page three times. Rerank diversifies and demotes.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Metadata update without re-embed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Unknown — critical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Rewrite a payload field in place; the vector is never recomputed.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T&amp;G axes get renamed. plan_axes is rewritten across 200,000 chunks overnight via set_payload. Zero embedding calls, zero deploys. This is the whole PC2 argument.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Validity filter + conflict detection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Expired documents are hard-dropped at rerank; contradictory versions are surfaced, never silently reconciled.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Q1 report says 34% women in leadership; an unapproved Q2 draft says 35%. The agent must say “Q1 close says 34%; draft of 12 July says 35%” — not average them, not pick the newer one.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Write-back with versioning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KB API exists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Verify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SSoT’s own outputs re-enter the corpus as E data, tagged and versioned, and become retrievable.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Chile-sale press release is saved as v1, doc_type: press-release, public. Three weeks later the cross-chat cites it when drafting the next Hispam release.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SharePoint sync incl. ACL deltas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Live Source exists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Ongoing delta sync of content and permissions. Label upgrades must propagate faster than downgrades.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document is upgraded to confidential at 10:00. At 10:05 someone drafts an external release. If the index still says public, it leaks. Upgrades need a webhook; downgrades can wait for the batch.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Numeric / series retrieval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Semantic Data Model?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Verify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Excel becomes a queryable table with cell provenance, not prose chunks.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Case 4 wants a monthly Share-of-Voice chart. That needs a 12-point series with Sheet2!B4:B15 as provenance. No vector search returns a time series.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Ephemeral attachment context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Session-scoped context that is retrievable but never written to the KB unless the user promotes it.</w:t>
            </w:r>
          </w:p>
        </w:tc>
        <w:tc>
          <w:tcPr>
            <w:tcW w:type="dxa" w:w="3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user uploads an unapproved speech draft to contrast against SSoT data. It must not become permanently searchable by 200 colleagues because they asked one question.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Retrieval audit log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Not visible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Gap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 identity, filter expression, chunk IDs and scores per query. Never payload text.</w:t>
            </w:r>
          </w:p>
        </w:tc>
        <w:tc>
          <w:tcPr>
            <w:tcW w:type="dxa" w:w="395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“Who accessed the Q1 results before publication?” must be answerable. And the log itself must not become a second copy of the confidential corpus.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Rows carried from the longer analysis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C3 — user-facing scope filters.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Market, brand, period and Plan axis are the same mechanism as C1, exposed to the user rather than to the identity layer.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D2 — tag versioning and rollback.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Re-classification writes tag_version n+1; retrieval reads the active pointer. A bad zero-shot pass is reverted by flipping the pointer, not by re-running the corpus.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E2 — the graph leg.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Version supersession chains are what make D3’s conflict detection possible. This is relational work no vector search can 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F2 — cross-session memory.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Per-user history so a user resumes the previous day’s task with filters intact, as closed on 6 July.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How to read the table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Four rows decide the deal: B1, B2, C1 and D1.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They reduce to one question — does a chunk carry a filterable payload that can be rewritten in place? Qdrant answers yes to all four natively. The only unknown is whether Lyzr’s knowledge-base API passes that capability through, or whether our retrieval Superflow calls Qdrant directly. Either answer is workable; what matters is knowing which before 16 July, because it changes who owns the retrieval layer and it changes the 16-week plan.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C4 should be reframed rather than treated as a blocker.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Claiming that one index does four things at once is less credible than describing the fusion honestly: two stores, four retrievers, reciprocal-rank fusion in our layer. That is a stronger technical answer, and it has the advantage of being true.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Everything in PC2 is a claim about the retrieval layer.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Early-binding access control and taxonomy-as-configuration are the two things we are differentiating on, and Technical carries 50% of the scoring weight. If pre-filtered retrieval is not demonstrable, the claim should not be made in the presentation.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Questions for the Lyzr platform team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1. Does the knowledge base support arbitrary metadata on chunks, and filtering on it at query time? If yes — pre-filter or post-filter?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2. Are Basic, Graph and Semantic Data Model mutually exclusive, or can one logical knowledge base run several legs and fuse them? Is there a keyword (BM25) leg at all?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3. Can metadata be updated in place, without re-embedding?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4. Can the vector store and the embedding endpoint be pointed at the customer’s own Azure subscription and Foundry?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5. Does the retrieval API return the full metadata record per hit, or only text, source and score?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6. Is there session-scoped ephemeral context, distinct from writing to the knowledge base?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sz w:val="16"/>
        <w:szCs w:val="16"/>
      </w:rPr>
      <w:t xml:space="preserve"/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Telefónica SSoT · Knowledge &amp; RAG platform requirements · Confidential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2026-07-09T21:13:22.143Z</dcterms:created>
  <dcterms:modified xsi:type="dcterms:W3CDTF">2026-07-09T21:13:22.156Z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