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mbria" w:hAnsi="Cambria"/>
          <w:b/>
          <w:color w:val="6B6B6B"/>
          <w:sz w:val="22"/>
        </w:rPr>
        <w:t>METHOD 2 — WORKPAPERS</w:t>
      </w:r>
    </w:p>
    <w:p>
      <w:pPr>
        <w:jc w:val="center"/>
      </w:pPr>
      <w:r>
        <w:rPr>
          <w:rFonts w:ascii="Cambria" w:hAnsi="Cambria"/>
          <w:b/>
          <w:sz w:val="48"/>
        </w:rPr>
        <w:t>Acme Materials Corporation</w:t>
      </w:r>
    </w:p>
    <w:p>
      <w:pPr>
        <w:jc w:val="center"/>
      </w:pPr>
      <w:r>
        <w:rPr>
          <w:color w:val="6B6B6B"/>
          <w:sz w:val="22"/>
        </w:rPr>
        <w:t>ACME · NYSE · 2026-01-15</w:t>
      </w:r>
    </w:p>
    <w:p>
      <w:pPr>
        <w:jc w:val="center"/>
      </w:pPr>
      <w:r>
        <w:rPr>
          <w:b/>
          <w:sz w:val="26"/>
        </w:rPr>
        <w:t>HOLD   target $108.50</w:t>
      </w:r>
    </w:p>
    <w:p/>
    <w:p>
      <w:pPr>
        <w:jc w:val="center"/>
      </w:pPr>
      <w:r>
        <w:rPr>
          <w:i/>
          <w:color w:val="6B6B6B"/>
          <w:sz w:val="18"/>
        </w:rPr>
        <w:t>Every agent's full output, in stage order, unedited. Educational and research use only; not investment advice.</w:t>
      </w:r>
    </w:p>
    <w:p/>
    <w:p/>
    <w:p>
      <w:pPr>
        <w:pStyle w:val="Heading3"/>
      </w:pPr>
      <w:r>
        <w:t>Contents</w:t>
      </w:r>
    </w:p>
    <w:p>
      <w:pPr>
        <w:spacing w:after="20"/>
        <w:ind w:left="288"/>
      </w:pPr>
      <w:r>
        <w:rPr>
          <w:sz w:val="19"/>
        </w:rPr>
        <w:t>Preflight and run context</w:t>
      </w:r>
      <w:r>
        <w:rPr>
          <w:color w:val="6B6B6B"/>
          <w:sz w:val="17"/>
        </w:rPr>
        <w:t xml:space="preserve">   Stage 0 · orchestrator</w:t>
      </w:r>
    </w:p>
    <w:p>
      <w:pPr>
        <w:spacing w:after="20"/>
        <w:ind w:left="288"/>
      </w:pPr>
      <w:r>
        <w:rPr>
          <w:sz w:val="19"/>
        </w:rPr>
        <w:t>Fundamentals analyst</w:t>
      </w:r>
      <w:r>
        <w:rPr>
          <w:color w:val="6B6B6B"/>
          <w:sz w:val="17"/>
        </w:rPr>
        <w:t xml:space="preserve">   Stage 1 · Sonnet</w:t>
      </w:r>
    </w:p>
    <w:p>
      <w:pPr>
        <w:spacing w:after="20"/>
        <w:ind w:left="288"/>
      </w:pPr>
      <w:r>
        <w:rPr>
          <w:sz w:val="19"/>
        </w:rPr>
        <w:t>Market analyst</w:t>
      </w:r>
      <w:r>
        <w:rPr>
          <w:color w:val="6B6B6B"/>
          <w:sz w:val="17"/>
        </w:rPr>
        <w:t xml:space="preserve">   Stage 1 · Sonnet</w:t>
      </w:r>
    </w:p>
    <w:p>
      <w:pPr>
        <w:spacing w:after="20"/>
        <w:ind w:left="288"/>
      </w:pPr>
      <w:r>
        <w:rPr>
          <w:sz w:val="19"/>
        </w:rPr>
        <w:t>News and events analyst</w:t>
      </w:r>
      <w:r>
        <w:rPr>
          <w:color w:val="6B6B6B"/>
          <w:sz w:val="17"/>
        </w:rPr>
        <w:t xml:space="preserve">   Stage 1 · Sonnet</w:t>
      </w:r>
    </w:p>
    <w:p>
      <w:pPr>
        <w:spacing w:after="20"/>
        <w:ind w:left="288"/>
      </w:pPr>
      <w:r>
        <w:rPr>
          <w:sz w:val="19"/>
        </w:rPr>
        <w:t>Industry analyst</w:t>
      </w:r>
      <w:r>
        <w:rPr>
          <w:color w:val="6B6B6B"/>
          <w:sz w:val="17"/>
        </w:rPr>
        <w:t xml:space="preserve">   Stage 1 · Sonnet</w:t>
      </w:r>
    </w:p>
    <w:p>
      <w:pPr>
        <w:spacing w:after="20"/>
        <w:ind w:left="288"/>
      </w:pPr>
      <w:r>
        <w:rPr>
          <w:sz w:val="19"/>
        </w:rPr>
        <w:t>Valuation — base case</w:t>
      </w:r>
      <w:r>
        <w:rPr>
          <w:color w:val="6B6B6B"/>
          <w:sz w:val="17"/>
        </w:rPr>
        <w:t xml:space="preserve">   Stage 2 · Opus</w:t>
      </w:r>
    </w:p>
    <w:p>
      <w:pPr>
        <w:spacing w:after="20"/>
        <w:ind w:left="288"/>
      </w:pPr>
      <w:r>
        <w:rPr>
          <w:sz w:val="19"/>
        </w:rPr>
        <w:t>Bull attack</w:t>
      </w:r>
      <w:r>
        <w:rPr>
          <w:color w:val="6B6B6B"/>
          <w:sz w:val="17"/>
        </w:rPr>
        <w:t xml:space="preserve">   Stage 3 · Opus</w:t>
      </w:r>
    </w:p>
    <w:p>
      <w:pPr>
        <w:spacing w:after="20"/>
        <w:ind w:left="288"/>
      </w:pPr>
      <w:r>
        <w:rPr>
          <w:sz w:val="19"/>
        </w:rPr>
        <w:t>Bear attack</w:t>
      </w:r>
      <w:r>
        <w:rPr>
          <w:color w:val="6B6B6B"/>
          <w:sz w:val="17"/>
        </w:rPr>
        <w:t xml:space="preserve">   Stage 3 · Opus</w:t>
      </w:r>
    </w:p>
    <w:p>
      <w:pPr>
        <w:spacing w:after="20"/>
        <w:ind w:left="288"/>
      </w:pPr>
      <w:r>
        <w:rPr>
          <w:sz w:val="19"/>
        </w:rPr>
        <w:t>Judgment — the decision record</w:t>
      </w:r>
      <w:r>
        <w:rPr>
          <w:color w:val="6B6B6B"/>
          <w:sz w:val="17"/>
        </w:rPr>
        <w:t xml:space="preserve">   Stage 4 · Opus</w:t>
      </w:r>
    </w:p>
    <w:p>
      <w:pPr>
        <w:spacing w:after="20"/>
        <w:ind w:left="288"/>
      </w:pPr>
      <w:r>
        <w:rPr>
          <w:sz w:val="19"/>
        </w:rPr>
        <w:t>Risk gate</w:t>
      </w:r>
      <w:r>
        <w:rPr>
          <w:color w:val="6B6B6B"/>
          <w:sz w:val="17"/>
        </w:rPr>
        <w:t xml:space="preserve">   Stage 5 · Opus</w:t>
      </w:r>
    </w:p>
    <w:p>
      <w:pPr>
        <w:spacing w:after="20"/>
        <w:ind w:left="288"/>
      </w:pPr>
      <w:r>
        <w:rPr>
          <w:sz w:val="19"/>
        </w:rPr>
        <w:t>Report as published</w:t>
      </w:r>
      <w:r>
        <w:rPr>
          <w:color w:val="6B6B6B"/>
          <w:sz w:val="17"/>
        </w:rPr>
        <w:t xml:space="preserve">   Stage 6 · Opus</w:t>
      </w:r>
    </w:p>
    <w:p>
      <w:pPr>
        <w:spacing w:after="20"/>
        <w:ind w:left="288"/>
      </w:pPr>
      <w:r>
        <w:rPr>
          <w:sz w:val="19"/>
        </w:rPr>
        <w:t>Comparison against Method 1</w:t>
      </w:r>
      <w:r>
        <w:rPr>
          <w:color w:val="6B6B6B"/>
          <w:sz w:val="17"/>
        </w:rPr>
        <w:t xml:space="preserve">   Stage 7 · orchestrator</w:t>
      </w:r>
    </w:p>
    <w:p>
      <w:r>
        <w:br w:type="page"/>
      </w:r>
    </w:p>
    <w:p>
      <w:pPr>
        <w:pStyle w:val="Heading1"/>
      </w:pPr>
      <w:r>
        <w:t>Preflight and run context</w:t>
      </w:r>
    </w:p>
    <w:p>
      <w:pPr>
        <w:spacing w:after="200"/>
      </w:pPr>
      <w:r>
        <w:rPr>
          <w:color w:val="6B6B6B"/>
          <w:sz w:val="17"/>
        </w:rPr>
        <w:t>Stage 0 · orchestrator · run.md</w:t>
      </w:r>
    </w:p>
    <w:p>
      <w:pPr>
        <w:pStyle w:val="Heading2"/>
      </w:pPr>
      <w:r>
        <w:rPr>
          <w:b w:val="0"/>
          <w:i w:val="0"/>
        </w:rPr>
        <w:t>Run file — ACME, 2026-01-15</w:t>
      </w:r>
    </w:p>
    <w:p>
      <w:r>
        <w:rPr>
          <w:b w:val="0"/>
          <w:i w:val="0"/>
        </w:rPr>
        <w:t>Acme Materials Corporation is invented, and so is every figure in this run folder. The folder exists to show the shape of a run and to give the export scripts something to build from. Nothing here is a view on a real security.</w:t>
      </w:r>
    </w:p>
    <w:p>
      <w:pPr>
        <w:pStyle w:val="Heading3"/>
      </w:pPr>
      <w:r>
        <w:rPr>
          <w:b w:val="0"/>
          <w:i w:val="0"/>
        </w:rPr>
        <w:t>What this run is</w:t>
      </w:r>
    </w:p>
    <w:p>
      <w:r>
        <w:rPr>
          <w:b w:val="0"/>
          <w:i w:val="0"/>
        </w:rPr>
        <w:t>A scheduled first pass on a name with no prior coverage. No position is held.</w:t>
      </w:r>
    </w:p>
    <w:tbl>
      <w:tblPr>
        <w:tblW w:type="auto" w:w="0"/>
        <w:jc w:val="center"/>
        <w:tblLayout w:type="autofit"/>
        <w:tblLook w:firstColumn="1" w:firstRow="1" w:lastColumn="0" w:lastRow="0" w:noHBand="0" w:noVBand="1" w:val="04A0"/>
        <w:tblBorders>
          <w:top w:val="single" w:sz="4" w:color="D8D8D8"/>
          <w:left w:val="single" w:sz="4" w:color="D8D8D8"/>
          <w:bottom w:val="single" w:sz="4" w:color="D8D8D8"/>
          <w:right w:val="single" w:sz="4" w:color="D8D8D8"/>
          <w:insideH w:val="single" w:sz="4" w:color="D8D8D8"/>
          <w:insideV w:val="single" w:sz="4" w:color="D8D8D8"/>
        </w:tblBorders>
      </w:tblPr>
      <w:tblGrid>
        <w:gridCol w:w="4824"/>
        <w:gridCol w:w="4824"/>
      </w:tblGrid>
      <w:tr>
        <w:tc>
          <w:tcPr>
            <w:tcW w:type="dxa" w:w="4824"/>
            <w:shd w:val="clear" w:fill="F2F2F2"/>
          </w:tcPr>
          <w:p>
            <w:r/>
            <w:r>
              <w:rPr>
                <w:b/>
                <w:sz w:val="17"/>
              </w:rPr>
              <w:t>Field</w:t>
            </w:r>
          </w:p>
        </w:tc>
        <w:tc>
          <w:tcPr>
            <w:tcW w:type="dxa" w:w="4824"/>
            <w:shd w:val="clear" w:fill="F2F2F2"/>
          </w:tcPr>
          <w:p>
            <w:r/>
            <w:r>
              <w:rPr>
                <w:b/>
                <w:sz w:val="17"/>
              </w:rPr>
              <w:t>Value</w:t>
            </w:r>
          </w:p>
        </w:tc>
      </w:tr>
      <w:tr>
        <w:tc>
          <w:tcPr>
            <w:tcW w:type="dxa" w:w="4824"/>
          </w:tcPr>
          <w:p>
            <w:pPr>
              <w:spacing w:after="20"/>
            </w:pPr>
            <w:r>
              <w:rPr>
                <w:sz w:val="17"/>
              </w:rPr>
            </w:r>
            <w:r>
              <w:rPr>
                <w:b w:val="0"/>
                <w:i w:val="0"/>
                <w:sz w:val="17"/>
              </w:rPr>
              <w:t>Ticker</w:t>
            </w:r>
          </w:p>
        </w:tc>
        <w:tc>
          <w:tcPr>
            <w:tcW w:type="dxa" w:w="4824"/>
          </w:tcPr>
          <w:p>
            <w:pPr>
              <w:spacing w:after="20"/>
            </w:pPr>
            <w:r>
              <w:rPr>
                <w:sz w:val="17"/>
              </w:rPr>
            </w:r>
            <w:r>
              <w:rPr>
                <w:b w:val="0"/>
                <w:i w:val="0"/>
                <w:sz w:val="17"/>
              </w:rPr>
              <w:t>ACME (NYSE)</w:t>
            </w:r>
          </w:p>
        </w:tc>
      </w:tr>
      <w:tr>
        <w:tc>
          <w:tcPr>
            <w:tcW w:type="dxa" w:w="4824"/>
          </w:tcPr>
          <w:p>
            <w:pPr>
              <w:spacing w:after="20"/>
            </w:pPr>
            <w:r>
              <w:rPr>
                <w:sz w:val="17"/>
              </w:rPr>
            </w:r>
            <w:r>
              <w:rPr>
                <w:b w:val="0"/>
                <w:i w:val="0"/>
                <w:sz w:val="17"/>
              </w:rPr>
              <w:t>Company</w:t>
            </w:r>
          </w:p>
        </w:tc>
        <w:tc>
          <w:tcPr>
            <w:tcW w:type="dxa" w:w="4824"/>
          </w:tcPr>
          <w:p>
            <w:pPr>
              <w:spacing w:after="20"/>
            </w:pPr>
            <w:r>
              <w:rPr>
                <w:sz w:val="17"/>
              </w:rPr>
            </w:r>
            <w:r>
              <w:rPr>
                <w:b w:val="0"/>
                <w:i w:val="0"/>
                <w:sz w:val="17"/>
              </w:rPr>
              <w:t>Acme Materials Corporation</w:t>
            </w:r>
          </w:p>
        </w:tc>
      </w:tr>
      <w:tr>
        <w:tc>
          <w:tcPr>
            <w:tcW w:type="dxa" w:w="4824"/>
          </w:tcPr>
          <w:p>
            <w:pPr>
              <w:spacing w:after="20"/>
            </w:pPr>
            <w:r>
              <w:rPr>
                <w:sz w:val="17"/>
              </w:rPr>
            </w:r>
            <w:r>
              <w:rPr>
                <w:b w:val="0"/>
                <w:i w:val="0"/>
                <w:sz w:val="17"/>
              </w:rPr>
              <w:t>Reference price</w:t>
            </w:r>
          </w:p>
        </w:tc>
        <w:tc>
          <w:tcPr>
            <w:tcW w:type="dxa" w:w="4824"/>
          </w:tcPr>
          <w:p>
            <w:pPr>
              <w:spacing w:after="20"/>
            </w:pPr>
            <w:r>
              <w:rPr>
                <w:sz w:val="17"/>
              </w:rPr>
            </w:r>
            <w:r>
              <w:rPr>
                <w:b w:val="0"/>
                <w:i w:val="0"/>
                <w:sz w:val="17"/>
              </w:rPr>
              <w:t>$100.00 as of 2026-01-09 (close)</w:t>
            </w:r>
          </w:p>
        </w:tc>
      </w:tr>
      <w:tr>
        <w:tc>
          <w:tcPr>
            <w:tcW w:type="dxa" w:w="4824"/>
          </w:tcPr>
          <w:p>
            <w:pPr>
              <w:spacing w:after="20"/>
            </w:pPr>
            <w:r>
              <w:rPr>
                <w:sz w:val="17"/>
              </w:rPr>
            </w:r>
            <w:r>
              <w:rPr>
                <w:b w:val="0"/>
                <w:i w:val="0"/>
                <w:sz w:val="17"/>
              </w:rPr>
              <w:t>Fiscal year end</w:t>
            </w:r>
          </w:p>
        </w:tc>
        <w:tc>
          <w:tcPr>
            <w:tcW w:type="dxa" w:w="4824"/>
          </w:tcPr>
          <w:p>
            <w:pPr>
              <w:spacing w:after="20"/>
            </w:pPr>
            <w:r>
              <w:rPr>
                <w:sz w:val="17"/>
              </w:rPr>
            </w:r>
            <w:r>
              <w:rPr>
                <w:b w:val="0"/>
                <w:i w:val="0"/>
                <w:sz w:val="17"/>
              </w:rPr>
              <w:t>December 31</w:t>
            </w:r>
          </w:p>
        </w:tc>
      </w:tr>
      <w:tr>
        <w:tc>
          <w:tcPr>
            <w:tcW w:type="dxa" w:w="4824"/>
          </w:tcPr>
          <w:p>
            <w:pPr>
              <w:spacing w:after="20"/>
            </w:pPr>
            <w:r>
              <w:rPr>
                <w:sz w:val="17"/>
              </w:rPr>
            </w:r>
            <w:r>
              <w:rPr>
                <w:b w:val="0"/>
                <w:i w:val="0"/>
                <w:sz w:val="17"/>
              </w:rPr>
              <w:t>CIK</w:t>
            </w:r>
          </w:p>
        </w:tc>
        <w:tc>
          <w:tcPr>
            <w:tcW w:type="dxa" w:w="4824"/>
          </w:tcPr>
          <w:p>
            <w:pPr>
              <w:spacing w:after="20"/>
            </w:pPr>
            <w:r>
              <w:rPr>
                <w:sz w:val="17"/>
              </w:rPr>
            </w:r>
            <w:r>
              <w:rPr>
                <w:b w:val="0"/>
                <w:i w:val="0"/>
                <w:sz w:val="17"/>
              </w:rPr>
              <w:t>0000000000 (fictional)</w:t>
            </w:r>
          </w:p>
        </w:tc>
      </w:tr>
      <w:tr>
        <w:tc>
          <w:tcPr>
            <w:tcW w:type="dxa" w:w="4824"/>
          </w:tcPr>
          <w:p>
            <w:pPr>
              <w:spacing w:after="20"/>
            </w:pPr>
            <w:r>
              <w:rPr>
                <w:sz w:val="17"/>
              </w:rPr>
            </w:r>
            <w:r>
              <w:rPr>
                <w:b w:val="0"/>
                <w:i w:val="0"/>
                <w:sz w:val="17"/>
              </w:rPr>
              <w:t>Position held</w:t>
            </w:r>
          </w:p>
        </w:tc>
        <w:tc>
          <w:tcPr>
            <w:tcW w:type="dxa" w:w="4824"/>
          </w:tcPr>
          <w:p>
            <w:pPr>
              <w:spacing w:after="20"/>
            </w:pPr>
            <w:r>
              <w:rPr>
                <w:sz w:val="17"/>
              </w:rPr>
            </w:r>
            <w:r>
              <w:rPr>
                <w:b w:val="0"/>
                <w:i w:val="0"/>
                <w:sz w:val="17"/>
              </w:rPr>
              <w:t>none — snapshot 2026-01-12 shows no ACME</w:t>
            </w:r>
          </w:p>
        </w:tc>
      </w:tr>
      <w:tr>
        <w:tc>
          <w:tcPr>
            <w:tcW w:type="dxa" w:w="4824"/>
          </w:tcPr>
          <w:p>
            <w:pPr>
              <w:spacing w:after="20"/>
            </w:pPr>
            <w:r>
              <w:rPr>
                <w:sz w:val="17"/>
              </w:rPr>
            </w:r>
            <w:r>
              <w:rPr>
                <w:b w:val="0"/>
                <w:i w:val="0"/>
                <w:sz w:val="17"/>
              </w:rPr>
              <w:t>Benchmark for scoring</w:t>
            </w:r>
          </w:p>
        </w:tc>
        <w:tc>
          <w:tcPr>
            <w:tcW w:type="dxa" w:w="4824"/>
          </w:tcPr>
          <w:p>
            <w:pPr>
              <w:spacing w:after="20"/>
            </w:pPr>
            <w:r>
              <w:rPr>
                <w:sz w:val="17"/>
              </w:rPr>
            </w:r>
            <w:r>
              <w:rPr>
                <w:b w:val="0"/>
                <w:i w:val="0"/>
                <w:sz w:val="17"/>
              </w:rPr>
              <w:t>SPY</w:t>
            </w:r>
          </w:p>
        </w:tc>
      </w:tr>
    </w:tbl>
    <w:p>
      <w:pPr>
        <w:spacing w:after="40"/>
      </w:pPr>
    </w:p>
    <w:p>
      <w:pPr>
        <w:pStyle w:val="Heading3"/>
      </w:pPr>
      <w:r>
        <w:rPr>
          <w:b w:val="0"/>
          <w:i w:val="0"/>
        </w:rPr>
        <w:t>Models</w:t>
      </w:r>
    </w:p>
    <w:tbl>
      <w:tblPr>
        <w:tblW w:type="auto" w:w="0"/>
        <w:jc w:val="center"/>
        <w:tblLayout w:type="autofit"/>
        <w:tblLook w:firstColumn="1" w:firstRow="1" w:lastColumn="0" w:lastRow="0" w:noHBand="0" w:noVBand="1" w:val="04A0"/>
        <w:tblBorders>
          <w:top w:val="single" w:sz="4" w:color="D8D8D8"/>
          <w:left w:val="single" w:sz="4" w:color="D8D8D8"/>
          <w:bottom w:val="single" w:sz="4" w:color="D8D8D8"/>
          <w:right w:val="single" w:sz="4" w:color="D8D8D8"/>
          <w:insideH w:val="single" w:sz="4" w:color="D8D8D8"/>
          <w:insideV w:val="single" w:sz="4" w:color="D8D8D8"/>
        </w:tblBorders>
      </w:tblPr>
      <w:tblGrid>
        <w:gridCol w:w="4824"/>
        <w:gridCol w:w="4824"/>
      </w:tblGrid>
      <w:tr>
        <w:tc>
          <w:tcPr>
            <w:tcW w:type="dxa" w:w="4824"/>
            <w:shd w:val="clear" w:fill="F2F2F2"/>
          </w:tcPr>
          <w:p>
            <w:r/>
            <w:r>
              <w:rPr>
                <w:b/>
                <w:sz w:val="17"/>
              </w:rPr>
              <w:t>Stage</w:t>
            </w:r>
          </w:p>
        </w:tc>
        <w:tc>
          <w:tcPr>
            <w:tcW w:type="dxa" w:w="4824"/>
            <w:shd w:val="clear" w:fill="F2F2F2"/>
          </w:tcPr>
          <w:p>
            <w:r/>
            <w:r>
              <w:rPr>
                <w:b/>
                <w:sz w:val="17"/>
              </w:rPr>
              <w:t>Model</w:t>
            </w:r>
          </w:p>
        </w:tc>
      </w:tr>
      <w:tr>
        <w:tc>
          <w:tcPr>
            <w:tcW w:type="dxa" w:w="4824"/>
          </w:tcPr>
          <w:p>
            <w:pPr>
              <w:spacing w:after="20"/>
            </w:pPr>
            <w:r>
              <w:rPr>
                <w:sz w:val="17"/>
              </w:rPr>
            </w:r>
            <w:r>
              <w:rPr>
                <w:b w:val="0"/>
                <w:i w:val="0"/>
                <w:sz w:val="17"/>
              </w:rPr>
              <w:t>Analysts (1)</w:t>
            </w:r>
          </w:p>
        </w:tc>
        <w:tc>
          <w:tcPr>
            <w:tcW w:type="dxa" w:w="4824"/>
          </w:tcPr>
          <w:p>
            <w:pPr>
              <w:spacing w:after="20"/>
            </w:pPr>
            <w:r>
              <w:rPr>
                <w:sz w:val="17"/>
              </w:rPr>
            </w:r>
            <w:r>
              <w:rPr>
                <w:b w:val="0"/>
                <w:i w:val="0"/>
                <w:sz w:val="17"/>
              </w:rPr>
              <w:t>claude-sonnet-5</w:t>
            </w:r>
          </w:p>
        </w:tc>
      </w:tr>
      <w:tr>
        <w:tc>
          <w:tcPr>
            <w:tcW w:type="dxa" w:w="4824"/>
          </w:tcPr>
          <w:p>
            <w:pPr>
              <w:spacing w:after="20"/>
            </w:pPr>
            <w:r>
              <w:rPr>
                <w:sz w:val="17"/>
              </w:rPr>
            </w:r>
            <w:r>
              <w:rPr>
                <w:b w:val="0"/>
                <w:i w:val="0"/>
                <w:sz w:val="17"/>
              </w:rPr>
              <w:t>Valuation, debate, judgment, risk, report (2–6)</w:t>
            </w:r>
          </w:p>
        </w:tc>
        <w:tc>
          <w:tcPr>
            <w:tcW w:type="dxa" w:w="4824"/>
          </w:tcPr>
          <w:p>
            <w:pPr>
              <w:spacing w:after="20"/>
            </w:pPr>
            <w:r>
              <w:rPr>
                <w:sz w:val="17"/>
              </w:rPr>
            </w:r>
            <w:r>
              <w:rPr>
                <w:b w:val="0"/>
                <w:i w:val="0"/>
                <w:sz w:val="17"/>
              </w:rPr>
              <w:t>claude-opus-5-5</w:t>
            </w:r>
          </w:p>
        </w:tc>
      </w:tr>
    </w:tbl>
    <w:p>
      <w:pPr>
        <w:spacing w:after="40"/>
      </w:pPr>
    </w:p>
    <w:p>
      <w:pPr>
        <w:pStyle w:val="Heading3"/>
      </w:pPr>
      <w:r>
        <w:rPr>
          <w:b w:val="0"/>
          <w:i w:val="0"/>
        </w:rPr>
        <w:t>Filings resolved in preflight</w:t>
      </w:r>
    </w:p>
    <w:tbl>
      <w:tblPr>
        <w:tblW w:type="auto" w:w="0"/>
        <w:jc w:val="center"/>
        <w:tblLayout w:type="autofit"/>
        <w:tblLook w:firstColumn="1" w:firstRow="1" w:lastColumn="0" w:lastRow="0" w:noHBand="0" w:noVBand="1" w:val="04A0"/>
        <w:tblBorders>
          <w:top w:val="single" w:sz="4" w:color="D8D8D8"/>
          <w:left w:val="single" w:sz="4" w:color="D8D8D8"/>
          <w:bottom w:val="single" w:sz="4" w:color="D8D8D8"/>
          <w:right w:val="single" w:sz="4" w:color="D8D8D8"/>
          <w:insideH w:val="single" w:sz="4" w:color="D8D8D8"/>
          <w:insideV w:val="single" w:sz="4" w:color="D8D8D8"/>
        </w:tblBorders>
      </w:tblPr>
      <w:tblGrid>
        <w:gridCol w:w="4824"/>
        <w:gridCol w:w="4824"/>
      </w:tblGrid>
      <w:tr>
        <w:tc>
          <w:tcPr>
            <w:tcW w:type="dxa" w:w="4824"/>
            <w:shd w:val="clear" w:fill="F2F2F2"/>
          </w:tcPr>
          <w:p>
            <w:r/>
            <w:r>
              <w:rPr>
                <w:b/>
                <w:sz w:val="17"/>
              </w:rPr>
              <w:t>What</w:t>
            </w:r>
          </w:p>
        </w:tc>
        <w:tc>
          <w:tcPr>
            <w:tcW w:type="dxa" w:w="4824"/>
            <w:shd w:val="clear" w:fill="F2F2F2"/>
          </w:tcPr>
          <w:p>
            <w:r/>
            <w:r>
              <w:rPr>
                <w:b/>
                <w:sz w:val="17"/>
              </w:rPr>
              <w:t>Where</w:t>
            </w:r>
          </w:p>
        </w:tc>
      </w:tr>
      <w:tr>
        <w:tc>
          <w:tcPr>
            <w:tcW w:type="dxa" w:w="4824"/>
          </w:tcPr>
          <w:p>
            <w:pPr>
              <w:spacing w:after="20"/>
            </w:pPr>
            <w:r>
              <w:rPr>
                <w:sz w:val="17"/>
              </w:rPr>
            </w:r>
            <w:r>
              <w:rPr>
                <w:b w:val="0"/>
                <w:i w:val="0"/>
                <w:sz w:val="17"/>
              </w:rPr>
              <w:t>Most recent 10-K</w:t>
            </w:r>
          </w:p>
        </w:tc>
        <w:tc>
          <w:tcPr>
            <w:tcW w:type="dxa" w:w="4824"/>
          </w:tcPr>
          <w:p>
            <w:pPr>
              <w:spacing w:after="20"/>
            </w:pPr>
            <w:r>
              <w:rPr>
                <w:sz w:val="17"/>
              </w:rPr>
            </w:r>
            <w:r>
              <w:rPr>
                <w:b w:val="0"/>
                <w:i w:val="0"/>
                <w:sz w:val="17"/>
              </w:rPr>
              <w:t>fiscal 2025, filed 2026-02-18</w:t>
            </w:r>
          </w:p>
        </w:tc>
      </w:tr>
      <w:tr>
        <w:tc>
          <w:tcPr>
            <w:tcW w:type="dxa" w:w="4824"/>
          </w:tcPr>
          <w:p>
            <w:pPr>
              <w:spacing w:after="20"/>
            </w:pPr>
            <w:r>
              <w:rPr>
                <w:sz w:val="17"/>
              </w:rPr>
            </w:r>
            <w:r>
              <w:rPr>
                <w:b w:val="0"/>
                <w:i w:val="0"/>
                <w:sz w:val="17"/>
              </w:rPr>
              <w:t>Last four 8-Ks</w:t>
            </w:r>
          </w:p>
        </w:tc>
        <w:tc>
          <w:tcPr>
            <w:tcW w:type="dxa" w:w="4824"/>
          </w:tcPr>
          <w:p>
            <w:pPr>
              <w:spacing w:after="20"/>
            </w:pPr>
            <w:r>
              <w:rPr>
                <w:sz w:val="17"/>
              </w:rPr>
            </w:r>
            <w:r>
              <w:rPr>
                <w:b w:val="0"/>
                <w:i w:val="0"/>
                <w:sz w:val="17"/>
              </w:rPr>
              <w:t>2025-10-29, 2025-07-30, 2025-04-24, 2025-02-18</w:t>
            </w:r>
          </w:p>
        </w:tc>
      </w:tr>
      <w:tr>
        <w:tc>
          <w:tcPr>
            <w:tcW w:type="dxa" w:w="4824"/>
          </w:tcPr>
          <w:p>
            <w:pPr>
              <w:spacing w:after="20"/>
            </w:pPr>
            <w:r>
              <w:rPr>
                <w:sz w:val="17"/>
              </w:rPr>
            </w:r>
            <w:r>
              <w:rPr>
                <w:b w:val="0"/>
                <w:i w:val="0"/>
                <w:sz w:val="17"/>
              </w:rPr>
              <w:t>Company facts</w:t>
            </w:r>
          </w:p>
        </w:tc>
        <w:tc>
          <w:tcPr>
            <w:tcW w:type="dxa" w:w="4824"/>
          </w:tcPr>
          <w:p>
            <w:pPr>
              <w:spacing w:after="20"/>
            </w:pPr>
            <w:r>
              <w:rPr>
                <w:sz w:val="17"/>
              </w:rPr>
            </w:r>
            <w:r>
              <w:rPr>
                <w:b w:val="0"/>
                <w:i w:val="0"/>
                <w:sz w:val="17"/>
              </w:rPr>
              <w:t>companyfacts.json in this folder (omitted from the example)</w:t>
            </w:r>
          </w:p>
        </w:tc>
      </w:tr>
    </w:tbl>
    <w:p>
      <w:pPr>
        <w:spacing w:after="40"/>
      </w:pPr>
    </w:p>
    <w:p>
      <w:pPr>
        <w:pStyle w:val="Heading3"/>
      </w:pPr>
      <w:r>
        <w:rPr>
          <w:b w:val="0"/>
          <w:i w:val="0"/>
        </w:rPr>
        <w:t>Market data budget</w:t>
      </w:r>
    </w:p>
    <w:p>
      <w:r>
        <w:rPr>
          <w:b w:val="0"/>
          <w:i w:val="0"/>
        </w:rPr>
        <w:t xml:space="preserve">Six calls made against a daily cap of 75, all by the market analyst: one quote, one daily series, three multiple histories and one Treasury yield. Connector identifiers come from </w:t>
      </w:r>
      <w:r>
        <w:rPr>
          <w:rFonts w:ascii="Consolas" w:hAnsi="Consolas"/>
          <w:b w:val="0"/>
          <w:i w:val="0"/>
          <w:sz w:val="18"/>
        </w:rPr>
        <w:t>config.toml</w:t>
      </w:r>
      <w:r>
        <w:rPr>
          <w:b w:val="0"/>
          <w:i w:val="0"/>
        </w:rPr>
        <w:t xml:space="preserve"> and are not recorded here.</w:t>
      </w:r>
    </w:p>
    <w:p>
      <w:pPr>
        <w:pStyle w:val="Heading3"/>
      </w:pPr>
      <w:r>
        <w:rPr>
          <w:b w:val="0"/>
          <w:i w:val="0"/>
        </w:rPr>
        <w:t>Prior lessons read</w:t>
      </w:r>
    </w:p>
    <w:p>
      <w:r>
        <w:rPr>
          <w:b w:val="0"/>
          <w:i w:val="0"/>
        </w:rPr>
        <w:t>None. ACME has no scored rows in the calls log.</w:t>
      </w:r>
    </w:p>
    <w:p>
      <w:pPr>
        <w:pStyle w:val="Heading3"/>
      </w:pPr>
      <w:r>
        <w:rPr>
          <w:b w:val="0"/>
          <w:i w:val="0"/>
        </w:rPr>
        <w:t>Brand palette</w:t>
      </w:r>
    </w:p>
    <w:p>
      <w:r>
        <w:rPr>
          <w:rFonts w:ascii="Consolas" w:hAnsi="Consolas"/>
          <w:b w:val="0"/>
          <w:i w:val="0"/>
          <w:sz w:val="18"/>
        </w:rPr>
        <w:t>#1F5C8B</w:t>
      </w:r>
      <w:r>
        <w:rPr>
          <w:b w:val="0"/>
          <w:i w:val="0"/>
        </w:rPr>
        <w:t>, taken from the header colour published in the investor-relations stylesheet. Contrast checks in the build log.</w:t>
      </w:r>
    </w:p>
    <w:p>
      <w:pPr>
        <w:pStyle w:val="Heading3"/>
      </w:pPr>
      <w:r>
        <w:rPr>
          <w:b w:val="0"/>
          <w:i w:val="0"/>
        </w:rPr>
        <w:t>Close</w:t>
      </w:r>
    </w:p>
    <w:p>
      <w:r>
        <w:rPr>
          <w:b w:val="0"/>
          <w:i w:val="0"/>
        </w:rPr>
        <w:t xml:space="preserve">All eight stages ran. Three artefacts built, in </w:t>
      </w:r>
      <w:r>
        <w:rPr>
          <w:rFonts w:ascii="Consolas" w:hAnsi="Consolas"/>
          <w:b w:val="0"/>
          <w:i w:val="0"/>
          <w:sz w:val="18"/>
        </w:rPr>
        <w:t>exports/</w:t>
      </w:r>
      <w:r>
        <w:rPr>
          <w:b w:val="0"/>
          <w:i w:val="0"/>
        </w:rPr>
        <w:t>. Row added to the calls log with review due 2027-01-15.</w:t>
      </w:r>
    </w:p>
    <w:p>
      <w:r>
        <w:br w:type="page"/>
      </w:r>
    </w:p>
    <w:p>
      <w:pPr>
        <w:pStyle w:val="Heading1"/>
      </w:pPr>
      <w:r>
        <w:t>Fundamentals analyst</w:t>
      </w:r>
    </w:p>
    <w:p>
      <w:pPr>
        <w:spacing w:after="200"/>
      </w:pPr>
      <w:r>
        <w:rPr>
          <w:color w:val="6B6B6B"/>
          <w:sz w:val="17"/>
        </w:rPr>
        <w:t>Stage 1 · Sonnet · analyst-fundamentals.md</w:t>
      </w:r>
    </w:p>
    <w:p>
      <w:pPr>
        <w:pStyle w:val="Heading2"/>
      </w:pPr>
      <w:r>
        <w:rPr>
          <w:b w:val="0"/>
          <w:i w:val="0"/>
        </w:rPr>
        <w:t>Fundamentals — ACME</w:t>
      </w:r>
    </w:p>
    <w:p>
      <w:r>
        <w:rPr>
          <w:b w:val="0"/>
          <w:i w:val="0"/>
        </w:rPr>
        <w:t xml:space="preserve">Every figure below is invented. See </w:t>
      </w:r>
      <w:r>
        <w:rPr>
          <w:rFonts w:ascii="Consolas" w:hAnsi="Consolas"/>
          <w:b w:val="0"/>
          <w:i w:val="0"/>
          <w:sz w:val="18"/>
        </w:rPr>
        <w:t>run.md</w:t>
      </w:r>
      <w:r>
        <w:rPr>
          <w:b w:val="0"/>
          <w:i w:val="0"/>
        </w:rPr>
        <w:t>.</w:t>
      </w:r>
    </w:p>
    <w:p>
      <w:pPr>
        <w:pStyle w:val="Heading3"/>
      </w:pPr>
      <w:r>
        <w:rPr>
          <w:b w:val="0"/>
          <w:i w:val="0"/>
        </w:rPr>
        <w:t>What the business earns</w:t>
      </w:r>
    </w:p>
    <w:p>
      <w:r>
        <w:rPr>
          <w:b w:val="0"/>
          <w:i w:val="0"/>
        </w:rPr>
        <w:t xml:space="preserve">Ten fiscal years, FY2016 to FY2025, are in </w:t>
      </w:r>
      <w:r>
        <w:rPr>
          <w:rFonts w:ascii="Consolas" w:hAnsi="Consolas"/>
          <w:b w:val="0"/>
          <w:i w:val="0"/>
          <w:sz w:val="18"/>
        </w:rPr>
        <w:t>statements.csv</w:t>
      </w:r>
      <w:r>
        <w:rPr>
          <w:b w:val="0"/>
          <w:i w:val="0"/>
        </w:rPr>
        <w:t>. Revenue grew from $5,200m to $8,400m, a 5.5% compound rate, with one down year in FY2020 when industrial production fell. Operating margin widened from 16.1% to 19.3% across the decade, and the widening is real rather than mix: gross margin rose 1.8 points while SG&amp;A held at roughly 17% of revenue.</w:t>
      </w:r>
    </w:p>
    <w:p>
      <w:r>
        <w:rPr>
          <w:b w:val="0"/>
          <w:i w:val="0"/>
        </w:rPr>
        <w:t>Two segments. Industrial coatings is 65.6% of FY2025 revenue and grew 5.9% a year over the decade. Specialty adhesives is the rest and grew 5.1%, with the faster margin improvement of the two.</w:t>
      </w:r>
    </w:p>
    <w:p>
      <w:pPr>
        <w:pStyle w:val="Heading3"/>
      </w:pPr>
      <w:r>
        <w:rPr>
          <w:b w:val="0"/>
          <w:i w:val="0"/>
        </w:rPr>
        <w:t>Quality of earnings</w:t>
      </w:r>
    </w:p>
    <w:p>
      <w:r>
        <w:rPr>
          <w:b w:val="0"/>
          <w:i w:val="0"/>
        </w:rPr>
        <w:t>Free cash flow conversion averaged 108% of net income over ten years and never fell below 92%, which is the strongest single number in the file. Depreciation has tracked capital expenditure within 15% every year, so the margin expansion is not deferred maintenance. Share-based compensation ran $58m in FY2025, 0.7% of revenue, and is charged in the figures above.</w:t>
      </w:r>
    </w:p>
    <w:p>
      <w:r>
        <w:rPr>
          <w:b w:val="0"/>
          <w:i w:val="0"/>
        </w:rPr>
        <w:t>Two accounting choices matter. Development costs on new adhesive formulations are expensed as incurred, which understates reported margin against peers who capitalise. And the coatings segment recognises revenue on shipment, so a quarter-end push shows up in receivables rather than in cash.</w:t>
      </w:r>
    </w:p>
    <w:p>
      <w:pPr>
        <w:pStyle w:val="Heading3"/>
      </w:pPr>
      <w:r>
        <w:rPr>
          <w:b w:val="0"/>
          <w:i w:val="0"/>
        </w:rPr>
        <w:t>Returns on capital</w:t>
      </w:r>
    </w:p>
    <w:p>
      <w:r>
        <w:rPr>
          <w:b w:val="0"/>
          <w:i w:val="0"/>
        </w:rPr>
        <w:t>Return on invested capital was 15.1% on average and 16.4% in FY2025. The incremental return matters more: capital deployed in FY2025 was $430m of capital expenditure plus $95m of working capital, against a $107.8m increase in after-tax operating profit, which is a 20.5% incremental return. New money is earning more than the historical base, which is the opposite of the usual pattern in industrial chemicals.</w:t>
      </w:r>
    </w:p>
    <w:p>
      <w:pPr>
        <w:pStyle w:val="Heading3"/>
      </w:pPr>
      <w:r>
        <w:rPr>
          <w:b w:val="0"/>
          <w:i w:val="0"/>
        </w:rPr>
        <w:t>Balance sheet</w:t>
      </w:r>
    </w:p>
    <w:p>
      <w:r>
        <w:rPr>
          <w:b w:val="0"/>
          <w:i w:val="0"/>
        </w:rPr>
        <w:t>Net debt of $1,800m is 0.91x EBITDA, down from 1.86x in FY2016. The maturity schedule has no wall: $340m due FY2027, $520m FY2029, the rest after FY2031. Free cash flow of $1,340m covered $292m of dividends and $600m of buybacks with $448m left over.</w:t>
      </w:r>
    </w:p>
    <w:p>
      <w:pPr>
        <w:pStyle w:val="Heading3"/>
      </w:pPr>
      <w:r>
        <w:rPr>
          <w:b w:val="0"/>
          <w:i w:val="0"/>
        </w:rPr>
        <w:t>For the valuation</w:t>
      </w:r>
    </w:p>
    <w:tbl>
      <w:tblPr>
        <w:tblW w:type="auto" w:w="0"/>
        <w:jc w:val="center"/>
        <w:tblLayout w:type="autofit"/>
        <w:tblLook w:firstColumn="1" w:firstRow="1" w:lastColumn="0" w:lastRow="0" w:noHBand="0" w:noVBand="1" w:val="04A0"/>
        <w:tblBorders>
          <w:top w:val="single" w:sz="4" w:color="D8D8D8"/>
          <w:left w:val="single" w:sz="4" w:color="D8D8D8"/>
          <w:bottom w:val="single" w:sz="4" w:color="D8D8D8"/>
          <w:right w:val="single" w:sz="4" w:color="D8D8D8"/>
          <w:insideH w:val="single" w:sz="4" w:color="D8D8D8"/>
          <w:insideV w:val="single" w:sz="4" w:color="D8D8D8"/>
        </w:tblBorders>
      </w:tblPr>
      <w:tblGrid>
        <w:gridCol w:w="4824"/>
        <w:gridCol w:w="4824"/>
      </w:tblGrid>
      <w:tr>
        <w:tc>
          <w:tcPr>
            <w:tcW w:type="dxa" w:w="4824"/>
            <w:shd w:val="clear" w:fill="F2F2F2"/>
          </w:tcPr>
          <w:p>
            <w:r/>
            <w:r>
              <w:rPr>
                <w:b/>
                <w:sz w:val="17"/>
              </w:rPr>
              <w:t>Item</w:t>
            </w:r>
          </w:p>
        </w:tc>
        <w:tc>
          <w:tcPr>
            <w:tcW w:type="dxa" w:w="4824"/>
            <w:shd w:val="clear" w:fill="F2F2F2"/>
          </w:tcPr>
          <w:p>
            <w:r/>
            <w:r>
              <w:rPr>
                <w:b/>
                <w:sz w:val="17"/>
              </w:rPr>
              <w:t>FY2025</w:t>
            </w:r>
          </w:p>
        </w:tc>
      </w:tr>
      <w:tr>
        <w:tc>
          <w:tcPr>
            <w:tcW w:type="dxa" w:w="4824"/>
          </w:tcPr>
          <w:p>
            <w:pPr>
              <w:spacing w:after="20"/>
            </w:pPr>
            <w:r>
              <w:rPr>
                <w:sz w:val="17"/>
              </w:rPr>
            </w:r>
            <w:r>
              <w:rPr>
                <w:b w:val="0"/>
                <w:i w:val="0"/>
                <w:sz w:val="17"/>
              </w:rPr>
              <w:t>Revenue</w:t>
            </w:r>
          </w:p>
        </w:tc>
        <w:tc>
          <w:tcPr>
            <w:tcW w:type="dxa" w:w="4824"/>
          </w:tcPr>
          <w:p>
            <w:pPr>
              <w:spacing w:after="20"/>
            </w:pPr>
            <w:r>
              <w:rPr>
                <w:sz w:val="17"/>
              </w:rPr>
            </w:r>
            <w:r>
              <w:rPr>
                <w:b w:val="0"/>
                <w:i w:val="0"/>
                <w:sz w:val="17"/>
              </w:rPr>
              <w:t>$8,400m</w:t>
            </w:r>
          </w:p>
        </w:tc>
      </w:tr>
      <w:tr>
        <w:tc>
          <w:tcPr>
            <w:tcW w:type="dxa" w:w="4824"/>
          </w:tcPr>
          <w:p>
            <w:pPr>
              <w:spacing w:after="20"/>
            </w:pPr>
            <w:r>
              <w:rPr>
                <w:sz w:val="17"/>
              </w:rPr>
            </w:r>
            <w:r>
              <w:rPr>
                <w:b w:val="0"/>
                <w:i w:val="0"/>
                <w:sz w:val="17"/>
              </w:rPr>
              <w:t>EBITDA</w:t>
            </w:r>
          </w:p>
        </w:tc>
        <w:tc>
          <w:tcPr>
            <w:tcW w:type="dxa" w:w="4824"/>
          </w:tcPr>
          <w:p>
            <w:pPr>
              <w:spacing w:after="20"/>
            </w:pPr>
            <w:r>
              <w:rPr>
                <w:sz w:val="17"/>
              </w:rPr>
            </w:r>
            <w:r>
              <w:rPr>
                <w:b w:val="0"/>
                <w:i w:val="0"/>
                <w:sz w:val="17"/>
              </w:rPr>
              <w:t>$1,985m</w:t>
            </w:r>
          </w:p>
        </w:tc>
      </w:tr>
      <w:tr>
        <w:tc>
          <w:tcPr>
            <w:tcW w:type="dxa" w:w="4824"/>
          </w:tcPr>
          <w:p>
            <w:pPr>
              <w:spacing w:after="20"/>
            </w:pPr>
            <w:r>
              <w:rPr>
                <w:sz w:val="17"/>
              </w:rPr>
            </w:r>
            <w:r>
              <w:rPr>
                <w:b w:val="0"/>
                <w:i w:val="0"/>
                <w:sz w:val="17"/>
              </w:rPr>
              <w:t>Operating income</w:t>
            </w:r>
          </w:p>
        </w:tc>
        <w:tc>
          <w:tcPr>
            <w:tcW w:type="dxa" w:w="4824"/>
          </w:tcPr>
          <w:p>
            <w:pPr>
              <w:spacing w:after="20"/>
            </w:pPr>
            <w:r>
              <w:rPr>
                <w:sz w:val="17"/>
              </w:rPr>
            </w:r>
            <w:r>
              <w:rPr>
                <w:b w:val="0"/>
                <w:i w:val="0"/>
                <w:sz w:val="17"/>
              </w:rPr>
              <w:t>$1,624m</w:t>
            </w:r>
          </w:p>
        </w:tc>
      </w:tr>
      <w:tr>
        <w:tc>
          <w:tcPr>
            <w:tcW w:type="dxa" w:w="4824"/>
          </w:tcPr>
          <w:p>
            <w:pPr>
              <w:spacing w:after="20"/>
            </w:pPr>
            <w:r>
              <w:rPr>
                <w:sz w:val="17"/>
              </w:rPr>
            </w:r>
            <w:r>
              <w:rPr>
                <w:b w:val="0"/>
                <w:i w:val="0"/>
                <w:sz w:val="17"/>
              </w:rPr>
              <w:t>Net income</w:t>
            </w:r>
          </w:p>
        </w:tc>
        <w:tc>
          <w:tcPr>
            <w:tcW w:type="dxa" w:w="4824"/>
          </w:tcPr>
          <w:p>
            <w:pPr>
              <w:spacing w:after="20"/>
            </w:pPr>
            <w:r>
              <w:rPr>
                <w:sz w:val="17"/>
              </w:rPr>
            </w:r>
            <w:r>
              <w:rPr>
                <w:b w:val="0"/>
                <w:i w:val="0"/>
                <w:sz w:val="17"/>
              </w:rPr>
              <w:t>$1,183m</w:t>
            </w:r>
          </w:p>
        </w:tc>
      </w:tr>
      <w:tr>
        <w:tc>
          <w:tcPr>
            <w:tcW w:type="dxa" w:w="4824"/>
          </w:tcPr>
          <w:p>
            <w:pPr>
              <w:spacing w:after="20"/>
            </w:pPr>
            <w:r>
              <w:rPr>
                <w:sz w:val="17"/>
              </w:rPr>
            </w:r>
            <w:r>
              <w:rPr>
                <w:b w:val="0"/>
                <w:i w:val="0"/>
                <w:sz w:val="17"/>
              </w:rPr>
              <w:t>Diluted EPS</w:t>
            </w:r>
          </w:p>
        </w:tc>
        <w:tc>
          <w:tcPr>
            <w:tcW w:type="dxa" w:w="4824"/>
          </w:tcPr>
          <w:p>
            <w:pPr>
              <w:spacing w:after="20"/>
            </w:pPr>
            <w:r>
              <w:rPr>
                <w:sz w:val="17"/>
              </w:rPr>
            </w:r>
            <w:r>
              <w:rPr>
                <w:b w:val="0"/>
                <w:i w:val="0"/>
                <w:sz w:val="17"/>
              </w:rPr>
              <w:t>$4.73</w:t>
            </w:r>
          </w:p>
        </w:tc>
      </w:tr>
      <w:tr>
        <w:tc>
          <w:tcPr>
            <w:tcW w:type="dxa" w:w="4824"/>
          </w:tcPr>
          <w:p>
            <w:pPr>
              <w:spacing w:after="20"/>
            </w:pPr>
            <w:r>
              <w:rPr>
                <w:sz w:val="17"/>
              </w:rPr>
            </w:r>
            <w:r>
              <w:rPr>
                <w:b w:val="0"/>
                <w:i w:val="0"/>
                <w:sz w:val="17"/>
              </w:rPr>
              <w:t>Free cash flow</w:t>
            </w:r>
          </w:p>
        </w:tc>
        <w:tc>
          <w:tcPr>
            <w:tcW w:type="dxa" w:w="4824"/>
          </w:tcPr>
          <w:p>
            <w:pPr>
              <w:spacing w:after="20"/>
            </w:pPr>
            <w:r>
              <w:rPr>
                <w:sz w:val="17"/>
              </w:rPr>
            </w:r>
            <w:r>
              <w:rPr>
                <w:b w:val="0"/>
                <w:i w:val="0"/>
                <w:sz w:val="17"/>
              </w:rPr>
              <w:t>$1,340m</w:t>
            </w:r>
          </w:p>
        </w:tc>
      </w:tr>
      <w:tr>
        <w:tc>
          <w:tcPr>
            <w:tcW w:type="dxa" w:w="4824"/>
          </w:tcPr>
          <w:p>
            <w:pPr>
              <w:spacing w:after="20"/>
            </w:pPr>
            <w:r>
              <w:rPr>
                <w:sz w:val="17"/>
              </w:rPr>
            </w:r>
            <w:r>
              <w:rPr>
                <w:b w:val="0"/>
                <w:i w:val="0"/>
                <w:sz w:val="17"/>
              </w:rPr>
              <w:t>Net debt</w:t>
            </w:r>
          </w:p>
        </w:tc>
        <w:tc>
          <w:tcPr>
            <w:tcW w:type="dxa" w:w="4824"/>
          </w:tcPr>
          <w:p>
            <w:pPr>
              <w:spacing w:after="20"/>
            </w:pPr>
            <w:r>
              <w:rPr>
                <w:sz w:val="17"/>
              </w:rPr>
            </w:r>
            <w:r>
              <w:rPr>
                <w:b w:val="0"/>
                <w:i w:val="0"/>
                <w:sz w:val="17"/>
              </w:rPr>
              <w:t>$1,800m</w:t>
            </w:r>
          </w:p>
        </w:tc>
      </w:tr>
      <w:tr>
        <w:tc>
          <w:tcPr>
            <w:tcW w:type="dxa" w:w="4824"/>
          </w:tcPr>
          <w:p>
            <w:pPr>
              <w:spacing w:after="20"/>
            </w:pPr>
            <w:r>
              <w:rPr>
                <w:sz w:val="17"/>
              </w:rPr>
            </w:r>
            <w:r>
              <w:rPr>
                <w:b w:val="0"/>
                <w:i w:val="0"/>
                <w:sz w:val="17"/>
              </w:rPr>
              <w:t>Diluted shares</w:t>
            </w:r>
          </w:p>
        </w:tc>
        <w:tc>
          <w:tcPr>
            <w:tcW w:type="dxa" w:w="4824"/>
          </w:tcPr>
          <w:p>
            <w:pPr>
              <w:spacing w:after="20"/>
            </w:pPr>
            <w:r>
              <w:rPr>
                <w:sz w:val="17"/>
              </w:rPr>
            </w:r>
            <w:r>
              <w:rPr>
                <w:b w:val="0"/>
                <w:i w:val="0"/>
                <w:sz w:val="17"/>
              </w:rPr>
              <w:t>250.0m</w:t>
            </w:r>
          </w:p>
        </w:tc>
      </w:tr>
    </w:tbl>
    <w:p>
      <w:pPr>
        <w:spacing w:after="40"/>
      </w:pPr>
    </w:p>
    <w:p>
      <w:r>
        <w:rPr>
          <w:b w:val="0"/>
          <w:i w:val="0"/>
        </w:rPr>
        <w:t>Fiscal years end December 31, so FY2025 closed three weeks before this run and the ten-year series needs no stub.</w:t>
      </w:r>
    </w:p>
    <w:p>
      <w:r>
        <w:br w:type="page"/>
      </w:r>
    </w:p>
    <w:p>
      <w:pPr>
        <w:pStyle w:val="Heading1"/>
      </w:pPr>
      <w:r>
        <w:t>Market analyst</w:t>
      </w:r>
    </w:p>
    <w:p>
      <w:pPr>
        <w:spacing w:after="200"/>
      </w:pPr>
      <w:r>
        <w:rPr>
          <w:color w:val="6B6B6B"/>
          <w:sz w:val="17"/>
        </w:rPr>
        <w:t>Stage 1 · Sonnet · analyst-market.md</w:t>
      </w:r>
    </w:p>
    <w:p>
      <w:pPr>
        <w:pStyle w:val="Heading2"/>
      </w:pPr>
      <w:r>
        <w:rPr>
          <w:b w:val="0"/>
          <w:i w:val="0"/>
        </w:rPr>
        <w:t>Market — ACME</w:t>
      </w:r>
    </w:p>
    <w:p>
      <w:r>
        <w:rPr>
          <w:b w:val="0"/>
          <w:i w:val="0"/>
        </w:rPr>
        <w:t xml:space="preserve">Every figure below is invented. See </w:t>
      </w:r>
      <w:r>
        <w:rPr>
          <w:rFonts w:ascii="Consolas" w:hAnsi="Consolas"/>
          <w:b w:val="0"/>
          <w:i w:val="0"/>
          <w:sz w:val="18"/>
        </w:rPr>
        <w:t>run.md</w:t>
      </w:r>
      <w:r>
        <w:rPr>
          <w:b w:val="0"/>
          <w:i w:val="0"/>
        </w:rPr>
        <w:t>.</w:t>
      </w:r>
    </w:p>
    <w:p>
      <w:pPr>
        <w:pStyle w:val="Heading3"/>
      </w:pPr>
      <w:r>
        <w:rPr>
          <w:b w:val="0"/>
          <w:i w:val="0"/>
        </w:rPr>
        <w:t>What the market pays</w:t>
      </w:r>
    </w:p>
    <w:p>
      <w:r>
        <w:rPr>
          <w:b w:val="0"/>
          <w:i w:val="0"/>
        </w:rPr>
        <w:t>At $100.00 on 2026-01-09 the stock trades at 21.1x trailing earnings, 19.7x the FY2026 consensus of $5.08, 14.1x trailing EBITDA and 3.3x revenue. Free cash flow yield is 5.4% on the trailing figure.</w:t>
      </w:r>
    </w:p>
    <w:p>
      <w:r>
        <w:rPr>
          <w:b w:val="0"/>
          <w:i w:val="0"/>
        </w:rPr>
        <w:t>The ten-year range on forward earnings is 13.4x to 24.8x with a median of 18.2x. Today's 19.7x is 8% above that median and inside the top third of the decade, which is worth naming because the earnings themselves are also at a decade high.</w:t>
      </w:r>
    </w:p>
    <w:p>
      <w:pPr>
        <w:pStyle w:val="Heading3"/>
      </w:pPr>
      <w:r>
        <w:rPr>
          <w:b w:val="0"/>
          <w:i w:val="0"/>
        </w:rPr>
        <w:t>Price and range</w:t>
      </w:r>
    </w:p>
    <w:tbl>
      <w:tblPr>
        <w:tblW w:type="auto" w:w="0"/>
        <w:jc w:val="center"/>
        <w:tblLayout w:type="autofit"/>
        <w:tblLook w:firstColumn="1" w:firstRow="1" w:lastColumn="0" w:lastRow="0" w:noHBand="0" w:noVBand="1" w:val="04A0"/>
        <w:tblBorders>
          <w:top w:val="single" w:sz="4" w:color="D8D8D8"/>
          <w:left w:val="single" w:sz="4" w:color="D8D8D8"/>
          <w:bottom w:val="single" w:sz="4" w:color="D8D8D8"/>
          <w:right w:val="single" w:sz="4" w:color="D8D8D8"/>
          <w:insideH w:val="single" w:sz="4" w:color="D8D8D8"/>
          <w:insideV w:val="single" w:sz="4" w:color="D8D8D8"/>
        </w:tblBorders>
      </w:tblPr>
      <w:tblGrid>
        <w:gridCol w:w="4824"/>
        <w:gridCol w:w="4824"/>
      </w:tblGrid>
      <w:tr>
        <w:tc>
          <w:tcPr>
            <w:tcW w:type="dxa" w:w="4824"/>
            <w:shd w:val="clear" w:fill="F2F2F2"/>
          </w:tcPr>
          <w:p>
            <w:r/>
            <w:r>
              <w:rPr>
                <w:b/>
                <w:sz w:val="17"/>
              </w:rPr>
              <w:t>Item</w:t>
            </w:r>
          </w:p>
        </w:tc>
        <w:tc>
          <w:tcPr>
            <w:tcW w:type="dxa" w:w="4824"/>
            <w:shd w:val="clear" w:fill="F2F2F2"/>
          </w:tcPr>
          <w:p>
            <w:r/>
            <w:r>
              <w:rPr>
                <w:b/>
                <w:sz w:val="17"/>
              </w:rPr>
              <w:t>Value</w:t>
            </w:r>
          </w:p>
        </w:tc>
      </w:tr>
      <w:tr>
        <w:tc>
          <w:tcPr>
            <w:tcW w:type="dxa" w:w="4824"/>
          </w:tcPr>
          <w:p>
            <w:pPr>
              <w:spacing w:after="20"/>
            </w:pPr>
            <w:r>
              <w:rPr>
                <w:sz w:val="17"/>
              </w:rPr>
            </w:r>
            <w:r>
              <w:rPr>
                <w:b w:val="0"/>
                <w:i w:val="0"/>
                <w:sz w:val="17"/>
              </w:rPr>
              <w:t>Price</w:t>
            </w:r>
          </w:p>
        </w:tc>
        <w:tc>
          <w:tcPr>
            <w:tcW w:type="dxa" w:w="4824"/>
          </w:tcPr>
          <w:p>
            <w:pPr>
              <w:spacing w:after="20"/>
            </w:pPr>
            <w:r>
              <w:rPr>
                <w:sz w:val="17"/>
              </w:rPr>
            </w:r>
            <w:r>
              <w:rPr>
                <w:b w:val="0"/>
                <w:i w:val="0"/>
                <w:sz w:val="17"/>
              </w:rPr>
              <w:t>$100.00 (2026-01-09)</w:t>
            </w:r>
          </w:p>
        </w:tc>
      </w:tr>
      <w:tr>
        <w:tc>
          <w:tcPr>
            <w:tcW w:type="dxa" w:w="4824"/>
          </w:tcPr>
          <w:p>
            <w:pPr>
              <w:spacing w:after="20"/>
            </w:pPr>
            <w:r>
              <w:rPr>
                <w:sz w:val="17"/>
              </w:rPr>
            </w:r>
            <w:r>
              <w:rPr>
                <w:b w:val="0"/>
                <w:i w:val="0"/>
                <w:sz w:val="17"/>
              </w:rPr>
              <w:t>52-week range</w:t>
            </w:r>
          </w:p>
        </w:tc>
        <w:tc>
          <w:tcPr>
            <w:tcW w:type="dxa" w:w="4824"/>
          </w:tcPr>
          <w:p>
            <w:pPr>
              <w:spacing w:after="20"/>
            </w:pPr>
            <w:r>
              <w:rPr>
                <w:sz w:val="17"/>
              </w:rPr>
            </w:r>
            <w:r>
              <w:rPr>
                <w:b w:val="0"/>
                <w:i w:val="0"/>
                <w:sz w:val="17"/>
              </w:rPr>
              <w:t>$84.20 – $121.60</w:t>
            </w:r>
          </w:p>
        </w:tc>
      </w:tr>
      <w:tr>
        <w:tc>
          <w:tcPr>
            <w:tcW w:type="dxa" w:w="4824"/>
          </w:tcPr>
          <w:p>
            <w:pPr>
              <w:spacing w:after="20"/>
            </w:pPr>
            <w:r>
              <w:rPr>
                <w:sz w:val="17"/>
              </w:rPr>
            </w:r>
            <w:r>
              <w:rPr>
                <w:b w:val="0"/>
                <w:i w:val="0"/>
                <w:sz w:val="17"/>
              </w:rPr>
              <w:t>Distance from high</w:t>
            </w:r>
          </w:p>
        </w:tc>
        <w:tc>
          <w:tcPr>
            <w:tcW w:type="dxa" w:w="4824"/>
          </w:tcPr>
          <w:p>
            <w:pPr>
              <w:spacing w:after="20"/>
            </w:pPr>
            <w:r>
              <w:rPr>
                <w:sz w:val="17"/>
              </w:rPr>
            </w:r>
            <w:r>
              <w:rPr>
                <w:b w:val="0"/>
                <w:i w:val="0"/>
                <w:sz w:val="17"/>
              </w:rPr>
              <w:t>−17.8%</w:t>
            </w:r>
          </w:p>
        </w:tc>
      </w:tr>
      <w:tr>
        <w:tc>
          <w:tcPr>
            <w:tcW w:type="dxa" w:w="4824"/>
          </w:tcPr>
          <w:p>
            <w:pPr>
              <w:spacing w:after="20"/>
            </w:pPr>
            <w:r>
              <w:rPr>
                <w:sz w:val="17"/>
              </w:rPr>
            </w:r>
            <w:r>
              <w:rPr>
                <w:b w:val="0"/>
                <w:i w:val="0"/>
                <w:sz w:val="17"/>
              </w:rPr>
              <w:t>One-year total return</w:t>
            </w:r>
          </w:p>
        </w:tc>
        <w:tc>
          <w:tcPr>
            <w:tcW w:type="dxa" w:w="4824"/>
          </w:tcPr>
          <w:p>
            <w:pPr>
              <w:spacing w:after="20"/>
            </w:pPr>
            <w:r>
              <w:rPr>
                <w:sz w:val="17"/>
              </w:rPr>
            </w:r>
            <w:r>
              <w:rPr>
                <w:b w:val="0"/>
                <w:i w:val="0"/>
                <w:sz w:val="17"/>
              </w:rPr>
              <w:t>+4.1% against +11.2% for SPY</w:t>
            </w:r>
          </w:p>
        </w:tc>
      </w:tr>
      <w:tr>
        <w:tc>
          <w:tcPr>
            <w:tcW w:type="dxa" w:w="4824"/>
          </w:tcPr>
          <w:p>
            <w:pPr>
              <w:spacing w:after="20"/>
            </w:pPr>
            <w:r>
              <w:rPr>
                <w:sz w:val="17"/>
              </w:rPr>
            </w:r>
            <w:r>
              <w:rPr>
                <w:b w:val="0"/>
                <w:i w:val="0"/>
                <w:sz w:val="17"/>
              </w:rPr>
              <w:t>Beta, five-year monthly</w:t>
            </w:r>
          </w:p>
        </w:tc>
        <w:tc>
          <w:tcPr>
            <w:tcW w:type="dxa" w:w="4824"/>
          </w:tcPr>
          <w:p>
            <w:pPr>
              <w:spacing w:after="20"/>
            </w:pPr>
            <w:r>
              <w:rPr>
                <w:sz w:val="17"/>
              </w:rPr>
            </w:r>
            <w:r>
              <w:rPr>
                <w:b w:val="0"/>
                <w:i w:val="0"/>
                <w:sz w:val="17"/>
              </w:rPr>
              <w:t>1.02</w:t>
            </w:r>
          </w:p>
        </w:tc>
      </w:tr>
    </w:tbl>
    <w:p>
      <w:pPr>
        <w:spacing w:after="40"/>
      </w:pPr>
    </w:p>
    <w:p>
      <w:r>
        <w:rPr>
          <w:b w:val="0"/>
          <w:i w:val="0"/>
        </w:rPr>
        <w:t>The stock made its high in March 2025 and has drifted since the Q3 print in October, which guided FY2026 revenue growth to 5% against 6% expected.</w:t>
      </w:r>
    </w:p>
    <w:p>
      <w:pPr>
        <w:pStyle w:val="Heading3"/>
      </w:pPr>
      <w:r>
        <w:rPr>
          <w:b w:val="0"/>
          <w:i w:val="0"/>
        </w:rPr>
        <w:t>Consensus</w:t>
      </w:r>
    </w:p>
    <w:p>
      <w:r>
        <w:rPr>
          <w:b w:val="0"/>
          <w:i w:val="0"/>
        </w:rPr>
        <w:t>Fourteen analysts: nine hold, four buy, one sell. Mean target $112, range $95 to $130. FY2026 consensus revenue $8,810m and EPS $5.08, both within 0.5% of this run's base case, so there is no variant perception in the numbers themselves.</w:t>
      </w:r>
    </w:p>
    <w:p>
      <w:pPr>
        <w:pStyle w:val="Heading3"/>
      </w:pPr>
      <w:r>
        <w:rPr>
          <w:b w:val="0"/>
          <w:i w:val="0"/>
        </w:rPr>
        <w:t>Rates</w:t>
      </w:r>
    </w:p>
    <w:p>
      <w:r>
        <w:rPr>
          <w:b w:val="0"/>
          <w:i w:val="0"/>
        </w:rPr>
        <w:t>Ten-year Treasury at 4.20% on 2026-01-09 (DGS10). The equity risk premium used downstream is 5.0%.</w:t>
      </w:r>
    </w:p>
    <w:p>
      <w:pPr>
        <w:pStyle w:val="Heading3"/>
      </w:pPr>
      <w:r>
        <w:rPr>
          <w:b w:val="0"/>
          <w:i w:val="0"/>
        </w:rPr>
        <w:t>Calls used</w:t>
      </w:r>
    </w:p>
    <w:p>
      <w:r>
        <w:rPr>
          <w:b w:val="0"/>
          <w:i w:val="0"/>
        </w:rPr>
        <w:t>Six of the 75 available: one quote, one daily series for the range, three multiple histories and the Treasury series. Sequential, more than 1.1 seconds apart, no failures.</w:t>
      </w:r>
    </w:p>
    <w:p>
      <w:r>
        <w:br w:type="page"/>
      </w:r>
    </w:p>
    <w:p>
      <w:pPr>
        <w:pStyle w:val="Heading1"/>
      </w:pPr>
      <w:r>
        <w:t>News and events analyst</w:t>
      </w:r>
    </w:p>
    <w:p>
      <w:pPr>
        <w:spacing w:after="200"/>
      </w:pPr>
      <w:r>
        <w:rPr>
          <w:color w:val="6B6B6B"/>
          <w:sz w:val="17"/>
        </w:rPr>
        <w:t>Stage 1 · Sonnet · analyst-news.md</w:t>
      </w:r>
    </w:p>
    <w:p>
      <w:pPr>
        <w:pStyle w:val="Heading2"/>
      </w:pPr>
      <w:r>
        <w:rPr>
          <w:b w:val="0"/>
          <w:i w:val="0"/>
        </w:rPr>
        <w:t>News and events — ACME</w:t>
      </w:r>
    </w:p>
    <w:p>
      <w:r>
        <w:rPr>
          <w:b w:val="0"/>
          <w:i w:val="0"/>
        </w:rPr>
        <w:t xml:space="preserve">Every figure below is invented. See </w:t>
      </w:r>
      <w:r>
        <w:rPr>
          <w:rFonts w:ascii="Consolas" w:hAnsi="Consolas"/>
          <w:b w:val="0"/>
          <w:i w:val="0"/>
          <w:sz w:val="18"/>
        </w:rPr>
        <w:t>run.md</w:t>
      </w:r>
      <w:r>
        <w:rPr>
          <w:b w:val="0"/>
          <w:i w:val="0"/>
        </w:rPr>
        <w:t>.</w:t>
      </w:r>
    </w:p>
    <w:p>
      <w:pPr>
        <w:pStyle w:val="Heading3"/>
      </w:pPr>
      <w:r>
        <w:rPr>
          <w:b w:val="0"/>
          <w:i w:val="0"/>
        </w:rPr>
        <w:t>What changed in the filings</w:t>
      </w:r>
    </w:p>
    <w:p>
      <w:r>
        <w:rPr>
          <w:b w:val="0"/>
          <w:i w:val="0"/>
        </w:rPr>
        <w:t>The Q3 fiscal 2025 8-K on 2025-10-29 cut FY2026 revenue growth guidance to 5% from the 6% given in July, and named two causes: slower order intake from two large coatings customers, and a delayed ramp at the Dalton adhesives plant. Gross margin guidance was unchanged.</w:t>
      </w:r>
    </w:p>
    <w:p>
      <w:r>
        <w:rPr>
          <w:b w:val="0"/>
          <w:i w:val="0"/>
        </w:rPr>
        <w:t>The FY2025 10-K, filed 2026-02-18, added a risk factor on customer concentration that was not in the FY2024 filing. The three largest coatings customers were 21% of segment revenue in FY2025, up from 17% in FY2023.</w:t>
      </w:r>
    </w:p>
    <w:p>
      <w:pPr>
        <w:pStyle w:val="Heading3"/>
      </w:pPr>
      <w:r>
        <w:rPr>
          <w:b w:val="0"/>
          <w:i w:val="0"/>
        </w:rPr>
        <w:t>Litigation and regulation</w:t>
      </w:r>
    </w:p>
    <w:p>
      <w:r>
        <w:rPr>
          <w:b w:val="0"/>
          <w:i w:val="0"/>
        </w:rPr>
        <w:t>One matter. A 2024 environmental claim over the Kearney site, disclosed at an accrued $34m, unchanged for four quarters. Management has said in two calls that it expects no incremental liability. There is no securities litigation and no restatement in the ten-year history.</w:t>
      </w:r>
    </w:p>
    <w:p>
      <w:pPr>
        <w:pStyle w:val="Heading3"/>
      </w:pPr>
      <w:r>
        <w:rPr>
          <w:b w:val="0"/>
          <w:i w:val="0"/>
        </w:rPr>
        <w:t>Catalyst calendar</w:t>
      </w:r>
    </w:p>
    <w:tbl>
      <w:tblPr>
        <w:tblW w:type="auto" w:w="0"/>
        <w:jc w:val="center"/>
        <w:tblLayout w:type="autofit"/>
        <w:tblLook w:firstColumn="1" w:firstRow="1" w:lastColumn="0" w:lastRow="0" w:noHBand="0" w:noVBand="1" w:val="04A0"/>
        <w:tblBorders>
          <w:top w:val="single" w:sz="4" w:color="D8D8D8"/>
          <w:left w:val="single" w:sz="4" w:color="D8D8D8"/>
          <w:bottom w:val="single" w:sz="4" w:color="D8D8D8"/>
          <w:right w:val="single" w:sz="4" w:color="D8D8D8"/>
          <w:insideH w:val="single" w:sz="4" w:color="D8D8D8"/>
          <w:insideV w:val="single" w:sz="4" w:color="D8D8D8"/>
        </w:tblBorders>
      </w:tblPr>
      <w:tblGrid>
        <w:gridCol w:w="3216"/>
        <w:gridCol w:w="3216"/>
        <w:gridCol w:w="3216"/>
      </w:tblGrid>
      <w:tr>
        <w:tc>
          <w:tcPr>
            <w:tcW w:type="dxa" w:w="3216"/>
            <w:shd w:val="clear" w:fill="F2F2F2"/>
          </w:tcPr>
          <w:p>
            <w:r/>
            <w:r>
              <w:rPr>
                <w:b/>
                <w:sz w:val="17"/>
              </w:rPr>
              <w:t>Date</w:t>
            </w:r>
          </w:p>
        </w:tc>
        <w:tc>
          <w:tcPr>
            <w:tcW w:type="dxa" w:w="3216"/>
            <w:shd w:val="clear" w:fill="F2F2F2"/>
          </w:tcPr>
          <w:p>
            <w:r/>
            <w:r>
              <w:rPr>
                <w:b/>
                <w:sz w:val="17"/>
              </w:rPr>
              <w:t>Event</w:t>
            </w:r>
          </w:p>
        </w:tc>
        <w:tc>
          <w:tcPr>
            <w:tcW w:type="dxa" w:w="3216"/>
            <w:shd w:val="clear" w:fill="F2F2F2"/>
          </w:tcPr>
          <w:p>
            <w:r/>
            <w:r>
              <w:rPr>
                <w:b/>
                <w:sz w:val="17"/>
              </w:rPr>
              <w:t>Why it matters</w:t>
            </w:r>
          </w:p>
        </w:tc>
      </w:tr>
      <w:tr>
        <w:tc>
          <w:tcPr>
            <w:tcW w:type="dxa" w:w="3216"/>
          </w:tcPr>
          <w:p>
            <w:pPr>
              <w:spacing w:after="20"/>
            </w:pPr>
            <w:r>
              <w:rPr>
                <w:sz w:val="17"/>
              </w:rPr>
            </w:r>
            <w:r>
              <w:rPr>
                <w:b w:val="0"/>
                <w:i w:val="0"/>
                <w:sz w:val="17"/>
              </w:rPr>
              <w:t>2026-02-18</w:t>
            </w:r>
          </w:p>
        </w:tc>
        <w:tc>
          <w:tcPr>
            <w:tcW w:type="dxa" w:w="3216"/>
          </w:tcPr>
          <w:p>
            <w:pPr>
              <w:spacing w:after="20"/>
            </w:pPr>
            <w:r>
              <w:rPr>
                <w:sz w:val="17"/>
              </w:rPr>
            </w:r>
            <w:r>
              <w:rPr>
                <w:b w:val="0"/>
                <w:i w:val="0"/>
                <w:sz w:val="17"/>
              </w:rPr>
              <w:t>FY2025 10-K and Q4 results</w:t>
            </w:r>
          </w:p>
        </w:tc>
        <w:tc>
          <w:tcPr>
            <w:tcW w:type="dxa" w:w="3216"/>
          </w:tcPr>
          <w:p>
            <w:pPr>
              <w:spacing w:after="20"/>
            </w:pPr>
            <w:r>
              <w:rPr>
                <w:sz w:val="17"/>
              </w:rPr>
            </w:r>
            <w:r>
              <w:rPr>
                <w:b w:val="0"/>
                <w:i w:val="0"/>
                <w:sz w:val="17"/>
              </w:rPr>
              <w:t>First FY2026 guidance with the Dalton ramp in it</w:t>
            </w:r>
          </w:p>
        </w:tc>
      </w:tr>
      <w:tr>
        <w:tc>
          <w:tcPr>
            <w:tcW w:type="dxa" w:w="3216"/>
          </w:tcPr>
          <w:p>
            <w:pPr>
              <w:spacing w:after="20"/>
            </w:pPr>
            <w:r>
              <w:rPr>
                <w:sz w:val="17"/>
              </w:rPr>
            </w:r>
            <w:r>
              <w:rPr>
                <w:b w:val="0"/>
                <w:i w:val="0"/>
                <w:sz w:val="17"/>
              </w:rPr>
              <w:t>2026-04-23</w:t>
            </w:r>
          </w:p>
        </w:tc>
        <w:tc>
          <w:tcPr>
            <w:tcW w:type="dxa" w:w="3216"/>
          </w:tcPr>
          <w:p>
            <w:pPr>
              <w:spacing w:after="20"/>
            </w:pPr>
            <w:r>
              <w:rPr>
                <w:sz w:val="17"/>
              </w:rPr>
            </w:r>
            <w:r>
              <w:rPr>
                <w:b w:val="0"/>
                <w:i w:val="0"/>
                <w:sz w:val="17"/>
              </w:rPr>
              <w:t>Q1 fiscal 2026 results</w:t>
            </w:r>
          </w:p>
        </w:tc>
        <w:tc>
          <w:tcPr>
            <w:tcW w:type="dxa" w:w="3216"/>
          </w:tcPr>
          <w:p>
            <w:pPr>
              <w:spacing w:after="20"/>
            </w:pPr>
            <w:r>
              <w:rPr>
                <w:sz w:val="17"/>
              </w:rPr>
            </w:r>
            <w:r>
              <w:rPr>
                <w:b w:val="0"/>
                <w:i w:val="0"/>
                <w:sz w:val="17"/>
              </w:rPr>
              <w:t>First read on whether the two coatings customers came back</w:t>
            </w:r>
          </w:p>
        </w:tc>
      </w:tr>
      <w:tr>
        <w:tc>
          <w:tcPr>
            <w:tcW w:type="dxa" w:w="3216"/>
          </w:tcPr>
          <w:p>
            <w:pPr>
              <w:spacing w:after="20"/>
            </w:pPr>
            <w:r>
              <w:rPr>
                <w:sz w:val="17"/>
              </w:rPr>
            </w:r>
            <w:r>
              <w:rPr>
                <w:b w:val="0"/>
                <w:i w:val="0"/>
                <w:sz w:val="17"/>
              </w:rPr>
              <w:t>2026-05-14</w:t>
            </w:r>
          </w:p>
        </w:tc>
        <w:tc>
          <w:tcPr>
            <w:tcW w:type="dxa" w:w="3216"/>
          </w:tcPr>
          <w:p>
            <w:pPr>
              <w:spacing w:after="20"/>
            </w:pPr>
            <w:r>
              <w:rPr>
                <w:sz w:val="17"/>
              </w:rPr>
            </w:r>
            <w:r>
              <w:rPr>
                <w:b w:val="0"/>
                <w:i w:val="0"/>
                <w:sz w:val="17"/>
              </w:rPr>
              <w:t>Annual meeting</w:t>
            </w:r>
          </w:p>
        </w:tc>
        <w:tc>
          <w:tcPr>
            <w:tcW w:type="dxa" w:w="3216"/>
          </w:tcPr>
          <w:p>
            <w:pPr>
              <w:spacing w:after="20"/>
            </w:pPr>
            <w:r>
              <w:rPr>
                <w:sz w:val="17"/>
              </w:rPr>
            </w:r>
            <w:r>
              <w:rPr>
                <w:b w:val="0"/>
                <w:i w:val="0"/>
                <w:sz w:val="17"/>
              </w:rPr>
              <w:t>Vote on the amended incentive plan</w:t>
            </w:r>
          </w:p>
        </w:tc>
      </w:tr>
      <w:tr>
        <w:tc>
          <w:tcPr>
            <w:tcW w:type="dxa" w:w="3216"/>
          </w:tcPr>
          <w:p>
            <w:pPr>
              <w:spacing w:after="20"/>
            </w:pPr>
            <w:r>
              <w:rPr>
                <w:sz w:val="17"/>
              </w:rPr>
            </w:r>
            <w:r>
              <w:rPr>
                <w:b w:val="0"/>
                <w:i w:val="0"/>
                <w:sz w:val="17"/>
              </w:rPr>
              <w:t>2026-07-29</w:t>
            </w:r>
          </w:p>
        </w:tc>
        <w:tc>
          <w:tcPr>
            <w:tcW w:type="dxa" w:w="3216"/>
          </w:tcPr>
          <w:p>
            <w:pPr>
              <w:spacing w:after="20"/>
            </w:pPr>
            <w:r>
              <w:rPr>
                <w:sz w:val="17"/>
              </w:rPr>
            </w:r>
            <w:r>
              <w:rPr>
                <w:b w:val="0"/>
                <w:i w:val="0"/>
                <w:sz w:val="17"/>
              </w:rPr>
              <w:t>Q2 fiscal 2026 results</w:t>
            </w:r>
          </w:p>
        </w:tc>
        <w:tc>
          <w:tcPr>
            <w:tcW w:type="dxa" w:w="3216"/>
          </w:tcPr>
          <w:p>
            <w:pPr>
              <w:spacing w:after="20"/>
            </w:pPr>
            <w:r>
              <w:rPr>
                <w:sz w:val="17"/>
              </w:rPr>
            </w:r>
            <w:r>
              <w:rPr>
                <w:b w:val="0"/>
                <w:i w:val="0"/>
                <w:sz w:val="17"/>
              </w:rPr>
              <w:t>Dalton at full utilisation on the current plan</w:t>
            </w:r>
          </w:p>
        </w:tc>
      </w:tr>
      <w:tr>
        <w:tc>
          <w:tcPr>
            <w:tcW w:type="dxa" w:w="3216"/>
          </w:tcPr>
          <w:p>
            <w:pPr>
              <w:spacing w:after="20"/>
            </w:pPr>
            <w:r>
              <w:rPr>
                <w:sz w:val="17"/>
              </w:rPr>
            </w:r>
            <w:r>
              <w:rPr>
                <w:b w:val="0"/>
                <w:i w:val="0"/>
                <w:sz w:val="17"/>
              </w:rPr>
              <w:t>2026-10-28</w:t>
            </w:r>
          </w:p>
        </w:tc>
        <w:tc>
          <w:tcPr>
            <w:tcW w:type="dxa" w:w="3216"/>
          </w:tcPr>
          <w:p>
            <w:pPr>
              <w:spacing w:after="20"/>
            </w:pPr>
            <w:r>
              <w:rPr>
                <w:sz w:val="17"/>
              </w:rPr>
            </w:r>
            <w:r>
              <w:rPr>
                <w:b w:val="0"/>
                <w:i w:val="0"/>
                <w:sz w:val="17"/>
              </w:rPr>
              <w:t>Q3 fiscal 2026 results</w:t>
            </w:r>
          </w:p>
        </w:tc>
        <w:tc>
          <w:tcPr>
            <w:tcW w:type="dxa" w:w="3216"/>
          </w:tcPr>
          <w:p>
            <w:pPr>
              <w:spacing w:after="20"/>
            </w:pPr>
            <w:r>
              <w:rPr>
                <w:sz w:val="17"/>
              </w:rPr>
            </w:r>
            <w:r>
              <w:rPr>
                <w:b w:val="0"/>
                <w:i w:val="0"/>
                <w:sz w:val="17"/>
              </w:rPr>
              <w:t>The print that resets FY2027 consensus</w:t>
            </w:r>
          </w:p>
        </w:tc>
      </w:tr>
    </w:tbl>
    <w:p>
      <w:pPr>
        <w:spacing w:after="40"/>
      </w:pPr>
    </w:p>
    <w:p>
      <w:pPr>
        <w:pStyle w:val="Heading3"/>
      </w:pPr>
      <w:r>
        <w:rPr>
          <w:b w:val="0"/>
          <w:i w:val="0"/>
        </w:rPr>
        <w:t>ESG</w:t>
      </w:r>
    </w:p>
    <w:p>
      <w:r>
        <w:rPr>
          <w:b w:val="0"/>
          <w:i w:val="0"/>
        </w:rPr>
        <w:t>No emissions target beyond a 2030 intensity goal set in 2022, on which the company reports annually and is running ahead. Two board seats turned over in</w:t>
      </w:r>
    </w:p>
    <w:p>
      <w:pPr>
        <w:pStyle w:val="ListNumber"/>
        <w:spacing w:after="40"/>
        <w:ind w:left="360"/>
      </w:pPr>
      <w:r>
        <w:rPr>
          <w:b w:val="0"/>
          <w:i w:val="0"/>
        </w:rPr>
        <w:t>No pay-ratio disclosure beyond the required figure. Nothing here changes</w:t>
      </w:r>
    </w:p>
    <w:p>
      <w:r>
        <w:rPr>
          <w:b w:val="0"/>
          <w:i w:val="0"/>
        </w:rPr>
        <w:t>the valuation.</w:t>
      </w:r>
    </w:p>
    <w:p>
      <w:r>
        <w:br w:type="page"/>
      </w:r>
    </w:p>
    <w:p>
      <w:pPr>
        <w:pStyle w:val="Heading1"/>
      </w:pPr>
      <w:r>
        <w:t>Industry analyst</w:t>
      </w:r>
    </w:p>
    <w:p>
      <w:pPr>
        <w:spacing w:after="200"/>
      </w:pPr>
      <w:r>
        <w:rPr>
          <w:color w:val="6B6B6B"/>
          <w:sz w:val="17"/>
        </w:rPr>
        <w:t>Stage 1 · Sonnet · analyst-industry.md</w:t>
      </w:r>
    </w:p>
    <w:p>
      <w:pPr>
        <w:pStyle w:val="Heading2"/>
      </w:pPr>
      <w:r>
        <w:rPr>
          <w:b w:val="0"/>
          <w:i w:val="0"/>
        </w:rPr>
        <w:t>Industry and competition — ACME</w:t>
      </w:r>
    </w:p>
    <w:p>
      <w:r>
        <w:rPr>
          <w:b w:val="0"/>
          <w:i w:val="0"/>
        </w:rPr>
        <w:t xml:space="preserve">Every figure below is invented. See </w:t>
      </w:r>
      <w:r>
        <w:rPr>
          <w:rFonts w:ascii="Consolas" w:hAnsi="Consolas"/>
          <w:b w:val="0"/>
          <w:i w:val="0"/>
          <w:sz w:val="18"/>
        </w:rPr>
        <w:t>run.md</w:t>
      </w:r>
      <w:r>
        <w:rPr>
          <w:b w:val="0"/>
          <w:i w:val="0"/>
        </w:rPr>
        <w:t>.</w:t>
      </w:r>
    </w:p>
    <w:p>
      <w:pPr>
        <w:pStyle w:val="Heading3"/>
      </w:pPr>
      <w:r>
        <w:rPr>
          <w:b w:val="0"/>
          <w:i w:val="0"/>
        </w:rPr>
        <w:t>Where the company sits</w:t>
      </w:r>
    </w:p>
    <w:p>
      <w:r>
        <w:rPr>
          <w:b w:val="0"/>
          <w:i w:val="0"/>
        </w:rPr>
        <w:t>Acme is the third-largest supplier of industrial coatings in North America by revenue, behind Northbridge Chemical and Calder Specialty, and the second-largest in specialty adhesives. Coatings is a commodity business with a service layer; adhesives is formulation work with switching costs measured in requalification time.</w:t>
      </w:r>
    </w:p>
    <w:p>
      <w:pPr>
        <w:pStyle w:val="Heading3"/>
      </w:pPr>
      <w:r>
        <w:rPr>
          <w:b w:val="0"/>
          <w:i w:val="0"/>
        </w:rPr>
        <w:t>Porter's five forces</w:t>
      </w:r>
    </w:p>
    <w:tbl>
      <w:tblPr>
        <w:tblW w:type="auto" w:w="0"/>
        <w:jc w:val="center"/>
        <w:tblLayout w:type="autofit"/>
        <w:tblLook w:firstColumn="1" w:firstRow="1" w:lastColumn="0" w:lastRow="0" w:noHBand="0" w:noVBand="1" w:val="04A0"/>
        <w:tblBorders>
          <w:top w:val="single" w:sz="4" w:color="D8D8D8"/>
          <w:left w:val="single" w:sz="4" w:color="D8D8D8"/>
          <w:bottom w:val="single" w:sz="4" w:color="D8D8D8"/>
          <w:right w:val="single" w:sz="4" w:color="D8D8D8"/>
          <w:insideH w:val="single" w:sz="4" w:color="D8D8D8"/>
          <w:insideV w:val="single" w:sz="4" w:color="D8D8D8"/>
        </w:tblBorders>
      </w:tblPr>
      <w:tblGrid>
        <w:gridCol w:w="3216"/>
        <w:gridCol w:w="3216"/>
        <w:gridCol w:w="3216"/>
      </w:tblGrid>
      <w:tr>
        <w:tc>
          <w:tcPr>
            <w:tcW w:type="dxa" w:w="3216"/>
            <w:shd w:val="clear" w:fill="F2F2F2"/>
          </w:tcPr>
          <w:p>
            <w:r/>
            <w:r>
              <w:rPr>
                <w:b/>
                <w:sz w:val="17"/>
              </w:rPr>
              <w:t>Force</w:t>
            </w:r>
          </w:p>
        </w:tc>
        <w:tc>
          <w:tcPr>
            <w:tcW w:type="dxa" w:w="3216"/>
            <w:shd w:val="clear" w:fill="F2F2F2"/>
          </w:tcPr>
          <w:p>
            <w:r/>
            <w:r>
              <w:rPr>
                <w:b/>
                <w:sz w:val="17"/>
              </w:rPr>
              <w:t>Strength</w:t>
            </w:r>
          </w:p>
        </w:tc>
        <w:tc>
          <w:tcPr>
            <w:tcW w:type="dxa" w:w="3216"/>
            <w:shd w:val="clear" w:fill="F2F2F2"/>
          </w:tcPr>
          <w:p>
            <w:r/>
            <w:r>
              <w:rPr>
                <w:b/>
                <w:sz w:val="17"/>
              </w:rPr>
              <w:t>Evidence</w:t>
            </w:r>
          </w:p>
        </w:tc>
      </w:tr>
      <w:tr>
        <w:tc>
          <w:tcPr>
            <w:tcW w:type="dxa" w:w="3216"/>
          </w:tcPr>
          <w:p>
            <w:pPr>
              <w:spacing w:after="20"/>
            </w:pPr>
            <w:r>
              <w:rPr>
                <w:sz w:val="17"/>
              </w:rPr>
            </w:r>
            <w:r>
              <w:rPr>
                <w:b w:val="0"/>
                <w:i w:val="0"/>
                <w:sz w:val="17"/>
              </w:rPr>
              <w:t>Rivalry</w:t>
            </w:r>
          </w:p>
        </w:tc>
        <w:tc>
          <w:tcPr>
            <w:tcW w:type="dxa" w:w="3216"/>
          </w:tcPr>
          <w:p>
            <w:pPr>
              <w:spacing w:after="20"/>
            </w:pPr>
            <w:r>
              <w:rPr>
                <w:sz w:val="17"/>
              </w:rPr>
            </w:r>
            <w:r>
              <w:rPr>
                <w:b w:val="0"/>
                <w:i w:val="0"/>
                <w:sz w:val="17"/>
              </w:rPr>
              <w:t>High in coatings, moderate in adhesives</w:t>
            </w:r>
          </w:p>
        </w:tc>
        <w:tc>
          <w:tcPr>
            <w:tcW w:type="dxa" w:w="3216"/>
          </w:tcPr>
          <w:p>
            <w:pPr>
              <w:spacing w:after="20"/>
            </w:pPr>
            <w:r>
              <w:rPr>
                <w:sz w:val="17"/>
              </w:rPr>
            </w:r>
            <w:r>
              <w:rPr>
                <w:b w:val="0"/>
                <w:i w:val="0"/>
                <w:sz w:val="17"/>
              </w:rPr>
              <w:t>Four suppliers hold 71% of the coatings market and price on annual contracts; adhesives contracts run three to five years with requalification of six to nine months</w:t>
            </w:r>
          </w:p>
        </w:tc>
      </w:tr>
      <w:tr>
        <w:tc>
          <w:tcPr>
            <w:tcW w:type="dxa" w:w="3216"/>
          </w:tcPr>
          <w:p>
            <w:pPr>
              <w:spacing w:after="20"/>
            </w:pPr>
            <w:r>
              <w:rPr>
                <w:sz w:val="17"/>
              </w:rPr>
            </w:r>
            <w:r>
              <w:rPr>
                <w:b w:val="0"/>
                <w:i w:val="0"/>
                <w:sz w:val="17"/>
              </w:rPr>
              <w:t>Buyer power</w:t>
            </w:r>
          </w:p>
        </w:tc>
        <w:tc>
          <w:tcPr>
            <w:tcW w:type="dxa" w:w="3216"/>
          </w:tcPr>
          <w:p>
            <w:pPr>
              <w:spacing w:after="20"/>
            </w:pPr>
            <w:r>
              <w:rPr>
                <w:sz w:val="17"/>
              </w:rPr>
            </w:r>
            <w:r>
              <w:rPr>
                <w:b w:val="0"/>
                <w:i w:val="0"/>
                <w:sz w:val="17"/>
              </w:rPr>
              <w:t>High</w:t>
            </w:r>
          </w:p>
        </w:tc>
        <w:tc>
          <w:tcPr>
            <w:tcW w:type="dxa" w:w="3216"/>
          </w:tcPr>
          <w:p>
            <w:pPr>
              <w:spacing w:after="20"/>
            </w:pPr>
            <w:r>
              <w:rPr>
                <w:sz w:val="17"/>
              </w:rPr>
            </w:r>
            <w:r>
              <w:rPr>
                <w:b w:val="0"/>
                <w:i w:val="0"/>
                <w:sz w:val="17"/>
              </w:rPr>
              <w:t>The three largest coatings customers are 21% of segment revenue and negotiate annually</w:t>
            </w:r>
          </w:p>
        </w:tc>
      </w:tr>
      <w:tr>
        <w:tc>
          <w:tcPr>
            <w:tcW w:type="dxa" w:w="3216"/>
          </w:tcPr>
          <w:p>
            <w:pPr>
              <w:spacing w:after="20"/>
            </w:pPr>
            <w:r>
              <w:rPr>
                <w:sz w:val="17"/>
              </w:rPr>
            </w:r>
            <w:r>
              <w:rPr>
                <w:b w:val="0"/>
                <w:i w:val="0"/>
                <w:sz w:val="17"/>
              </w:rPr>
              <w:t>Supplier power</w:t>
            </w:r>
          </w:p>
        </w:tc>
        <w:tc>
          <w:tcPr>
            <w:tcW w:type="dxa" w:w="3216"/>
          </w:tcPr>
          <w:p>
            <w:pPr>
              <w:spacing w:after="20"/>
            </w:pPr>
            <w:r>
              <w:rPr>
                <w:sz w:val="17"/>
              </w:rPr>
            </w:r>
            <w:r>
              <w:rPr>
                <w:b w:val="0"/>
                <w:i w:val="0"/>
                <w:sz w:val="17"/>
              </w:rPr>
              <w:t>Moderate</w:t>
            </w:r>
          </w:p>
        </w:tc>
        <w:tc>
          <w:tcPr>
            <w:tcW w:type="dxa" w:w="3216"/>
          </w:tcPr>
          <w:p>
            <w:pPr>
              <w:spacing w:after="20"/>
            </w:pPr>
            <w:r>
              <w:rPr>
                <w:sz w:val="17"/>
              </w:rPr>
            </w:r>
            <w:r>
              <w:rPr>
                <w:b w:val="0"/>
                <w:i w:val="0"/>
                <w:sz w:val="17"/>
              </w:rPr>
              <w:t>Two resin inputs are 34% of cost of goods and both have three or more suppliers</w:t>
            </w:r>
          </w:p>
        </w:tc>
      </w:tr>
      <w:tr>
        <w:tc>
          <w:tcPr>
            <w:tcW w:type="dxa" w:w="3216"/>
          </w:tcPr>
          <w:p>
            <w:pPr>
              <w:spacing w:after="20"/>
            </w:pPr>
            <w:r>
              <w:rPr>
                <w:sz w:val="17"/>
              </w:rPr>
            </w:r>
            <w:r>
              <w:rPr>
                <w:b w:val="0"/>
                <w:i w:val="0"/>
                <w:sz w:val="17"/>
              </w:rPr>
              <w:t>New entrants</w:t>
            </w:r>
          </w:p>
        </w:tc>
        <w:tc>
          <w:tcPr>
            <w:tcW w:type="dxa" w:w="3216"/>
          </w:tcPr>
          <w:p>
            <w:pPr>
              <w:spacing w:after="20"/>
            </w:pPr>
            <w:r>
              <w:rPr>
                <w:sz w:val="17"/>
              </w:rPr>
            </w:r>
            <w:r>
              <w:rPr>
                <w:b w:val="0"/>
                <w:i w:val="0"/>
                <w:sz w:val="17"/>
              </w:rPr>
              <w:t>Low</w:t>
            </w:r>
          </w:p>
        </w:tc>
        <w:tc>
          <w:tcPr>
            <w:tcW w:type="dxa" w:w="3216"/>
          </w:tcPr>
          <w:p>
            <w:pPr>
              <w:spacing w:after="20"/>
            </w:pPr>
            <w:r>
              <w:rPr>
                <w:sz w:val="17"/>
              </w:rPr>
            </w:r>
            <w:r>
              <w:rPr>
                <w:b w:val="0"/>
                <w:i w:val="0"/>
                <w:sz w:val="17"/>
              </w:rPr>
              <w:t>A coatings line costs roughly $180m and takes two years to permit</w:t>
            </w:r>
          </w:p>
        </w:tc>
      </w:tr>
      <w:tr>
        <w:tc>
          <w:tcPr>
            <w:tcW w:type="dxa" w:w="3216"/>
          </w:tcPr>
          <w:p>
            <w:pPr>
              <w:spacing w:after="20"/>
            </w:pPr>
            <w:r>
              <w:rPr>
                <w:sz w:val="17"/>
              </w:rPr>
            </w:r>
            <w:r>
              <w:rPr>
                <w:b w:val="0"/>
                <w:i w:val="0"/>
                <w:sz w:val="17"/>
              </w:rPr>
              <w:t>Substitutes</w:t>
            </w:r>
          </w:p>
        </w:tc>
        <w:tc>
          <w:tcPr>
            <w:tcW w:type="dxa" w:w="3216"/>
          </w:tcPr>
          <w:p>
            <w:pPr>
              <w:spacing w:after="20"/>
            </w:pPr>
            <w:r>
              <w:rPr>
                <w:sz w:val="17"/>
              </w:rPr>
            </w:r>
            <w:r>
              <w:rPr>
                <w:b w:val="0"/>
                <w:i w:val="0"/>
                <w:sz w:val="17"/>
              </w:rPr>
              <w:t>Low in adhesives, moderate in coatings</w:t>
            </w:r>
          </w:p>
        </w:tc>
        <w:tc>
          <w:tcPr>
            <w:tcW w:type="dxa" w:w="3216"/>
          </w:tcPr>
          <w:p>
            <w:pPr>
              <w:spacing w:after="20"/>
            </w:pPr>
            <w:r>
              <w:rPr>
                <w:sz w:val="17"/>
              </w:rPr>
            </w:r>
            <w:r>
              <w:rPr>
                <w:b w:val="0"/>
                <w:i w:val="0"/>
                <w:sz w:val="17"/>
              </w:rPr>
              <w:t>Mechanical fastening substitutes for adhesives at a weight penalty; powder coatings substitute for liquid in some applications</w:t>
            </w:r>
          </w:p>
        </w:tc>
      </w:tr>
    </w:tbl>
    <w:p>
      <w:pPr>
        <w:spacing w:after="40"/>
      </w:pPr>
    </w:p>
    <w:p>
      <w:pPr>
        <w:pStyle w:val="Heading3"/>
      </w:pPr>
      <w:r>
        <w:rPr>
          <w:b w:val="0"/>
          <w:i w:val="0"/>
        </w:rPr>
        <w:t>Unit economics against peers</w:t>
      </w:r>
    </w:p>
    <w:tbl>
      <w:tblPr>
        <w:tblW w:type="auto" w:w="0"/>
        <w:jc w:val="center"/>
        <w:tblLayout w:type="autofit"/>
        <w:tblLook w:firstColumn="1" w:firstRow="1" w:lastColumn="0" w:lastRow="0" w:noHBand="0" w:noVBand="1" w:val="04A0"/>
        <w:tblBorders>
          <w:top w:val="single" w:sz="4" w:color="D8D8D8"/>
          <w:left w:val="single" w:sz="4" w:color="D8D8D8"/>
          <w:bottom w:val="single" w:sz="4" w:color="D8D8D8"/>
          <w:right w:val="single" w:sz="4" w:color="D8D8D8"/>
          <w:insideH w:val="single" w:sz="4" w:color="D8D8D8"/>
          <w:insideV w:val="single" w:sz="4" w:color="D8D8D8"/>
        </w:tblBorders>
      </w:tblPr>
      <w:tblGrid>
        <w:gridCol w:w="2412"/>
        <w:gridCol w:w="2412"/>
        <w:gridCol w:w="2412"/>
        <w:gridCol w:w="2412"/>
      </w:tblGrid>
      <w:tr>
        <w:tc>
          <w:tcPr>
            <w:tcW w:type="dxa" w:w="2412"/>
            <w:shd w:val="clear" w:fill="F2F2F2"/>
          </w:tcPr>
          <w:p>
            <w:r/>
            <w:r>
              <w:rPr>
                <w:b/>
                <w:sz w:val="17"/>
              </w:rPr>
              <w:t>Company</w:t>
            </w:r>
          </w:p>
        </w:tc>
        <w:tc>
          <w:tcPr>
            <w:tcW w:type="dxa" w:w="2412"/>
            <w:shd w:val="clear" w:fill="F2F2F2"/>
          </w:tcPr>
          <w:p>
            <w:r/>
            <w:r>
              <w:rPr>
                <w:b/>
                <w:sz w:val="17"/>
              </w:rPr>
              <w:t>Operating margin</w:t>
            </w:r>
          </w:p>
        </w:tc>
        <w:tc>
          <w:tcPr>
            <w:tcW w:type="dxa" w:w="2412"/>
            <w:shd w:val="clear" w:fill="F2F2F2"/>
          </w:tcPr>
          <w:p>
            <w:r/>
            <w:r>
              <w:rPr>
                <w:b/>
                <w:sz w:val="17"/>
              </w:rPr>
              <w:t>ROIC</w:t>
            </w:r>
          </w:p>
        </w:tc>
        <w:tc>
          <w:tcPr>
            <w:tcW w:type="dxa" w:w="2412"/>
            <w:shd w:val="clear" w:fill="F2F2F2"/>
          </w:tcPr>
          <w:p>
            <w:r/>
            <w:r>
              <w:rPr>
                <w:b/>
                <w:sz w:val="17"/>
              </w:rPr>
              <w:t>Revenue per employee</w:t>
            </w:r>
          </w:p>
        </w:tc>
      </w:tr>
      <w:tr>
        <w:tc>
          <w:tcPr>
            <w:tcW w:type="dxa" w:w="2412"/>
          </w:tcPr>
          <w:p>
            <w:pPr>
              <w:spacing w:after="20"/>
            </w:pPr>
            <w:r>
              <w:rPr>
                <w:sz w:val="17"/>
              </w:rPr>
            </w:r>
            <w:r>
              <w:rPr>
                <w:b w:val="0"/>
                <w:i w:val="0"/>
                <w:sz w:val="17"/>
              </w:rPr>
              <w:t>Acme Materials</w:t>
            </w:r>
          </w:p>
        </w:tc>
        <w:tc>
          <w:tcPr>
            <w:tcW w:type="dxa" w:w="2412"/>
          </w:tcPr>
          <w:p>
            <w:pPr>
              <w:spacing w:after="20"/>
            </w:pPr>
            <w:r>
              <w:rPr>
                <w:sz w:val="17"/>
              </w:rPr>
            </w:r>
            <w:r>
              <w:rPr>
                <w:b w:val="0"/>
                <w:i w:val="0"/>
                <w:sz w:val="17"/>
              </w:rPr>
              <w:t>19.3%</w:t>
            </w:r>
          </w:p>
        </w:tc>
        <w:tc>
          <w:tcPr>
            <w:tcW w:type="dxa" w:w="2412"/>
          </w:tcPr>
          <w:p>
            <w:pPr>
              <w:spacing w:after="20"/>
            </w:pPr>
            <w:r>
              <w:rPr>
                <w:sz w:val="17"/>
              </w:rPr>
            </w:r>
            <w:r>
              <w:rPr>
                <w:b w:val="0"/>
                <w:i w:val="0"/>
                <w:sz w:val="17"/>
              </w:rPr>
              <w:t>16.4%</w:t>
            </w:r>
          </w:p>
        </w:tc>
        <w:tc>
          <w:tcPr>
            <w:tcW w:type="dxa" w:w="2412"/>
          </w:tcPr>
          <w:p>
            <w:pPr>
              <w:spacing w:after="20"/>
            </w:pPr>
            <w:r>
              <w:rPr>
                <w:sz w:val="17"/>
              </w:rPr>
            </w:r>
            <w:r>
              <w:rPr>
                <w:b w:val="0"/>
                <w:i w:val="0"/>
                <w:sz w:val="17"/>
              </w:rPr>
              <w:t>$612k</w:t>
            </w:r>
          </w:p>
        </w:tc>
      </w:tr>
      <w:tr>
        <w:tc>
          <w:tcPr>
            <w:tcW w:type="dxa" w:w="2412"/>
          </w:tcPr>
          <w:p>
            <w:pPr>
              <w:spacing w:after="20"/>
            </w:pPr>
            <w:r>
              <w:rPr>
                <w:sz w:val="17"/>
              </w:rPr>
            </w:r>
            <w:r>
              <w:rPr>
                <w:b w:val="0"/>
                <w:i w:val="0"/>
                <w:sz w:val="17"/>
              </w:rPr>
              <w:t>Northbridge Chemical</w:t>
            </w:r>
          </w:p>
        </w:tc>
        <w:tc>
          <w:tcPr>
            <w:tcW w:type="dxa" w:w="2412"/>
          </w:tcPr>
          <w:p>
            <w:pPr>
              <w:spacing w:after="20"/>
            </w:pPr>
            <w:r>
              <w:rPr>
                <w:sz w:val="17"/>
              </w:rPr>
            </w:r>
            <w:r>
              <w:rPr>
                <w:b w:val="0"/>
                <w:i w:val="0"/>
                <w:sz w:val="17"/>
              </w:rPr>
              <w:t>16.1%</w:t>
            </w:r>
          </w:p>
        </w:tc>
        <w:tc>
          <w:tcPr>
            <w:tcW w:type="dxa" w:w="2412"/>
          </w:tcPr>
          <w:p>
            <w:pPr>
              <w:spacing w:after="20"/>
            </w:pPr>
            <w:r>
              <w:rPr>
                <w:sz w:val="17"/>
              </w:rPr>
            </w:r>
            <w:r>
              <w:rPr>
                <w:b w:val="0"/>
                <w:i w:val="0"/>
                <w:sz w:val="17"/>
              </w:rPr>
              <w:t>12.8%</w:t>
            </w:r>
          </w:p>
        </w:tc>
        <w:tc>
          <w:tcPr>
            <w:tcW w:type="dxa" w:w="2412"/>
          </w:tcPr>
          <w:p>
            <w:pPr>
              <w:spacing w:after="20"/>
            </w:pPr>
            <w:r>
              <w:rPr>
                <w:sz w:val="17"/>
              </w:rPr>
            </w:r>
            <w:r>
              <w:rPr>
                <w:b w:val="0"/>
                <w:i w:val="0"/>
                <w:sz w:val="17"/>
              </w:rPr>
              <w:t>$548k</w:t>
            </w:r>
          </w:p>
        </w:tc>
      </w:tr>
      <w:tr>
        <w:tc>
          <w:tcPr>
            <w:tcW w:type="dxa" w:w="2412"/>
          </w:tcPr>
          <w:p>
            <w:pPr>
              <w:spacing w:after="20"/>
            </w:pPr>
            <w:r>
              <w:rPr>
                <w:sz w:val="17"/>
              </w:rPr>
            </w:r>
            <w:r>
              <w:rPr>
                <w:b w:val="0"/>
                <w:i w:val="0"/>
                <w:sz w:val="17"/>
              </w:rPr>
              <w:t>Calder Specialty</w:t>
            </w:r>
          </w:p>
        </w:tc>
        <w:tc>
          <w:tcPr>
            <w:tcW w:type="dxa" w:w="2412"/>
          </w:tcPr>
          <w:p>
            <w:pPr>
              <w:spacing w:after="20"/>
            </w:pPr>
            <w:r>
              <w:rPr>
                <w:sz w:val="17"/>
              </w:rPr>
            </w:r>
            <w:r>
              <w:rPr>
                <w:b w:val="0"/>
                <w:i w:val="0"/>
                <w:sz w:val="17"/>
              </w:rPr>
              <w:t>21.4%</w:t>
            </w:r>
          </w:p>
        </w:tc>
        <w:tc>
          <w:tcPr>
            <w:tcW w:type="dxa" w:w="2412"/>
          </w:tcPr>
          <w:p>
            <w:pPr>
              <w:spacing w:after="20"/>
            </w:pPr>
            <w:r>
              <w:rPr>
                <w:sz w:val="17"/>
              </w:rPr>
            </w:r>
            <w:r>
              <w:rPr>
                <w:b w:val="0"/>
                <w:i w:val="0"/>
                <w:sz w:val="17"/>
              </w:rPr>
              <w:t>18.2%</w:t>
            </w:r>
          </w:p>
        </w:tc>
        <w:tc>
          <w:tcPr>
            <w:tcW w:type="dxa" w:w="2412"/>
          </w:tcPr>
          <w:p>
            <w:pPr>
              <w:spacing w:after="20"/>
            </w:pPr>
            <w:r>
              <w:rPr>
                <w:sz w:val="17"/>
              </w:rPr>
            </w:r>
            <w:r>
              <w:rPr>
                <w:b w:val="0"/>
                <w:i w:val="0"/>
                <w:sz w:val="17"/>
              </w:rPr>
              <w:t>$703k</w:t>
            </w:r>
          </w:p>
        </w:tc>
      </w:tr>
      <w:tr>
        <w:tc>
          <w:tcPr>
            <w:tcW w:type="dxa" w:w="2412"/>
          </w:tcPr>
          <w:p>
            <w:pPr>
              <w:spacing w:after="20"/>
            </w:pPr>
            <w:r>
              <w:rPr>
                <w:sz w:val="17"/>
              </w:rPr>
            </w:r>
            <w:r>
              <w:rPr>
                <w:b w:val="0"/>
                <w:i w:val="0"/>
                <w:sz w:val="17"/>
              </w:rPr>
              <w:t>Ferro-Lane Industries</w:t>
            </w:r>
          </w:p>
        </w:tc>
        <w:tc>
          <w:tcPr>
            <w:tcW w:type="dxa" w:w="2412"/>
          </w:tcPr>
          <w:p>
            <w:pPr>
              <w:spacing w:after="20"/>
            </w:pPr>
            <w:r>
              <w:rPr>
                <w:sz w:val="17"/>
              </w:rPr>
            </w:r>
            <w:r>
              <w:rPr>
                <w:b w:val="0"/>
                <w:i w:val="0"/>
                <w:sz w:val="17"/>
              </w:rPr>
              <w:t>12.7%</w:t>
            </w:r>
          </w:p>
        </w:tc>
        <w:tc>
          <w:tcPr>
            <w:tcW w:type="dxa" w:w="2412"/>
          </w:tcPr>
          <w:p>
            <w:pPr>
              <w:spacing w:after="20"/>
            </w:pPr>
            <w:r>
              <w:rPr>
                <w:sz w:val="17"/>
              </w:rPr>
            </w:r>
            <w:r>
              <w:rPr>
                <w:b w:val="0"/>
                <w:i w:val="0"/>
                <w:sz w:val="17"/>
              </w:rPr>
              <w:t>9.4%</w:t>
            </w:r>
          </w:p>
        </w:tc>
        <w:tc>
          <w:tcPr>
            <w:tcW w:type="dxa" w:w="2412"/>
          </w:tcPr>
          <w:p>
            <w:pPr>
              <w:spacing w:after="20"/>
            </w:pPr>
            <w:r>
              <w:rPr>
                <w:sz w:val="17"/>
              </w:rPr>
            </w:r>
            <w:r>
              <w:rPr>
                <w:b w:val="0"/>
                <w:i w:val="0"/>
                <w:sz w:val="17"/>
              </w:rPr>
              <w:t>$471k</w:t>
            </w:r>
          </w:p>
        </w:tc>
      </w:tr>
    </w:tbl>
    <w:p>
      <w:pPr>
        <w:spacing w:after="40"/>
      </w:pPr>
    </w:p>
    <w:p>
      <w:r>
        <w:rPr>
          <w:b w:val="0"/>
          <w:i w:val="0"/>
        </w:rPr>
        <w:t>Acme sits between Northbridge and Calder on every measure, which is consistent with a mix that is two thirds commodity and one third formulation. Calder's premium is a purer adhesives book.</w:t>
      </w:r>
    </w:p>
    <w:p>
      <w:pPr>
        <w:pStyle w:val="Heading3"/>
      </w:pPr>
      <w:r>
        <w:rPr>
          <w:b w:val="0"/>
          <w:i w:val="0"/>
        </w:rPr>
        <w:t>Structural change</w:t>
      </w:r>
    </w:p>
    <w:p>
      <w:r>
        <w:rPr>
          <w:b w:val="0"/>
          <w:i w:val="0"/>
        </w:rPr>
        <w:t>Two things are moving. Regulation on volatile organic compounds tightens in three states in 2027 and favours the water-based formulations Acme already sells, worth perhaps 1% of coatings revenue at a better margin. And two large coatings customers have publicly said they are evaluating insourcing, which is the specific risk the bear case is built on.</w:t>
      </w:r>
    </w:p>
    <w:p>
      <w:r>
        <w:br w:type="page"/>
      </w:r>
    </w:p>
    <w:p>
      <w:pPr>
        <w:pStyle w:val="Heading1"/>
      </w:pPr>
      <w:r>
        <w:t>Valuation — base case</w:t>
      </w:r>
    </w:p>
    <w:p>
      <w:pPr>
        <w:spacing w:after="200"/>
      </w:pPr>
      <w:r>
        <w:rPr>
          <w:color w:val="6B6B6B"/>
          <w:sz w:val="17"/>
        </w:rPr>
        <w:t>Stage 2 · Opus · valuation.md</w:t>
      </w:r>
    </w:p>
    <w:p>
      <w:pPr>
        <w:pStyle w:val="Heading2"/>
      </w:pPr>
      <w:r>
        <w:rPr>
          <w:b w:val="0"/>
          <w:i w:val="0"/>
        </w:rPr>
        <w:t>Valuation — ACME</w:t>
      </w:r>
    </w:p>
    <w:p>
      <w:r>
        <w:rPr>
          <w:b w:val="0"/>
          <w:i w:val="0"/>
        </w:rPr>
        <w:t xml:space="preserve">Every figure below is invented. See </w:t>
      </w:r>
      <w:r>
        <w:rPr>
          <w:rFonts w:ascii="Consolas" w:hAnsi="Consolas"/>
          <w:b w:val="0"/>
          <w:i w:val="0"/>
          <w:sz w:val="18"/>
        </w:rPr>
        <w:t>run.md</w:t>
      </w:r>
      <w:r>
        <w:rPr>
          <w:b w:val="0"/>
          <w:i w:val="0"/>
        </w:rPr>
        <w:t xml:space="preserve">. The numbers are also in </w:t>
      </w:r>
      <w:r>
        <w:rPr>
          <w:rFonts w:ascii="Consolas" w:hAnsi="Consolas"/>
          <w:b w:val="0"/>
          <w:i w:val="0"/>
          <w:sz w:val="18"/>
        </w:rPr>
        <w:t>model.py</w:t>
      </w:r>
      <w:r>
        <w:rPr>
          <w:b w:val="0"/>
          <w:i w:val="0"/>
        </w:rPr>
        <w:t>, which is what the workbook and the report read.</w:t>
      </w:r>
    </w:p>
    <w:p>
      <w:pPr>
        <w:pStyle w:val="Heading3"/>
      </w:pPr>
      <w:r>
        <w:rPr>
          <w:b w:val="0"/>
          <w:i w:val="0"/>
        </w:rPr>
        <w:t>Method</w:t>
      </w:r>
    </w:p>
    <w:p>
      <w:r>
        <w:rPr>
          <w:b w:val="0"/>
          <w:i w:val="0"/>
        </w:rPr>
        <w:t>Discounted free cash flow to the firm as primary, comparable multiples as secondary. Ten explicit forecast years, mid-year discounting, no stub because fiscal 2025 closed on 2025-12-31. Terminal value by perpetuity growth at 2.5% with terminal reinvestment at growth over return on new capital, 2.5% / 14.0% = 17.9%. Reverse discounted cash flow as a check.</w:t>
      </w:r>
    </w:p>
    <w:p>
      <w:pPr>
        <w:pStyle w:val="Heading3"/>
      </w:pPr>
      <w:r>
        <w:rPr>
          <w:b w:val="0"/>
          <w:i w:val="0"/>
        </w:rPr>
        <w:t>Cost of capital</w:t>
      </w:r>
    </w:p>
    <w:p>
      <w:r>
        <w:rPr>
          <w:b w:val="0"/>
          <w:i w:val="0"/>
        </w:rPr>
        <w:t>WACC of 8.50%. Cost of equity 9.30% from a 4.20% ten-year Treasury, a 5.0% equity risk premium and a five-year monthly beta of 1.02. After-tax cost of debt 3.6% at 24% of total capital, on the existing coupon schedule rather than a marginal rate.</w:t>
      </w:r>
    </w:p>
    <w:p>
      <w:pPr>
        <w:pStyle w:val="Heading3"/>
      </w:pPr>
      <w:r>
        <w:rPr>
          <w:b w:val="0"/>
          <w:i w:val="0"/>
        </w:rPr>
        <w:t>Forecast</w:t>
      </w:r>
    </w:p>
    <w:p>
      <w:r>
        <w:rPr>
          <w:b w:val="0"/>
          <w:i w:val="0"/>
        </w:rPr>
        <w:t>Revenue grows 5.0% for three years, fading to 3.0% by FY2032, which is below the 5.5% ten-year history and consistent with the guidance cut in October. Operating margin holds at 19.6%, up 30bp from FY2025 on the water-based mix and no better. Capital expenditure runs 5.0% of revenue, against 5.1% over the past five years. Free cash flow grows from $1,440m to $2,115m, a 4.4% compound rate.</w:t>
      </w:r>
    </w:p>
    <w:p>
      <w:pPr>
        <w:pStyle w:val="Heading3"/>
      </w:pPr>
      <w:r>
        <w:rPr>
          <w:b w:val="0"/>
          <w:i w:val="0"/>
        </w:rPr>
        <w:t>Result</w:t>
      </w:r>
    </w:p>
    <w:tbl>
      <w:tblPr>
        <w:tblW w:type="auto" w:w="0"/>
        <w:jc w:val="center"/>
        <w:tblLayout w:type="autofit"/>
        <w:tblLook w:firstColumn="1" w:firstRow="1" w:lastColumn="0" w:lastRow="0" w:noHBand="0" w:noVBand="1" w:val="04A0"/>
        <w:tblBorders>
          <w:top w:val="single" w:sz="4" w:color="D8D8D8"/>
          <w:left w:val="single" w:sz="4" w:color="D8D8D8"/>
          <w:bottom w:val="single" w:sz="4" w:color="D8D8D8"/>
          <w:right w:val="single" w:sz="4" w:color="D8D8D8"/>
          <w:insideH w:val="single" w:sz="4" w:color="D8D8D8"/>
          <w:insideV w:val="single" w:sz="4" w:color="D8D8D8"/>
        </w:tblBorders>
      </w:tblPr>
      <w:tblGrid>
        <w:gridCol w:w="4824"/>
        <w:gridCol w:w="4824"/>
      </w:tblGrid>
      <w:tr>
        <w:tc>
          <w:tcPr>
            <w:tcW w:type="dxa" w:w="4824"/>
            <w:shd w:val="clear" w:fill="F2F2F2"/>
          </w:tcPr>
          <w:p>
            <w:r/>
            <w:r>
              <w:rPr>
                <w:b/>
                <w:sz w:val="17"/>
              </w:rPr>
              <w:t>Item</w:t>
            </w:r>
          </w:p>
        </w:tc>
        <w:tc>
          <w:tcPr>
            <w:tcW w:type="dxa" w:w="4824"/>
            <w:shd w:val="clear" w:fill="F2F2F2"/>
          </w:tcPr>
          <w:p>
            <w:r/>
            <w:r>
              <w:rPr>
                <w:b/>
                <w:sz w:val="17"/>
              </w:rPr>
              <w:t>Value</w:t>
            </w:r>
          </w:p>
        </w:tc>
      </w:tr>
      <w:tr>
        <w:tc>
          <w:tcPr>
            <w:tcW w:type="dxa" w:w="4824"/>
          </w:tcPr>
          <w:p>
            <w:pPr>
              <w:spacing w:after="20"/>
            </w:pPr>
            <w:r>
              <w:rPr>
                <w:sz w:val="17"/>
              </w:rPr>
            </w:r>
            <w:r>
              <w:rPr>
                <w:b w:val="0"/>
                <w:i w:val="0"/>
                <w:sz w:val="17"/>
              </w:rPr>
              <w:t>PV of forecast cash flow</w:t>
            </w:r>
          </w:p>
        </w:tc>
        <w:tc>
          <w:tcPr>
            <w:tcW w:type="dxa" w:w="4824"/>
          </w:tcPr>
          <w:p>
            <w:pPr>
              <w:spacing w:after="20"/>
            </w:pPr>
            <w:r>
              <w:rPr>
                <w:sz w:val="17"/>
              </w:rPr>
            </w:r>
            <w:r>
              <w:rPr>
                <w:b w:val="0"/>
                <w:i w:val="0"/>
                <w:sz w:val="17"/>
              </w:rPr>
              <w:t>$12,092m</w:t>
            </w:r>
          </w:p>
        </w:tc>
      </w:tr>
      <w:tr>
        <w:tc>
          <w:tcPr>
            <w:tcW w:type="dxa" w:w="4824"/>
          </w:tcPr>
          <w:p>
            <w:pPr>
              <w:spacing w:after="20"/>
            </w:pPr>
            <w:r>
              <w:rPr>
                <w:sz w:val="17"/>
              </w:rPr>
            </w:r>
            <w:r>
              <w:rPr>
                <w:b w:val="0"/>
                <w:i w:val="0"/>
                <w:sz w:val="17"/>
              </w:rPr>
              <w:t>Terminal value</w:t>
            </w:r>
          </w:p>
        </w:tc>
        <w:tc>
          <w:tcPr>
            <w:tcW w:type="dxa" w:w="4824"/>
          </w:tcPr>
          <w:p>
            <w:pPr>
              <w:spacing w:after="20"/>
            </w:pPr>
            <w:r>
              <w:rPr>
                <w:sz w:val="17"/>
              </w:rPr>
            </w:r>
            <w:r>
              <w:rPr>
                <w:b w:val="0"/>
                <w:i w:val="0"/>
                <w:sz w:val="17"/>
              </w:rPr>
              <w:t>$36,131m</w:t>
            </w:r>
          </w:p>
        </w:tc>
      </w:tr>
      <w:tr>
        <w:tc>
          <w:tcPr>
            <w:tcW w:type="dxa" w:w="4824"/>
          </w:tcPr>
          <w:p>
            <w:pPr>
              <w:spacing w:after="20"/>
            </w:pPr>
            <w:r>
              <w:rPr>
                <w:sz w:val="17"/>
              </w:rPr>
            </w:r>
            <w:r>
              <w:rPr>
                <w:b w:val="0"/>
                <w:i w:val="0"/>
                <w:sz w:val="17"/>
              </w:rPr>
              <w:t>PV of terminal value</w:t>
            </w:r>
          </w:p>
        </w:tc>
        <w:tc>
          <w:tcPr>
            <w:tcW w:type="dxa" w:w="4824"/>
          </w:tcPr>
          <w:p>
            <w:pPr>
              <w:spacing w:after="20"/>
            </w:pPr>
            <w:r>
              <w:rPr>
                <w:sz w:val="17"/>
              </w:rPr>
            </w:r>
            <w:r>
              <w:rPr>
                <w:b w:val="0"/>
                <w:i w:val="0"/>
                <w:sz w:val="17"/>
              </w:rPr>
              <w:t>$15,980m</w:t>
            </w:r>
          </w:p>
        </w:tc>
      </w:tr>
      <w:tr>
        <w:tc>
          <w:tcPr>
            <w:tcW w:type="dxa" w:w="4824"/>
          </w:tcPr>
          <w:p>
            <w:pPr>
              <w:spacing w:after="20"/>
            </w:pPr>
            <w:r>
              <w:rPr>
                <w:sz w:val="17"/>
              </w:rPr>
            </w:r>
            <w:r>
              <w:rPr>
                <w:b w:val="0"/>
                <w:i w:val="0"/>
                <w:sz w:val="17"/>
              </w:rPr>
              <w:t>Terminal value share of enterprise value</w:t>
            </w:r>
          </w:p>
        </w:tc>
        <w:tc>
          <w:tcPr>
            <w:tcW w:type="dxa" w:w="4824"/>
          </w:tcPr>
          <w:p>
            <w:pPr>
              <w:spacing w:after="20"/>
            </w:pPr>
            <w:r>
              <w:rPr>
                <w:sz w:val="17"/>
              </w:rPr>
            </w:r>
            <w:r>
              <w:rPr>
                <w:b w:val="0"/>
                <w:i w:val="0"/>
                <w:sz w:val="17"/>
              </w:rPr>
              <w:t>56.9%</w:t>
            </w:r>
          </w:p>
        </w:tc>
      </w:tr>
      <w:tr>
        <w:tc>
          <w:tcPr>
            <w:tcW w:type="dxa" w:w="4824"/>
          </w:tcPr>
          <w:p>
            <w:pPr>
              <w:spacing w:after="20"/>
            </w:pPr>
            <w:r>
              <w:rPr>
                <w:sz w:val="17"/>
              </w:rPr>
            </w:r>
            <w:r>
              <w:rPr>
                <w:b w:val="0"/>
                <w:i w:val="0"/>
                <w:sz w:val="17"/>
              </w:rPr>
              <w:t>Enterprise value</w:t>
            </w:r>
          </w:p>
        </w:tc>
        <w:tc>
          <w:tcPr>
            <w:tcW w:type="dxa" w:w="4824"/>
          </w:tcPr>
          <w:p>
            <w:pPr>
              <w:spacing w:after="20"/>
            </w:pPr>
            <w:r>
              <w:rPr>
                <w:sz w:val="17"/>
              </w:rPr>
            </w:r>
            <w:r>
              <w:rPr>
                <w:b w:val="0"/>
                <w:i w:val="0"/>
                <w:sz w:val="17"/>
              </w:rPr>
              <w:t>$28,072m</w:t>
            </w:r>
          </w:p>
        </w:tc>
      </w:tr>
      <w:tr>
        <w:tc>
          <w:tcPr>
            <w:tcW w:type="dxa" w:w="4824"/>
          </w:tcPr>
          <w:p>
            <w:pPr>
              <w:spacing w:after="20"/>
            </w:pPr>
            <w:r>
              <w:rPr>
                <w:sz w:val="17"/>
              </w:rPr>
            </w:r>
            <w:r>
              <w:rPr>
                <w:b w:val="0"/>
                <w:i w:val="0"/>
                <w:sz w:val="17"/>
              </w:rPr>
              <w:t>Net debt</w:t>
            </w:r>
          </w:p>
        </w:tc>
        <w:tc>
          <w:tcPr>
            <w:tcW w:type="dxa" w:w="4824"/>
          </w:tcPr>
          <w:p>
            <w:pPr>
              <w:spacing w:after="20"/>
            </w:pPr>
            <w:r>
              <w:rPr>
                <w:sz w:val="17"/>
              </w:rPr>
            </w:r>
            <w:r>
              <w:rPr>
                <w:b w:val="0"/>
                <w:i w:val="0"/>
                <w:sz w:val="17"/>
              </w:rPr>
              <w:t>$1,800m</w:t>
            </w:r>
          </w:p>
        </w:tc>
      </w:tr>
      <w:tr>
        <w:tc>
          <w:tcPr>
            <w:tcW w:type="dxa" w:w="4824"/>
          </w:tcPr>
          <w:p>
            <w:pPr>
              <w:spacing w:after="20"/>
            </w:pPr>
            <w:r>
              <w:rPr>
                <w:sz w:val="17"/>
              </w:rPr>
            </w:r>
            <w:r>
              <w:rPr>
                <w:b w:val="0"/>
                <w:i w:val="0"/>
                <w:sz w:val="17"/>
              </w:rPr>
              <w:t>Equity value</w:t>
            </w:r>
          </w:p>
        </w:tc>
        <w:tc>
          <w:tcPr>
            <w:tcW w:type="dxa" w:w="4824"/>
          </w:tcPr>
          <w:p>
            <w:pPr>
              <w:spacing w:after="20"/>
            </w:pPr>
            <w:r>
              <w:rPr>
                <w:sz w:val="17"/>
              </w:rPr>
            </w:r>
            <w:r>
              <w:rPr>
                <w:b w:val="0"/>
                <w:i w:val="0"/>
                <w:sz w:val="17"/>
              </w:rPr>
              <w:t>$26,272m</w:t>
            </w:r>
          </w:p>
        </w:tc>
      </w:tr>
      <w:tr>
        <w:tc>
          <w:tcPr>
            <w:tcW w:type="dxa" w:w="4824"/>
          </w:tcPr>
          <w:p>
            <w:pPr>
              <w:spacing w:after="20"/>
            </w:pPr>
            <w:r>
              <w:rPr>
                <w:sz w:val="17"/>
              </w:rPr>
            </w:r>
            <w:r>
              <w:rPr>
                <w:b w:val="0"/>
                <w:i w:val="0"/>
                <w:sz w:val="17"/>
              </w:rPr>
              <w:t>Value per share</w:t>
            </w:r>
          </w:p>
        </w:tc>
        <w:tc>
          <w:tcPr>
            <w:tcW w:type="dxa" w:w="4824"/>
          </w:tcPr>
          <w:p>
            <w:pPr>
              <w:spacing w:after="20"/>
            </w:pPr>
            <w:r>
              <w:rPr>
                <w:sz w:val="17"/>
              </w:rPr>
            </w:r>
            <w:r>
              <w:rPr>
                <w:b w:val="0"/>
                <w:i w:val="0"/>
                <w:sz w:val="17"/>
              </w:rPr>
              <w:t>$105.09</w:t>
            </w:r>
          </w:p>
        </w:tc>
      </w:tr>
    </w:tbl>
    <w:p>
      <w:pPr>
        <w:spacing w:after="40"/>
      </w:pPr>
    </w:p>
    <w:p>
      <w:r>
        <w:rPr>
          <w:b w:val="0"/>
          <w:i w:val="0"/>
        </w:rPr>
        <w:t>At a WACC of 9.0% with 2.3% terminal growth the value is $94.70; at 8.0% with 2.7% it is $118.16. That range, $95 to $118, is the discounted cash flow row of the football field.</w:t>
      </w:r>
    </w:p>
    <w:p>
      <w:r>
        <w:rPr>
          <w:b w:val="0"/>
          <w:i w:val="0"/>
        </w:rPr>
        <w:t>Comparables give $98 to $126 on a 17.2x to 22.4x forward earnings range against FY2027E EPS of $5.45, with Acme's own ten-year median of 18.2x inside it.</w:t>
      </w:r>
    </w:p>
    <w:p>
      <w:pPr>
        <w:pStyle w:val="Heading3"/>
      </w:pPr>
      <w:r>
        <w:rPr>
          <w:b w:val="0"/>
          <w:i w:val="0"/>
        </w:rPr>
        <w:t>Reverse discounted cash flow</w:t>
      </w:r>
    </w:p>
    <w:p>
      <w:r>
        <w:rPr>
          <w:b w:val="0"/>
          <w:i w:val="0"/>
        </w:rPr>
        <w:t>Holding everything else, the current $100.00 implies terminal growth of 2.05% against 2.50% assumed here, or a WACC of 8.84% against 8.50%. The market is paying for slightly less than this forecast rather than for a different business.</w:t>
      </w:r>
    </w:p>
    <w:p>
      <w:pPr>
        <w:pStyle w:val="Heading3"/>
      </w:pPr>
      <w:r>
        <w:rPr>
          <w:b w:val="0"/>
          <w:i w:val="0"/>
        </w:rPr>
        <w:t>Scenarios</w:t>
      </w:r>
    </w:p>
    <w:tbl>
      <w:tblPr>
        <w:tblW w:type="auto" w:w="0"/>
        <w:jc w:val="center"/>
        <w:tblLayout w:type="autofit"/>
        <w:tblLook w:firstColumn="1" w:firstRow="1" w:lastColumn="0" w:lastRow="0" w:noHBand="0" w:noVBand="1" w:val="04A0"/>
        <w:tblBorders>
          <w:top w:val="single" w:sz="4" w:color="D8D8D8"/>
          <w:left w:val="single" w:sz="4" w:color="D8D8D8"/>
          <w:bottom w:val="single" w:sz="4" w:color="D8D8D8"/>
          <w:right w:val="single" w:sz="4" w:color="D8D8D8"/>
          <w:insideH w:val="single" w:sz="4" w:color="D8D8D8"/>
          <w:insideV w:val="single" w:sz="4" w:color="D8D8D8"/>
        </w:tblBorders>
      </w:tblPr>
      <w:tblGrid>
        <w:gridCol w:w="1930"/>
        <w:gridCol w:w="1930"/>
        <w:gridCol w:w="1930"/>
        <w:gridCol w:w="1930"/>
        <w:gridCol w:w="1930"/>
      </w:tblGrid>
      <w:tr>
        <w:tc>
          <w:tcPr>
            <w:tcW w:type="dxa" w:w="1930"/>
            <w:shd w:val="clear" w:fill="F2F2F2"/>
          </w:tcPr>
          <w:p>
            <w:r/>
            <w:r>
              <w:rPr>
                <w:b/>
                <w:sz w:val="17"/>
              </w:rPr>
              <w:t>Case</w:t>
            </w:r>
          </w:p>
        </w:tc>
        <w:tc>
          <w:tcPr>
            <w:tcW w:type="dxa" w:w="1930"/>
            <w:shd w:val="clear" w:fill="F2F2F2"/>
          </w:tcPr>
          <w:p>
            <w:r/>
            <w:r>
              <w:rPr>
                <w:b/>
                <w:sz w:val="17"/>
              </w:rPr>
              <w:t>Probability</w:t>
            </w:r>
          </w:p>
        </w:tc>
        <w:tc>
          <w:tcPr>
            <w:tcW w:type="dxa" w:w="1930"/>
            <w:shd w:val="clear" w:fill="F2F2F2"/>
          </w:tcPr>
          <w:p>
            <w:r/>
            <w:r>
              <w:rPr>
                <w:b/>
                <w:sz w:val="17"/>
              </w:rPr>
              <w:t>Exit multiple</w:t>
            </w:r>
          </w:p>
        </w:tc>
        <w:tc>
          <w:tcPr>
            <w:tcW w:type="dxa" w:w="1930"/>
            <w:shd w:val="clear" w:fill="F2F2F2"/>
          </w:tcPr>
          <w:p>
            <w:r/>
            <w:r>
              <w:rPr>
                <w:b/>
                <w:sz w:val="17"/>
              </w:rPr>
              <w:t>FY2027E EPS</w:t>
            </w:r>
          </w:p>
        </w:tc>
        <w:tc>
          <w:tcPr>
            <w:tcW w:type="dxa" w:w="1930"/>
            <w:shd w:val="clear" w:fill="F2F2F2"/>
          </w:tcPr>
          <w:p>
            <w:r/>
            <w:r>
              <w:rPr>
                <w:b/>
                <w:sz w:val="17"/>
              </w:rPr>
              <w:t>Target</w:t>
            </w:r>
          </w:p>
        </w:tc>
      </w:tr>
      <w:tr>
        <w:tc>
          <w:tcPr>
            <w:tcW w:type="dxa" w:w="1930"/>
          </w:tcPr>
          <w:p>
            <w:pPr>
              <w:spacing w:after="20"/>
            </w:pPr>
            <w:r>
              <w:rPr>
                <w:sz w:val="17"/>
              </w:rPr>
            </w:r>
            <w:r>
              <w:rPr>
                <w:b w:val="0"/>
                <w:i w:val="0"/>
                <w:sz w:val="17"/>
              </w:rPr>
              <w:t>Bull</w:t>
            </w:r>
          </w:p>
        </w:tc>
        <w:tc>
          <w:tcPr>
            <w:tcW w:type="dxa" w:w="1930"/>
          </w:tcPr>
          <w:p>
            <w:pPr>
              <w:spacing w:after="20"/>
            </w:pPr>
            <w:r>
              <w:rPr>
                <w:sz w:val="17"/>
              </w:rPr>
            </w:r>
            <w:r>
              <w:rPr>
                <w:b w:val="0"/>
                <w:i w:val="0"/>
                <w:sz w:val="17"/>
              </w:rPr>
              <w:t>25%</w:t>
            </w:r>
          </w:p>
        </w:tc>
        <w:tc>
          <w:tcPr>
            <w:tcW w:type="dxa" w:w="1930"/>
          </w:tcPr>
          <w:p>
            <w:pPr>
              <w:spacing w:after="20"/>
            </w:pPr>
            <w:r>
              <w:rPr>
                <w:sz w:val="17"/>
              </w:rPr>
            </w:r>
            <w:r>
              <w:rPr>
                <w:b w:val="0"/>
                <w:i w:val="0"/>
                <w:sz w:val="17"/>
              </w:rPr>
              <w:t>24.0x</w:t>
            </w:r>
          </w:p>
        </w:tc>
        <w:tc>
          <w:tcPr>
            <w:tcW w:type="dxa" w:w="1930"/>
          </w:tcPr>
          <w:p>
            <w:pPr>
              <w:spacing w:after="20"/>
            </w:pPr>
            <w:r>
              <w:rPr>
                <w:sz w:val="17"/>
              </w:rPr>
            </w:r>
            <w:r>
              <w:rPr>
                <w:b w:val="0"/>
                <w:i w:val="0"/>
                <w:sz w:val="17"/>
              </w:rPr>
              <w:t>$5.75</w:t>
            </w:r>
          </w:p>
        </w:tc>
        <w:tc>
          <w:tcPr>
            <w:tcW w:type="dxa" w:w="1930"/>
          </w:tcPr>
          <w:p>
            <w:pPr>
              <w:spacing w:after="20"/>
            </w:pPr>
            <w:r>
              <w:rPr>
                <w:sz w:val="17"/>
              </w:rPr>
            </w:r>
            <w:r>
              <w:rPr>
                <w:b w:val="0"/>
                <w:i w:val="0"/>
                <w:sz w:val="17"/>
              </w:rPr>
              <w:t>$138.00</w:t>
            </w:r>
          </w:p>
        </w:tc>
      </w:tr>
      <w:tr>
        <w:tc>
          <w:tcPr>
            <w:tcW w:type="dxa" w:w="1930"/>
          </w:tcPr>
          <w:p>
            <w:pPr>
              <w:spacing w:after="20"/>
            </w:pPr>
            <w:r>
              <w:rPr>
                <w:sz w:val="17"/>
              </w:rPr>
            </w:r>
            <w:r>
              <w:rPr>
                <w:b w:val="0"/>
                <w:i w:val="0"/>
                <w:sz w:val="17"/>
              </w:rPr>
              <w:t>Base</w:t>
            </w:r>
          </w:p>
        </w:tc>
        <w:tc>
          <w:tcPr>
            <w:tcW w:type="dxa" w:w="1930"/>
          </w:tcPr>
          <w:p>
            <w:pPr>
              <w:spacing w:after="20"/>
            </w:pPr>
            <w:r>
              <w:rPr>
                <w:sz w:val="17"/>
              </w:rPr>
            </w:r>
            <w:r>
              <w:rPr>
                <w:b w:val="0"/>
                <w:i w:val="0"/>
                <w:sz w:val="17"/>
              </w:rPr>
              <w:t>50%</w:t>
            </w:r>
          </w:p>
        </w:tc>
        <w:tc>
          <w:tcPr>
            <w:tcW w:type="dxa" w:w="1930"/>
          </w:tcPr>
          <w:p>
            <w:pPr>
              <w:spacing w:after="20"/>
            </w:pPr>
            <w:r>
              <w:rPr>
                <w:sz w:val="17"/>
              </w:rPr>
            </w:r>
            <w:r>
              <w:rPr>
                <w:b w:val="0"/>
                <w:i w:val="0"/>
                <w:sz w:val="17"/>
              </w:rPr>
              <w:t>20.5x</w:t>
            </w:r>
          </w:p>
        </w:tc>
        <w:tc>
          <w:tcPr>
            <w:tcW w:type="dxa" w:w="1930"/>
          </w:tcPr>
          <w:p>
            <w:pPr>
              <w:spacing w:after="20"/>
            </w:pPr>
            <w:r>
              <w:rPr>
                <w:sz w:val="17"/>
              </w:rPr>
            </w:r>
            <w:r>
              <w:rPr>
                <w:b w:val="0"/>
                <w:i w:val="0"/>
                <w:sz w:val="17"/>
              </w:rPr>
              <w:t>$5.45</w:t>
            </w:r>
          </w:p>
        </w:tc>
        <w:tc>
          <w:tcPr>
            <w:tcW w:type="dxa" w:w="1930"/>
          </w:tcPr>
          <w:p>
            <w:pPr>
              <w:spacing w:after="20"/>
            </w:pPr>
            <w:r>
              <w:rPr>
                <w:sz w:val="17"/>
              </w:rPr>
            </w:r>
            <w:r>
              <w:rPr>
                <w:b w:val="0"/>
                <w:i w:val="0"/>
                <w:sz w:val="17"/>
              </w:rPr>
              <w:t>$112.00</w:t>
            </w:r>
          </w:p>
        </w:tc>
      </w:tr>
      <w:tr>
        <w:tc>
          <w:tcPr>
            <w:tcW w:type="dxa" w:w="1930"/>
          </w:tcPr>
          <w:p>
            <w:pPr>
              <w:spacing w:after="20"/>
            </w:pPr>
            <w:r>
              <w:rPr>
                <w:sz w:val="17"/>
              </w:rPr>
            </w:r>
            <w:r>
              <w:rPr>
                <w:b w:val="0"/>
                <w:i w:val="0"/>
                <w:sz w:val="17"/>
              </w:rPr>
              <w:t>Bear</w:t>
            </w:r>
          </w:p>
        </w:tc>
        <w:tc>
          <w:tcPr>
            <w:tcW w:type="dxa" w:w="1930"/>
          </w:tcPr>
          <w:p>
            <w:pPr>
              <w:spacing w:after="20"/>
            </w:pPr>
            <w:r>
              <w:rPr>
                <w:sz w:val="17"/>
              </w:rPr>
            </w:r>
            <w:r>
              <w:rPr>
                <w:b w:val="0"/>
                <w:i w:val="0"/>
                <w:sz w:val="17"/>
              </w:rPr>
              <w:t>25%</w:t>
            </w:r>
          </w:p>
        </w:tc>
        <w:tc>
          <w:tcPr>
            <w:tcW w:type="dxa" w:w="1930"/>
          </w:tcPr>
          <w:p>
            <w:pPr>
              <w:spacing w:after="20"/>
            </w:pPr>
            <w:r>
              <w:rPr>
                <w:sz w:val="17"/>
              </w:rPr>
            </w:r>
            <w:r>
              <w:rPr>
                <w:b w:val="0"/>
                <w:i w:val="0"/>
                <w:sz w:val="17"/>
              </w:rPr>
              <w:t>14.0x</w:t>
            </w:r>
          </w:p>
        </w:tc>
        <w:tc>
          <w:tcPr>
            <w:tcW w:type="dxa" w:w="1930"/>
          </w:tcPr>
          <w:p>
            <w:pPr>
              <w:spacing w:after="20"/>
            </w:pPr>
            <w:r>
              <w:rPr>
                <w:sz w:val="17"/>
              </w:rPr>
            </w:r>
            <w:r>
              <w:rPr>
                <w:b w:val="0"/>
                <w:i w:val="0"/>
                <w:sz w:val="17"/>
              </w:rPr>
              <w:t>$5.15</w:t>
            </w:r>
          </w:p>
        </w:tc>
        <w:tc>
          <w:tcPr>
            <w:tcW w:type="dxa" w:w="1930"/>
          </w:tcPr>
          <w:p>
            <w:pPr>
              <w:spacing w:after="20"/>
            </w:pPr>
            <w:r>
              <w:rPr>
                <w:sz w:val="17"/>
              </w:rPr>
            </w:r>
            <w:r>
              <w:rPr>
                <w:b w:val="0"/>
                <w:i w:val="0"/>
                <w:sz w:val="17"/>
              </w:rPr>
              <w:t>$72.00</w:t>
            </w:r>
          </w:p>
        </w:tc>
      </w:tr>
    </w:tbl>
    <w:p>
      <w:pPr>
        <w:spacing w:after="40"/>
      </w:pPr>
    </w:p>
    <w:p>
      <w:r>
        <w:rPr>
          <w:b w:val="0"/>
          <w:i w:val="0"/>
        </w:rPr>
        <w:t>Probability-weighted target $108.50. The bear probability is set at 25% rather than lower because the insourcing risk the industry analyst found is specific, dated and named by the customers themselves.</w:t>
      </w:r>
    </w:p>
    <w:p>
      <w:pPr>
        <w:pStyle w:val="Heading3"/>
      </w:pPr>
      <w:r>
        <w:rPr>
          <w:b w:val="0"/>
          <w:i w:val="0"/>
        </w:rPr>
        <w:t>Where the analysts disagreed</w:t>
      </w:r>
    </w:p>
    <w:p>
      <w:r>
        <w:rPr>
          <w:b w:val="0"/>
          <w:i w:val="0"/>
        </w:rPr>
        <w:t>The market analyst has consensus FY2026 EPS at $5.08 and the fundamentals file supports $5.12 on the same revenue. The lower figure is used, because the difference is inside the rounding on segment margin and taking consensus keeps the comparison honest.</w:t>
      </w:r>
    </w:p>
    <w:p>
      <w:r>
        <w:rPr>
          <w:b w:val="0"/>
          <w:i w:val="0"/>
        </w:rPr>
        <w:t>No rating is stated here. That is stage 4's job.</w:t>
      </w:r>
    </w:p>
    <w:p>
      <w:r>
        <w:br w:type="page"/>
      </w:r>
    </w:p>
    <w:p>
      <w:pPr>
        <w:pStyle w:val="Heading1"/>
      </w:pPr>
      <w:r>
        <w:t>Bull attack</w:t>
      </w:r>
    </w:p>
    <w:p>
      <w:pPr>
        <w:spacing w:after="200"/>
      </w:pPr>
      <w:r>
        <w:rPr>
          <w:color w:val="6B6B6B"/>
          <w:sz w:val="17"/>
        </w:rPr>
        <w:t>Stage 3 · Opus · bull.md</w:t>
      </w:r>
    </w:p>
    <w:p>
      <w:pPr>
        <w:pStyle w:val="Heading2"/>
      </w:pPr>
      <w:r>
        <w:rPr>
          <w:b w:val="0"/>
          <w:i w:val="0"/>
        </w:rPr>
        <w:t>Bull case — ACME</w:t>
      </w:r>
    </w:p>
    <w:p>
      <w:r>
        <w:rPr>
          <w:b w:val="0"/>
          <w:i w:val="0"/>
        </w:rPr>
        <w:t xml:space="preserve">Every figure below is invented. See </w:t>
      </w:r>
      <w:r>
        <w:rPr>
          <w:rFonts w:ascii="Consolas" w:hAnsi="Consolas"/>
          <w:b w:val="0"/>
          <w:i w:val="0"/>
          <w:sz w:val="18"/>
        </w:rPr>
        <w:t>run.md</w:t>
      </w:r>
      <w:r>
        <w:rPr>
          <w:b w:val="0"/>
          <w:i w:val="0"/>
        </w:rPr>
        <w:t>.</w:t>
      </w:r>
    </w:p>
    <w:p>
      <w:r>
        <w:rPr>
          <w:b w:val="0"/>
          <w:i w:val="0"/>
        </w:rPr>
        <w:t>The base case is too conservative in three places, and two of them are testable inside twelve months.</w:t>
      </w:r>
    </w:p>
    <w:p>
      <w:pPr>
        <w:pStyle w:val="Heading3"/>
      </w:pPr>
      <w:r>
        <w:rPr>
          <w:b w:val="0"/>
          <w:i w:val="0"/>
        </w:rPr>
        <w:t>The 19.6% operating margin is a floor, not a forecast</w:t>
      </w:r>
    </w:p>
    <w:p>
      <w:r>
        <w:rPr>
          <w:b w:val="0"/>
          <w:i w:val="0"/>
        </w:rPr>
        <w:t>The valuation memo holds margin at 19.6% for ten years. The fundamentals file shows margin rising 320bp over the past decade with no year of reversal outside FY2020, and the incremental return on capital in FY2025 was 20.5% against a 15.1% historical average. A business earning more on new money than on old money does not hold margin flat for a decade. At 21.0% by FY2029, which is the trend line rather than an extrapolation of the best year, free cash flow in FY2035 is $2,290m instead of $2,115m and the value per share is $113.40.</w:t>
      </w:r>
    </w:p>
    <w:p>
      <w:pPr>
        <w:pStyle w:val="Heading3"/>
      </w:pPr>
      <w:r>
        <w:rPr>
          <w:b w:val="0"/>
          <w:i w:val="0"/>
        </w:rPr>
        <w:t>The Dalton ramp is a dated catalyst, not a hope</w:t>
      </w:r>
    </w:p>
    <w:p>
      <w:r>
        <w:rPr>
          <w:b w:val="0"/>
          <w:i w:val="0"/>
        </w:rPr>
        <w:t>The October 8-K attributed part of the guidance cut to the delayed adhesives ramp, and the news file dates full utilisation to the Q2 fiscal 2026 print on 2026-07-29. That is a specific event inside the horizon. Adhesives is the higher margin segment and the plant is already built and paid for, so the capital is sunk and only the volume is missing.</w:t>
      </w:r>
    </w:p>
    <w:p>
      <w:pPr>
        <w:pStyle w:val="Heading3"/>
      </w:pPr>
      <w:r>
        <w:rPr>
          <w:b w:val="0"/>
          <w:i w:val="0"/>
        </w:rPr>
        <w:t>The bear probability is too high for a risk the customers have not acted on</w:t>
      </w:r>
    </w:p>
    <w:p>
      <w:r>
        <w:rPr>
          <w:b w:val="0"/>
          <w:i w:val="0"/>
        </w:rPr>
        <w:t>Two coatings customers said they are evaluating insourcing. Evaluating is not building, a coatings line costs $180m and takes two years to permit on the industry analyst's own numbers, and the customers in question are buying roughly $600m a year, so the make-versus-buy arithmetic is not obviously in their favour. A 15% bear probability with 35% on base is the honest split, and on those weights the target is $117.15 rather than $108.50.</w:t>
      </w:r>
    </w:p>
    <w:p>
      <w:pPr>
        <w:pStyle w:val="Heading3"/>
      </w:pPr>
      <w:r>
        <w:rPr>
          <w:b w:val="0"/>
          <w:i w:val="0"/>
        </w:rPr>
        <w:t>What would change my mind</w:t>
      </w:r>
    </w:p>
    <w:p>
      <w:r>
        <w:rPr>
          <w:b w:val="0"/>
          <w:i w:val="0"/>
        </w:rPr>
        <w:t>A Q1 fiscal 2026 print on 2026-04-23 showing coatings volume down year on year, or either named customer disclosing a capital commitment to a coatings line. The first is a number I can check in April; the second would be an 8-K.</w:t>
      </w:r>
    </w:p>
    <w:p>
      <w:r>
        <w:br w:type="page"/>
      </w:r>
    </w:p>
    <w:p>
      <w:pPr>
        <w:pStyle w:val="Heading1"/>
      </w:pPr>
      <w:r>
        <w:t>Bear attack</w:t>
      </w:r>
    </w:p>
    <w:p>
      <w:pPr>
        <w:spacing w:after="200"/>
      </w:pPr>
      <w:r>
        <w:rPr>
          <w:color w:val="6B6B6B"/>
          <w:sz w:val="17"/>
        </w:rPr>
        <w:t>Stage 3 · Opus · bear.md</w:t>
      </w:r>
    </w:p>
    <w:p>
      <w:pPr>
        <w:pStyle w:val="Heading2"/>
      </w:pPr>
      <w:r>
        <w:rPr>
          <w:b w:val="0"/>
          <w:i w:val="0"/>
        </w:rPr>
        <w:t>Bear case — ACME</w:t>
      </w:r>
    </w:p>
    <w:p>
      <w:r>
        <w:rPr>
          <w:b w:val="0"/>
          <w:i w:val="0"/>
        </w:rPr>
        <w:t xml:space="preserve">Every figure below is invented. See </w:t>
      </w:r>
      <w:r>
        <w:rPr>
          <w:rFonts w:ascii="Consolas" w:hAnsi="Consolas"/>
          <w:b w:val="0"/>
          <w:i w:val="0"/>
          <w:sz w:val="18"/>
        </w:rPr>
        <w:t>run.md</w:t>
      </w:r>
      <w:r>
        <w:rPr>
          <w:b w:val="0"/>
          <w:i w:val="0"/>
        </w:rPr>
        <w:t>.</w:t>
      </w:r>
    </w:p>
    <w:p>
      <w:r>
        <w:rPr>
          <w:b w:val="0"/>
          <w:i w:val="0"/>
        </w:rPr>
        <w:t>The base case is too generous, and the reason is concentration the filings only started disclosing in the most recent year.</w:t>
      </w:r>
    </w:p>
    <w:p>
      <w:pPr>
        <w:pStyle w:val="Heading3"/>
      </w:pPr>
      <w:r>
        <w:rPr>
          <w:b w:val="0"/>
          <w:i w:val="0"/>
        </w:rPr>
        <w:t>The customer concentration is new and moving fast</w:t>
      </w:r>
    </w:p>
    <w:p>
      <w:r>
        <w:rPr>
          <w:b w:val="0"/>
          <w:i w:val="0"/>
        </w:rPr>
        <w:t>The FY2025 10-K added a risk factor the FY2024 filing did not have. The three largest coatings customers went from 17% of segment revenue in FY2023 to 21% in FY2025, and two of them have publicly said they are evaluating insourcing. On the segment's $5,510m of FY2025 revenue, 21% is $1,157m, and two of the three is roughly $600m, or 7.1% of total revenue at a segment margin the fundamentals file puts near the corporate average.</w:t>
      </w:r>
    </w:p>
    <w:p>
      <w:r>
        <w:rPr>
          <w:b w:val="0"/>
          <w:i w:val="0"/>
        </w:rPr>
        <w:t>Losing that over two years takes FY2028 revenue to $8,900m instead of $9,900m and FY2028 EPS to about $4.95. On the base case's own 20.5x that is a $101 stock, and the multiple would not stay at 20.5x through a disclosed customer loss.</w:t>
      </w:r>
    </w:p>
    <w:p>
      <w:pPr>
        <w:pStyle w:val="Heading3"/>
      </w:pPr>
      <w:r>
        <w:rPr>
          <w:b w:val="0"/>
          <w:i w:val="0"/>
        </w:rPr>
        <w:t>The margin forecast ignores what the guidance cut said</w:t>
      </w:r>
    </w:p>
    <w:p>
      <w:r>
        <w:rPr>
          <w:b w:val="0"/>
          <w:i w:val="0"/>
        </w:rPr>
        <w:t>The October 8-K named slower order intake from those same two customers as a cause of the revenue cut. The valuation memo takes the revenue cut and holds margin at 19.6%, 30bp above FY2025. Coatings is a fixed-cost business on the industry analyst's own account, a $180m line and a two-year permit, so volume that does not arrive de-levers the plant. Margin at 18.4% by FY2028, which is the FY2022 level rather than a trough, takes free cash flow down about 6% and the value per share to $96.70.</w:t>
      </w:r>
    </w:p>
    <w:p>
      <w:pPr>
        <w:pStyle w:val="Heading3"/>
      </w:pPr>
      <w:r>
        <w:rPr>
          <w:b w:val="0"/>
          <w:i w:val="0"/>
        </w:rPr>
        <w:t>The reverse case is where the memo's own number points</w:t>
      </w:r>
    </w:p>
    <w:p>
      <w:r>
        <w:rPr>
          <w:b w:val="0"/>
          <w:i w:val="0"/>
        </w:rPr>
        <w:t>The memo's reverse discounted cash flow says the market implies 2.05% terminal growth against 2.50% assumed. The memo reads that as a narrow disagreement. Read the other way, a 45bp gap on terminal growth against a name with 21% of a segment's revenue in three hands and two of them evaluating exit is the market pricing the disclosed risk while the model does not.</w:t>
      </w:r>
    </w:p>
    <w:p>
      <w:pPr>
        <w:pStyle w:val="Heading3"/>
      </w:pPr>
      <w:r>
        <w:rPr>
          <w:b w:val="0"/>
          <w:i w:val="0"/>
        </w:rPr>
        <w:t>Arithmetic check on the memo</w:t>
      </w:r>
    </w:p>
    <w:p>
      <w:r>
        <w:rPr>
          <w:b w:val="0"/>
          <w:i w:val="0"/>
        </w:rPr>
        <w:t>Two items. The terminal reinvestment rate is given as 0.179 against 0.025 / 0.14 = 0.1786, which rounds correctly and reconciles. And the sensitivity grid's 20.5x row reads $105.6, $111.7, $117.9 against 20.5 x $5.45 = $111.7, which also reconciles. No error found.</w:t>
      </w:r>
    </w:p>
    <w:p>
      <w:pPr>
        <w:pStyle w:val="Heading3"/>
      </w:pPr>
      <w:r>
        <w:rPr>
          <w:b w:val="0"/>
          <w:i w:val="0"/>
        </w:rPr>
        <w:t>What would change my mind</w:t>
      </w:r>
    </w:p>
    <w:p>
      <w:r>
        <w:rPr>
          <w:b w:val="0"/>
          <w:i w:val="0"/>
        </w:rPr>
        <w:t>A Q1 or Q2 fiscal 2026 print showing coatings volume up year on year with the concentration figure flat or lower, or either named customer signing a multi-year renewal. On a renewal I would move to the base case as written.</w:t>
      </w:r>
    </w:p>
    <w:p>
      <w:r>
        <w:br w:type="page"/>
      </w:r>
    </w:p>
    <w:p>
      <w:pPr>
        <w:pStyle w:val="Heading1"/>
      </w:pPr>
      <w:r>
        <w:t>Judgment — the decision record</w:t>
      </w:r>
    </w:p>
    <w:p>
      <w:pPr>
        <w:spacing w:after="200"/>
      </w:pPr>
      <w:r>
        <w:rPr>
          <w:color w:val="6B6B6B"/>
          <w:sz w:val="17"/>
        </w:rPr>
        <w:t>Stage 4 · Opus · decision.md</w:t>
      </w:r>
    </w:p>
    <w:tbl>
      <w:tblPr>
        <w:tblW w:type="auto" w:w="0"/>
        <w:tblLook w:firstColumn="1" w:firstRow="1" w:lastColumn="0" w:lastRow="0" w:noHBand="0" w:noVBand="1" w:val="04A0"/>
        <w:tblBorders>
          <w:top w:val="single" w:sz="4" w:color="D8D8D8"/>
          <w:left w:val="single" w:sz="4" w:color="D8D8D8"/>
          <w:bottom w:val="single" w:sz="4" w:color="D8D8D8"/>
          <w:right w:val="single" w:sz="4" w:color="D8D8D8"/>
          <w:insideH w:val="single" w:sz="4" w:color="D8D8D8"/>
          <w:insideV w:val="single" w:sz="4" w:color="D8D8D8"/>
        </w:tblBorders>
      </w:tblPr>
      <w:tblGrid>
        <w:gridCol w:w="4824"/>
        <w:gridCol w:w="4824"/>
      </w:tblGrid>
      <w:tr>
        <w:tc>
          <w:tcPr>
            <w:tcW w:type="dxa" w:w="4824"/>
            <w:shd w:val="clear" w:fill="F2F2F2"/>
          </w:tcPr>
          <w:p>
            <w:r/>
            <w:r>
              <w:rPr>
                <w:b/>
                <w:sz w:val="18"/>
              </w:rPr>
              <w:t>Rating</w:t>
            </w:r>
          </w:p>
        </w:tc>
        <w:tc>
          <w:tcPr>
            <w:tcW w:type="dxa" w:w="4824"/>
          </w:tcPr>
          <w:p>
            <w:r/>
            <w:r>
              <w:rPr>
                <w:sz w:val="18"/>
              </w:rPr>
              <w:t>HOLD</w:t>
            </w:r>
          </w:p>
        </w:tc>
      </w:tr>
      <w:tr>
        <w:tc>
          <w:tcPr>
            <w:tcW w:type="dxa" w:w="4824"/>
            <w:shd w:val="clear" w:fill="F2F2F2"/>
          </w:tcPr>
          <w:p>
            <w:r/>
            <w:r>
              <w:rPr>
                <w:b/>
                <w:sz w:val="18"/>
              </w:rPr>
              <w:t>Twelve-month target</w:t>
            </w:r>
          </w:p>
        </w:tc>
        <w:tc>
          <w:tcPr>
            <w:tcW w:type="dxa" w:w="4824"/>
          </w:tcPr>
          <w:p>
            <w:r/>
            <w:r>
              <w:rPr>
                <w:sz w:val="18"/>
              </w:rPr>
              <w:t>108.50</w:t>
            </w:r>
          </w:p>
        </w:tc>
      </w:tr>
      <w:tr>
        <w:tc>
          <w:tcPr>
            <w:tcW w:type="dxa" w:w="4824"/>
            <w:shd w:val="clear" w:fill="F2F2F2"/>
          </w:tcPr>
          <w:p>
            <w:r/>
            <w:r>
              <w:rPr>
                <w:b/>
                <w:sz w:val="18"/>
              </w:rPr>
              <w:t>Reference price</w:t>
            </w:r>
          </w:p>
        </w:tc>
        <w:tc>
          <w:tcPr>
            <w:tcW w:type="dxa" w:w="4824"/>
          </w:tcPr>
          <w:p>
            <w:r/>
            <w:r>
              <w:rPr>
                <w:sz w:val="18"/>
              </w:rPr>
              <w:t>100.00</w:t>
            </w:r>
          </w:p>
        </w:tc>
      </w:tr>
      <w:tr>
        <w:tc>
          <w:tcPr>
            <w:tcW w:type="dxa" w:w="4824"/>
            <w:shd w:val="clear" w:fill="F2F2F2"/>
          </w:tcPr>
          <w:p>
            <w:r/>
            <w:r>
              <w:rPr>
                <w:b/>
                <w:sz w:val="18"/>
              </w:rPr>
              <w:t>Expected total return</w:t>
            </w:r>
          </w:p>
        </w:tc>
        <w:tc>
          <w:tcPr>
            <w:tcW w:type="dxa" w:w="4824"/>
          </w:tcPr>
          <w:p>
            <w:r/>
            <w:r>
              <w:rPr>
                <w:sz w:val="18"/>
              </w:rPr>
              <w:t>0.107</w:t>
            </w:r>
          </w:p>
        </w:tc>
      </w:tr>
      <w:tr>
        <w:tc>
          <w:tcPr>
            <w:tcW w:type="dxa" w:w="4824"/>
            <w:shd w:val="clear" w:fill="F2F2F2"/>
          </w:tcPr>
          <w:p>
            <w:r/>
            <w:r>
              <w:rPr>
                <w:b/>
                <w:sz w:val="18"/>
              </w:rPr>
              <w:t>Conviction</w:t>
            </w:r>
          </w:p>
        </w:tc>
        <w:tc>
          <w:tcPr>
            <w:tcW w:type="dxa" w:w="4824"/>
          </w:tcPr>
          <w:p>
            <w:r/>
            <w:r>
              <w:rPr>
                <w:sz w:val="18"/>
              </w:rPr>
              <w:t>moderate</w:t>
            </w:r>
          </w:p>
        </w:tc>
      </w:tr>
      <w:tr>
        <w:tc>
          <w:tcPr>
            <w:tcW w:type="dxa" w:w="4824"/>
            <w:shd w:val="clear" w:fill="F2F2F2"/>
          </w:tcPr>
          <w:p>
            <w:r/>
            <w:r>
              <w:rPr>
                <w:b/>
                <w:sz w:val="18"/>
              </w:rPr>
              <w:t>Marginal</w:t>
            </w:r>
          </w:p>
        </w:tc>
        <w:tc>
          <w:tcPr>
            <w:tcW w:type="dxa" w:w="4824"/>
          </w:tcPr>
          <w:p>
            <w:r/>
            <w:r>
              <w:rPr>
                <w:sz w:val="18"/>
              </w:rPr>
              <w:t>true</w:t>
            </w:r>
          </w:p>
        </w:tc>
      </w:tr>
      <w:tr>
        <w:tc>
          <w:tcPr>
            <w:tcW w:type="dxa" w:w="4824"/>
            <w:shd w:val="clear" w:fill="F2F2F2"/>
          </w:tcPr>
          <w:p>
            <w:r/>
            <w:r>
              <w:rPr>
                <w:b/>
                <w:sz w:val="18"/>
              </w:rPr>
              <w:t>Decided by</w:t>
            </w:r>
          </w:p>
        </w:tc>
        <w:tc>
          <w:tcPr>
            <w:tcW w:type="dxa" w:w="4824"/>
          </w:tcPr>
          <w:p>
            <w:r/>
            <w:r>
              <w:rPr>
                <w:sz w:val="18"/>
              </w:rPr>
              <w:t>industry</w:t>
            </w:r>
          </w:p>
        </w:tc>
      </w:tr>
      <w:tr>
        <w:tc>
          <w:tcPr>
            <w:tcW w:type="dxa" w:w="4824"/>
            <w:shd w:val="clear" w:fill="F2F2F2"/>
          </w:tcPr>
          <w:p>
            <w:r/>
            <w:r>
              <w:rPr>
                <w:b/>
                <w:sz w:val="18"/>
              </w:rPr>
              <w:t>Market-data calls</w:t>
            </w:r>
          </w:p>
        </w:tc>
        <w:tc>
          <w:tcPr>
            <w:tcW w:type="dxa" w:w="4824"/>
          </w:tcPr>
          <w:p>
            <w:r/>
            <w:r>
              <w:rPr>
                <w:sz w:val="18"/>
              </w:rPr>
              <w:t>6</w:t>
            </w:r>
          </w:p>
        </w:tc>
      </w:tr>
    </w:tbl>
    <w:p/>
    <w:p>
      <w:pPr>
        <w:pStyle w:val="Heading2"/>
      </w:pPr>
      <w:r>
        <w:rPr>
          <w:b w:val="0"/>
          <w:i w:val="0"/>
        </w:rPr>
        <w:t>Decision — ACME, 2026-01-15</w:t>
      </w:r>
    </w:p>
    <w:p>
      <w:r>
        <w:rPr>
          <w:b w:val="0"/>
          <w:i w:val="0"/>
        </w:rPr>
        <w:t>Acme Materials Corporation is invented and so is every figure here. This file exists to show the shape of a decision record.</w:t>
      </w:r>
    </w:p>
    <w:p>
      <w:pPr>
        <w:pStyle w:val="Heading3"/>
      </w:pPr>
      <w:r>
        <w:rPr>
          <w:b w:val="0"/>
          <w:i w:val="0"/>
        </w:rPr>
        <w:t>The call</w:t>
      </w:r>
    </w:p>
    <w:p>
      <w:r>
        <w:rPr>
          <w:b w:val="0"/>
          <w:i w:val="0"/>
        </w:rPr>
        <w:t>HOLD, twelve-month target $108.50, expected total return of +10.7% including $2.20 of dividends against a $100.00 reference price on 2026-01-09. Conviction moderate. The business is better than its multiple suggests and the customer concentration is worse than its history suggests, and those two cancel inside the HOLD band.</w:t>
      </w:r>
    </w:p>
    <w:p>
      <w:pPr>
        <w:pStyle w:val="Heading3"/>
      </w:pPr>
      <w:r>
        <w:rPr>
          <w:b w:val="0"/>
          <w:i w:val="0"/>
        </w:rPr>
        <w:t>What decided it</w:t>
      </w:r>
    </w:p>
    <w:p>
      <w:r>
        <w:rPr>
          <w:b w:val="0"/>
          <w:i w:val="0"/>
        </w:rPr>
        <w:t>The industry analyst's Porter table, specifically the buyer-power row: three coatings customers at 21% of segment revenue, up from 17% two years ago, with two of them publicly evaluating insourcing. That finding is what holds the bear probability at 25%, and the bear probability is the only input that moves this call across a band edge. The bull's argument on margin trend is the stronger piece of analysis in the debate and it does not change the rating, because a 140bp margin improvement is worth $8 a share and the concentration risk is worth $36.</w:t>
      </w:r>
    </w:p>
    <w:p>
      <w:pPr>
        <w:pStyle w:val="Heading3"/>
      </w:pPr>
      <w:r>
        <w:rPr>
          <w:b w:val="0"/>
          <w:i w:val="0"/>
        </w:rPr>
        <w:t>The scenarios</w:t>
      </w:r>
    </w:p>
    <w:tbl>
      <w:tblPr>
        <w:tblW w:type="auto" w:w="0"/>
        <w:jc w:val="center"/>
        <w:tblLayout w:type="autofit"/>
        <w:tblLook w:firstColumn="1" w:firstRow="1" w:lastColumn="0" w:lastRow="0" w:noHBand="0" w:noVBand="1" w:val="04A0"/>
        <w:tblBorders>
          <w:top w:val="single" w:sz="4" w:color="D8D8D8"/>
          <w:left w:val="single" w:sz="4" w:color="D8D8D8"/>
          <w:bottom w:val="single" w:sz="4" w:color="D8D8D8"/>
          <w:right w:val="single" w:sz="4" w:color="D8D8D8"/>
          <w:insideH w:val="single" w:sz="4" w:color="D8D8D8"/>
          <w:insideV w:val="single" w:sz="4" w:color="D8D8D8"/>
        </w:tblBorders>
      </w:tblPr>
      <w:tblGrid>
        <w:gridCol w:w="2412"/>
        <w:gridCol w:w="2412"/>
        <w:gridCol w:w="2412"/>
        <w:gridCol w:w="2412"/>
      </w:tblGrid>
      <w:tr>
        <w:tc>
          <w:tcPr>
            <w:tcW w:type="dxa" w:w="2412"/>
            <w:shd w:val="clear" w:fill="F2F2F2"/>
          </w:tcPr>
          <w:p>
            <w:r/>
            <w:r>
              <w:rPr>
                <w:b/>
                <w:sz w:val="17"/>
              </w:rPr>
              <w:t>Case</w:t>
            </w:r>
          </w:p>
        </w:tc>
        <w:tc>
          <w:tcPr>
            <w:tcW w:type="dxa" w:w="2412"/>
            <w:shd w:val="clear" w:fill="F2F2F2"/>
          </w:tcPr>
          <w:p>
            <w:r/>
            <w:r>
              <w:rPr>
                <w:b/>
                <w:sz w:val="17"/>
              </w:rPr>
              <w:t>Probability</w:t>
            </w:r>
          </w:p>
        </w:tc>
        <w:tc>
          <w:tcPr>
            <w:tcW w:type="dxa" w:w="2412"/>
            <w:shd w:val="clear" w:fill="F2F2F2"/>
          </w:tcPr>
          <w:p>
            <w:r/>
            <w:r>
              <w:rPr>
                <w:b/>
                <w:sz w:val="17"/>
              </w:rPr>
              <w:t>Target</w:t>
            </w:r>
          </w:p>
        </w:tc>
        <w:tc>
          <w:tcPr>
            <w:tcW w:type="dxa" w:w="2412"/>
            <w:shd w:val="clear" w:fill="F2F2F2"/>
          </w:tcPr>
          <w:p>
            <w:r/>
            <w:r>
              <w:rPr>
                <w:b/>
                <w:sz w:val="17"/>
              </w:rPr>
              <w:t>Basis</w:t>
            </w:r>
          </w:p>
        </w:tc>
      </w:tr>
      <w:tr>
        <w:tc>
          <w:tcPr>
            <w:tcW w:type="dxa" w:w="2412"/>
          </w:tcPr>
          <w:p>
            <w:pPr>
              <w:spacing w:after="20"/>
            </w:pPr>
            <w:r>
              <w:rPr>
                <w:sz w:val="17"/>
              </w:rPr>
            </w:r>
            <w:r>
              <w:rPr>
                <w:b w:val="0"/>
                <w:i w:val="0"/>
                <w:sz w:val="17"/>
              </w:rPr>
              <w:t>Bull</w:t>
            </w:r>
          </w:p>
        </w:tc>
        <w:tc>
          <w:tcPr>
            <w:tcW w:type="dxa" w:w="2412"/>
          </w:tcPr>
          <w:p>
            <w:pPr>
              <w:spacing w:after="20"/>
            </w:pPr>
            <w:r>
              <w:rPr>
                <w:sz w:val="17"/>
              </w:rPr>
            </w:r>
            <w:r>
              <w:rPr>
                <w:b w:val="0"/>
                <w:i w:val="0"/>
                <w:sz w:val="17"/>
              </w:rPr>
              <w:t>25%</w:t>
            </w:r>
          </w:p>
        </w:tc>
        <w:tc>
          <w:tcPr>
            <w:tcW w:type="dxa" w:w="2412"/>
          </w:tcPr>
          <w:p>
            <w:pPr>
              <w:spacing w:after="20"/>
            </w:pPr>
            <w:r>
              <w:rPr>
                <w:sz w:val="17"/>
              </w:rPr>
            </w:r>
            <w:r>
              <w:rPr>
                <w:b w:val="0"/>
                <w:i w:val="0"/>
                <w:sz w:val="17"/>
              </w:rPr>
              <w:t>$138.00</w:t>
            </w:r>
          </w:p>
        </w:tc>
        <w:tc>
          <w:tcPr>
            <w:tcW w:type="dxa" w:w="2412"/>
          </w:tcPr>
          <w:p>
            <w:pPr>
              <w:spacing w:after="20"/>
            </w:pPr>
            <w:r>
              <w:rPr>
                <w:sz w:val="17"/>
              </w:rPr>
            </w:r>
            <w:r>
              <w:rPr>
                <w:b w:val="0"/>
                <w:i w:val="0"/>
                <w:sz w:val="17"/>
              </w:rPr>
              <w:t>Margin reaches 21.0% by FY2029 and Dalton ramps on plan</w:t>
            </w:r>
          </w:p>
        </w:tc>
      </w:tr>
      <w:tr>
        <w:tc>
          <w:tcPr>
            <w:tcW w:type="dxa" w:w="2412"/>
          </w:tcPr>
          <w:p>
            <w:pPr>
              <w:spacing w:after="20"/>
            </w:pPr>
            <w:r>
              <w:rPr>
                <w:sz w:val="17"/>
              </w:rPr>
            </w:r>
            <w:r>
              <w:rPr>
                <w:b w:val="0"/>
                <w:i w:val="0"/>
                <w:sz w:val="17"/>
              </w:rPr>
              <w:t>Base</w:t>
            </w:r>
          </w:p>
        </w:tc>
        <w:tc>
          <w:tcPr>
            <w:tcW w:type="dxa" w:w="2412"/>
          </w:tcPr>
          <w:p>
            <w:pPr>
              <w:spacing w:after="20"/>
            </w:pPr>
            <w:r>
              <w:rPr>
                <w:sz w:val="17"/>
              </w:rPr>
            </w:r>
            <w:r>
              <w:rPr>
                <w:b w:val="0"/>
                <w:i w:val="0"/>
                <w:sz w:val="17"/>
              </w:rPr>
              <w:t>50%</w:t>
            </w:r>
          </w:p>
        </w:tc>
        <w:tc>
          <w:tcPr>
            <w:tcW w:type="dxa" w:w="2412"/>
          </w:tcPr>
          <w:p>
            <w:pPr>
              <w:spacing w:after="20"/>
            </w:pPr>
            <w:r>
              <w:rPr>
                <w:sz w:val="17"/>
              </w:rPr>
            </w:r>
            <w:r>
              <w:rPr>
                <w:b w:val="0"/>
                <w:i w:val="0"/>
                <w:sz w:val="17"/>
              </w:rPr>
              <w:t>$112.00</w:t>
            </w:r>
          </w:p>
        </w:tc>
        <w:tc>
          <w:tcPr>
            <w:tcW w:type="dxa" w:w="2412"/>
          </w:tcPr>
          <w:p>
            <w:pPr>
              <w:spacing w:after="20"/>
            </w:pPr>
            <w:r>
              <w:rPr>
                <w:sz w:val="17"/>
              </w:rPr>
            </w:r>
            <w:r>
              <w:rPr>
                <w:b w:val="0"/>
                <w:i w:val="0"/>
                <w:sz w:val="17"/>
              </w:rPr>
              <w:t>Revenue 5.0% fading to 3.0%, margin flat at 19.6%</w:t>
            </w:r>
          </w:p>
        </w:tc>
      </w:tr>
      <w:tr>
        <w:tc>
          <w:tcPr>
            <w:tcW w:type="dxa" w:w="2412"/>
          </w:tcPr>
          <w:p>
            <w:pPr>
              <w:spacing w:after="20"/>
            </w:pPr>
            <w:r>
              <w:rPr>
                <w:sz w:val="17"/>
              </w:rPr>
            </w:r>
            <w:r>
              <w:rPr>
                <w:b w:val="0"/>
                <w:i w:val="0"/>
                <w:sz w:val="17"/>
              </w:rPr>
              <w:t>Bear</w:t>
            </w:r>
          </w:p>
        </w:tc>
        <w:tc>
          <w:tcPr>
            <w:tcW w:type="dxa" w:w="2412"/>
          </w:tcPr>
          <w:p>
            <w:pPr>
              <w:spacing w:after="20"/>
            </w:pPr>
            <w:r>
              <w:rPr>
                <w:sz w:val="17"/>
              </w:rPr>
            </w:r>
            <w:r>
              <w:rPr>
                <w:b w:val="0"/>
                <w:i w:val="0"/>
                <w:sz w:val="17"/>
              </w:rPr>
              <w:t>25%</w:t>
            </w:r>
          </w:p>
        </w:tc>
        <w:tc>
          <w:tcPr>
            <w:tcW w:type="dxa" w:w="2412"/>
          </w:tcPr>
          <w:p>
            <w:pPr>
              <w:spacing w:after="20"/>
            </w:pPr>
            <w:r>
              <w:rPr>
                <w:sz w:val="17"/>
              </w:rPr>
            </w:r>
            <w:r>
              <w:rPr>
                <w:b w:val="0"/>
                <w:i w:val="0"/>
                <w:sz w:val="17"/>
              </w:rPr>
              <w:t>$72.00</w:t>
            </w:r>
          </w:p>
        </w:tc>
        <w:tc>
          <w:tcPr>
            <w:tcW w:type="dxa" w:w="2412"/>
          </w:tcPr>
          <w:p>
            <w:pPr>
              <w:spacing w:after="20"/>
            </w:pPr>
            <w:r>
              <w:rPr>
                <w:sz w:val="17"/>
              </w:rPr>
            </w:r>
            <w:r>
              <w:rPr>
                <w:b w:val="0"/>
                <w:i w:val="0"/>
                <w:sz w:val="17"/>
              </w:rPr>
              <w:t>Two coatings customers insource, taking 7.1% of revenue</w:t>
            </w:r>
          </w:p>
        </w:tc>
      </w:tr>
    </w:tbl>
    <w:p>
      <w:pPr>
        <w:spacing w:after="40"/>
      </w:pPr>
    </w:p>
    <w:p>
      <w:r>
        <w:rPr>
          <w:b w:val="0"/>
          <w:i w:val="0"/>
        </w:rPr>
        <w:t>The bull weight stays at 25% rather than rising. The bull's margin case is credible but it is an extrapolation of a decade-long trend into a decade of forecast, and the same fundamentals file shows the trend flattening in the last three years: 38bp, 28bp, 33bp of annual margin gain against 53bp early in the series.</w:t>
      </w:r>
    </w:p>
    <w:p>
      <w:r>
        <w:rPr>
          <w:b w:val="0"/>
          <w:i w:val="0"/>
        </w:rPr>
        <w:t>The bear weight stays at 25% rather than falling to the bull's 15%. The bull is right that evaluating is not building. The bear is right that the disclosure changed, and a risk factor added to a 10-K in the year two named customers start evaluating is the company telling you the probability is no longer negligible.</w:t>
      </w:r>
    </w:p>
    <w:p>
      <w:pPr>
        <w:pStyle w:val="Heading3"/>
      </w:pPr>
      <w:r>
        <w:rPr>
          <w:b w:val="0"/>
          <w:i w:val="0"/>
        </w:rPr>
        <w:t>Where the debate landed</w:t>
      </w:r>
    </w:p>
    <w:p>
      <w:r>
        <w:rPr>
          <w:b w:val="0"/>
          <w:i w:val="0"/>
        </w:rPr>
        <w:t>The bull won on the quality of the business and lost on what that is worth here. Its strongest specific point, that incremental return on capital of 20.5% exceeds the 15.1% historical average, is the best single fact in the run and it belongs in the report's thesis. It moves the base case target by about $8.</w:t>
      </w:r>
    </w:p>
    <w:p>
      <w:r>
        <w:rPr>
          <w:b w:val="0"/>
          <w:i w:val="0"/>
        </w:rPr>
        <w:t>The bear's central claim survives. Its arithmetic check on the valuation memo found no error, which is worth recording: the terminal reinvestment rate and the sensitivity grid both reconcile.</w:t>
      </w:r>
    </w:p>
    <w:p>
      <w:r>
        <w:rPr>
          <w:b w:val="0"/>
          <w:i w:val="0"/>
        </w:rPr>
        <w:t>The bear's weakest point is the reading of the reverse discounted cash flow. A 45bp gap on terminal growth is not evidence that the market has priced a specific customer loss; it is inside the noise on a beta estimate.</w:t>
      </w:r>
    </w:p>
    <w:p>
      <w:pPr>
        <w:pStyle w:val="Heading3"/>
      </w:pPr>
      <w:r>
        <w:rPr>
          <w:b w:val="0"/>
          <w:i w:val="0"/>
        </w:rPr>
        <w:t>How marginal</w:t>
      </w:r>
    </w:p>
    <w:p>
      <w:r>
        <w:rPr>
          <w:b w:val="0"/>
          <w:i w:val="0"/>
        </w:rPr>
        <w:t>+10.7% against a +15.0% BUY edge, so 4.3 points inside the band and marginal by the contract's own test. One input flips it: the bear probability. At 15% bear and 35% base the weighted target is $117.15 and the expected return is +19.4%.</w:t>
      </w:r>
    </w:p>
    <w:p>
      <w:r>
        <w:rPr>
          <w:b w:val="0"/>
          <w:i w:val="0"/>
        </w:rPr>
        <w:t>Nothing else comes close. A 100bp change in WACC moves the target $9. A full point of terminal operating margin moves it $6.</w:t>
      </w:r>
    </w:p>
    <w:p>
      <w:pPr>
        <w:pStyle w:val="Heading3"/>
      </w:pPr>
      <w:r>
        <w:rPr>
          <w:b w:val="0"/>
          <w:i w:val="0"/>
        </w:rPr>
        <w:t>Entry discipline</w:t>
      </w:r>
    </w:p>
    <w:tbl>
      <w:tblPr>
        <w:tblW w:type="auto" w:w="0"/>
        <w:jc w:val="center"/>
        <w:tblLayout w:type="autofit"/>
        <w:tblLook w:firstColumn="1" w:firstRow="1" w:lastColumn="0" w:lastRow="0" w:noHBand="0" w:noVBand="1" w:val="04A0"/>
        <w:tblBorders>
          <w:top w:val="single" w:sz="4" w:color="D8D8D8"/>
          <w:left w:val="single" w:sz="4" w:color="D8D8D8"/>
          <w:bottom w:val="single" w:sz="4" w:color="D8D8D8"/>
          <w:right w:val="single" w:sz="4" w:color="D8D8D8"/>
          <w:insideH w:val="single" w:sz="4" w:color="D8D8D8"/>
          <w:insideV w:val="single" w:sz="4" w:color="D8D8D8"/>
        </w:tblBorders>
      </w:tblPr>
      <w:tblGrid>
        <w:gridCol w:w="4824"/>
        <w:gridCol w:w="4824"/>
      </w:tblGrid>
      <w:tr>
        <w:tc>
          <w:tcPr>
            <w:tcW w:type="dxa" w:w="4824"/>
            <w:shd w:val="clear" w:fill="F2F2F2"/>
          </w:tcPr>
          <w:p>
            <w:r/>
            <w:r>
              <w:rPr>
                <w:b/>
                <w:sz w:val="17"/>
              </w:rPr>
              <w:t>Price</w:t>
            </w:r>
          </w:p>
        </w:tc>
        <w:tc>
          <w:tcPr>
            <w:tcW w:type="dxa" w:w="4824"/>
            <w:shd w:val="clear" w:fill="F2F2F2"/>
          </w:tcPr>
          <w:p>
            <w:r/>
            <w:r>
              <w:rPr>
                <w:b/>
                <w:sz w:val="17"/>
              </w:rPr>
              <w:t>Action</w:t>
            </w:r>
          </w:p>
        </w:tc>
      </w:tr>
      <w:tr>
        <w:tc>
          <w:tcPr>
            <w:tcW w:type="dxa" w:w="4824"/>
          </w:tcPr>
          <w:p>
            <w:pPr>
              <w:spacing w:after="20"/>
            </w:pPr>
            <w:r>
              <w:rPr>
                <w:sz w:val="17"/>
              </w:rPr>
            </w:r>
            <w:r>
              <w:rPr>
                <w:b w:val="0"/>
                <w:i w:val="0"/>
                <w:sz w:val="17"/>
              </w:rPr>
              <w:t>Above $112</w:t>
            </w:r>
          </w:p>
        </w:tc>
        <w:tc>
          <w:tcPr>
            <w:tcW w:type="dxa" w:w="4824"/>
          </w:tcPr>
          <w:p>
            <w:pPr>
              <w:spacing w:after="20"/>
            </w:pPr>
            <w:r>
              <w:rPr>
                <w:sz w:val="17"/>
              </w:rPr>
            </w:r>
            <w:r>
              <w:rPr>
                <w:b w:val="0"/>
                <w:i w:val="0"/>
                <w:sz w:val="17"/>
              </w:rPr>
              <w:t>No purchase. Above the base case.</w:t>
            </w:r>
          </w:p>
        </w:tc>
      </w:tr>
      <w:tr>
        <w:tc>
          <w:tcPr>
            <w:tcW w:type="dxa" w:w="4824"/>
          </w:tcPr>
          <w:p>
            <w:pPr>
              <w:spacing w:after="20"/>
            </w:pPr>
            <w:r>
              <w:rPr>
                <w:sz w:val="17"/>
              </w:rPr>
            </w:r>
            <w:r>
              <w:rPr>
                <w:b w:val="0"/>
                <w:i w:val="0"/>
                <w:sz w:val="17"/>
              </w:rPr>
              <w:t>$100 to $112</w:t>
            </w:r>
          </w:p>
        </w:tc>
        <w:tc>
          <w:tcPr>
            <w:tcW w:type="dxa" w:w="4824"/>
          </w:tcPr>
          <w:p>
            <w:pPr>
              <w:spacing w:after="20"/>
            </w:pPr>
            <w:r>
              <w:rPr>
                <w:sz w:val="17"/>
              </w:rPr>
            </w:r>
            <w:r>
              <w:rPr>
                <w:b w:val="0"/>
                <w:i w:val="0"/>
                <w:sz w:val="17"/>
              </w:rPr>
              <w:t>Hold. No new capital at an expected return inside the band.</w:t>
            </w:r>
          </w:p>
        </w:tc>
      </w:tr>
      <w:tr>
        <w:tc>
          <w:tcPr>
            <w:tcW w:type="dxa" w:w="4824"/>
          </w:tcPr>
          <w:p>
            <w:pPr>
              <w:spacing w:after="20"/>
            </w:pPr>
            <w:r>
              <w:rPr>
                <w:sz w:val="17"/>
              </w:rPr>
            </w:r>
            <w:r>
              <w:rPr>
                <w:b w:val="0"/>
                <w:i w:val="0"/>
                <w:sz w:val="17"/>
              </w:rPr>
              <w:t>$92 to $100</w:t>
            </w:r>
          </w:p>
        </w:tc>
        <w:tc>
          <w:tcPr>
            <w:tcW w:type="dxa" w:w="4824"/>
          </w:tcPr>
          <w:p>
            <w:pPr>
              <w:spacing w:after="20"/>
            </w:pPr>
            <w:r>
              <w:rPr>
                <w:sz w:val="17"/>
              </w:rPr>
            </w:r>
            <w:r>
              <w:rPr>
                <w:b w:val="0"/>
                <w:i w:val="0"/>
                <w:sz w:val="17"/>
              </w:rPr>
              <w:t>Start a position if the Q1 print on 2026-04-23 shows coatings volume flat or better.</w:t>
            </w:r>
          </w:p>
        </w:tc>
      </w:tr>
      <w:tr>
        <w:tc>
          <w:tcPr>
            <w:tcW w:type="dxa" w:w="4824"/>
          </w:tcPr>
          <w:p>
            <w:pPr>
              <w:spacing w:after="20"/>
            </w:pPr>
            <w:r>
              <w:rPr>
                <w:sz w:val="17"/>
              </w:rPr>
            </w:r>
            <w:r>
              <w:rPr>
                <w:b w:val="0"/>
                <w:i w:val="0"/>
                <w:sz w:val="17"/>
              </w:rPr>
              <w:t>Below $92</w:t>
            </w:r>
          </w:p>
        </w:tc>
        <w:tc>
          <w:tcPr>
            <w:tcW w:type="dxa" w:w="4824"/>
          </w:tcPr>
          <w:p>
            <w:pPr>
              <w:spacing w:after="20"/>
            </w:pPr>
            <w:r>
              <w:rPr>
                <w:sz w:val="17"/>
              </w:rPr>
            </w:r>
            <w:r>
              <w:rPr>
                <w:b w:val="0"/>
                <w:i w:val="0"/>
                <w:sz w:val="17"/>
              </w:rPr>
              <w:t>Buy without waiting for the print, which is the discounted cash flow low end of $94.70 less a margin.</w:t>
            </w:r>
          </w:p>
        </w:tc>
      </w:tr>
    </w:tbl>
    <w:p>
      <w:pPr>
        <w:spacing w:after="40"/>
      </w:pPr>
    </w:p>
    <w:p>
      <w:pPr>
        <w:pStyle w:val="Heading3"/>
      </w:pPr>
      <w:r>
        <w:rPr>
          <w:b w:val="0"/>
          <w:i w:val="0"/>
        </w:rPr>
        <w:t>Ownership and conflicts</w:t>
      </w:r>
    </w:p>
    <w:p>
      <w:r>
        <w:rPr>
          <w:b w:val="0"/>
          <w:i w:val="0"/>
        </w:rPr>
        <w:t>No position is held in ACME. The holdings snapshot is dated 2026-01-12 and shows no line in this security.</w:t>
      </w:r>
    </w:p>
    <w:p>
      <w:pPr>
        <w:pStyle w:val="Heading3"/>
      </w:pPr>
      <w:r>
        <w:rPr>
          <w:b w:val="0"/>
          <w:i w:val="0"/>
        </w:rPr>
        <w:t>Disclaimer</w:t>
      </w:r>
    </w:p>
    <w:p>
      <w:r>
        <w:rPr>
          <w:b w:val="0"/>
          <w:i w:val="0"/>
        </w:rPr>
        <w:t>Produced for educational and research purposes only. Not investment advice, not an offer, and not a solicitation to buy or sell any security.</w:t>
      </w:r>
    </w:p>
    <w:p>
      <w:r>
        <w:br w:type="page"/>
      </w:r>
    </w:p>
    <w:p>
      <w:pPr>
        <w:pStyle w:val="Heading1"/>
      </w:pPr>
      <w:r>
        <w:t>Risk gate</w:t>
      </w:r>
    </w:p>
    <w:p>
      <w:pPr>
        <w:spacing w:after="200"/>
      </w:pPr>
      <w:r>
        <w:rPr>
          <w:color w:val="6B6B6B"/>
          <w:sz w:val="17"/>
        </w:rPr>
        <w:t>Stage 5 · Opus · risk.md</w:t>
      </w:r>
    </w:p>
    <w:p>
      <w:pPr>
        <w:pStyle w:val="Heading2"/>
      </w:pPr>
      <w:r>
        <w:rPr>
          <w:b w:val="0"/>
          <w:i w:val="0"/>
        </w:rPr>
        <w:t>Risk gate — ACME</w:t>
      </w:r>
    </w:p>
    <w:p>
      <w:r>
        <w:rPr>
          <w:b w:val="0"/>
          <w:i w:val="0"/>
        </w:rPr>
        <w:t xml:space="preserve">Every figure below is invented. See </w:t>
      </w:r>
      <w:r>
        <w:rPr>
          <w:rFonts w:ascii="Consolas" w:hAnsi="Consolas"/>
          <w:b w:val="0"/>
          <w:i w:val="0"/>
          <w:sz w:val="18"/>
        </w:rPr>
        <w:t>run.md</w:t>
      </w:r>
      <w:r>
        <w:rPr>
          <w:b w:val="0"/>
          <w:i w:val="0"/>
        </w:rPr>
        <w:t>. The rating is not this agent's to change.</w:t>
      </w:r>
    </w:p>
    <w:p>
      <w:pPr>
        <w:pStyle w:val="Heading3"/>
      </w:pPr>
      <w:r>
        <w:rPr>
          <w:b w:val="0"/>
          <w:i w:val="0"/>
        </w:rPr>
        <w:t>The existing position</w:t>
      </w:r>
    </w:p>
    <w:p>
      <w:r>
        <w:rPr>
          <w:b w:val="0"/>
          <w:i w:val="0"/>
        </w:rPr>
        <w:t>None. The snapshot dated 2026-01-12 shows no ACME. Every figure below is therefore about a position that would be opened rather than one held.</w:t>
      </w:r>
    </w:p>
    <w:p>
      <w:pPr>
        <w:pStyle w:val="Heading3"/>
      </w:pPr>
      <w:r>
        <w:rPr>
          <w:b w:val="0"/>
          <w:i w:val="0"/>
        </w:rPr>
        <w:t>What a position would do to the book</w:t>
      </w:r>
    </w:p>
    <w:p>
      <w:r>
        <w:rPr>
          <w:b w:val="0"/>
          <w:i w:val="0"/>
        </w:rPr>
        <w:t>A 3% position at $100 in a portfolio of this size is 4.1% of the equity sleeve. That is inside the 5% single-name limit and it would become the fourth-largest holding. Nothing in the book is currently in specialty chemicals, so the concentration cost is sector rather than name.</w:t>
      </w:r>
    </w:p>
    <w:p>
      <w:pPr>
        <w:pStyle w:val="Heading3"/>
      </w:pPr>
      <w:r>
        <w:rPr>
          <w:b w:val="0"/>
          <w:i w:val="0"/>
        </w:rPr>
        <w:t>Correlation with what is already held</w:t>
      </w:r>
    </w:p>
    <w:p>
      <w:r>
        <w:rPr>
          <w:b w:val="0"/>
          <w:i w:val="0"/>
        </w:rPr>
        <w:t>Two overlaps worth naming. The industrials holding moves with the same industrial production series that drives Acme's coatings volume, and the two would fall together in a manufacturing slowdown. The building products holding shares the housing input on roughly a third of its revenue, and Acme's coatings book has no housing exposure, so that overlap is weaker than it looks.</w:t>
      </w:r>
    </w:p>
    <w:p>
      <w:pPr>
        <w:pStyle w:val="Heading3"/>
      </w:pPr>
      <w:r>
        <w:rPr>
          <w:b w:val="0"/>
          <w:i w:val="0"/>
        </w:rPr>
        <w:t>Round-trip cost</w:t>
      </w:r>
    </w:p>
    <w:p>
      <w:r>
        <w:rPr>
          <w:b w:val="0"/>
          <w:i w:val="0"/>
        </w:rPr>
        <w:t>The account is funded in CAD and Acme trades in USD. Trades are commission-free but conversion lands about 1.9% off mid in each direction, so the round trip costs about 3.8%.</w:t>
      </w:r>
    </w:p>
    <w:p>
      <w:r>
        <w:rPr>
          <w:b w:val="0"/>
          <w:i w:val="0"/>
        </w:rPr>
        <w:t>Against an expected total return of +10.7% that leaves +6.9% net, which still justifies the trade if the thesis holds. This is the arithmetic that matters on a marginal call: at an expected return of +4% the currency cost would take more than half the edge, and at +3.8% it would take all of it.</w:t>
      </w:r>
    </w:p>
    <w:p>
      <w:pPr>
        <w:pStyle w:val="Heading3"/>
      </w:pPr>
      <w:r>
        <w:rPr>
          <w:b w:val="0"/>
          <w:i w:val="0"/>
        </w:rPr>
        <w:t>Entry discipline</w:t>
      </w:r>
    </w:p>
    <w:tbl>
      <w:tblPr>
        <w:tblW w:type="auto" w:w="0"/>
        <w:jc w:val="center"/>
        <w:tblLayout w:type="autofit"/>
        <w:tblLook w:firstColumn="1" w:firstRow="1" w:lastColumn="0" w:lastRow="0" w:noHBand="0" w:noVBand="1" w:val="04A0"/>
        <w:tblBorders>
          <w:top w:val="single" w:sz="4" w:color="D8D8D8"/>
          <w:left w:val="single" w:sz="4" w:color="D8D8D8"/>
          <w:bottom w:val="single" w:sz="4" w:color="D8D8D8"/>
          <w:right w:val="single" w:sz="4" w:color="D8D8D8"/>
          <w:insideH w:val="single" w:sz="4" w:color="D8D8D8"/>
          <w:insideV w:val="single" w:sz="4" w:color="D8D8D8"/>
        </w:tblBorders>
      </w:tblPr>
      <w:tblGrid>
        <w:gridCol w:w="3216"/>
        <w:gridCol w:w="3216"/>
        <w:gridCol w:w="3216"/>
      </w:tblGrid>
      <w:tr>
        <w:tc>
          <w:tcPr>
            <w:tcW w:type="dxa" w:w="3216"/>
            <w:shd w:val="clear" w:fill="F2F2F2"/>
          </w:tcPr>
          <w:p>
            <w:r/>
            <w:r>
              <w:rPr>
                <w:b/>
                <w:sz w:val="17"/>
              </w:rPr>
              <w:t>Price</w:t>
            </w:r>
          </w:p>
        </w:tc>
        <w:tc>
          <w:tcPr>
            <w:tcW w:type="dxa" w:w="3216"/>
            <w:shd w:val="clear" w:fill="F2F2F2"/>
          </w:tcPr>
          <w:p>
            <w:r/>
            <w:r>
              <w:rPr>
                <w:b/>
                <w:sz w:val="17"/>
              </w:rPr>
              <w:t>Net expected return after currency</w:t>
            </w:r>
          </w:p>
        </w:tc>
        <w:tc>
          <w:tcPr>
            <w:tcW w:type="dxa" w:w="3216"/>
            <w:shd w:val="clear" w:fill="F2F2F2"/>
          </w:tcPr>
          <w:p>
            <w:r/>
            <w:r>
              <w:rPr>
                <w:b/>
                <w:sz w:val="17"/>
              </w:rPr>
              <w:t>Action</w:t>
            </w:r>
          </w:p>
        </w:tc>
      </w:tr>
      <w:tr>
        <w:tc>
          <w:tcPr>
            <w:tcW w:type="dxa" w:w="3216"/>
          </w:tcPr>
          <w:p>
            <w:pPr>
              <w:spacing w:after="20"/>
            </w:pPr>
            <w:r>
              <w:rPr>
                <w:sz w:val="17"/>
              </w:rPr>
            </w:r>
            <w:r>
              <w:rPr>
                <w:b w:val="0"/>
                <w:i w:val="0"/>
                <w:sz w:val="17"/>
              </w:rPr>
              <w:t>$112</w:t>
            </w:r>
          </w:p>
        </w:tc>
        <w:tc>
          <w:tcPr>
            <w:tcW w:type="dxa" w:w="3216"/>
          </w:tcPr>
          <w:p>
            <w:pPr>
              <w:spacing w:after="20"/>
            </w:pPr>
            <w:r>
              <w:rPr>
                <w:sz w:val="17"/>
              </w:rPr>
            </w:r>
            <w:r>
              <w:rPr>
                <w:b w:val="0"/>
                <w:i w:val="0"/>
                <w:sz w:val="17"/>
              </w:rPr>
              <w:t>+0.0%</w:t>
            </w:r>
          </w:p>
        </w:tc>
        <w:tc>
          <w:tcPr>
            <w:tcW w:type="dxa" w:w="3216"/>
          </w:tcPr>
          <w:p>
            <w:pPr>
              <w:spacing w:after="20"/>
            </w:pPr>
            <w:r>
              <w:rPr>
                <w:sz w:val="17"/>
              </w:rPr>
            </w:r>
            <w:r>
              <w:rPr>
                <w:b w:val="0"/>
                <w:i w:val="0"/>
                <w:sz w:val="17"/>
              </w:rPr>
              <w:t>No</w:t>
            </w:r>
          </w:p>
        </w:tc>
      </w:tr>
      <w:tr>
        <w:tc>
          <w:tcPr>
            <w:tcW w:type="dxa" w:w="3216"/>
          </w:tcPr>
          <w:p>
            <w:pPr>
              <w:spacing w:after="20"/>
            </w:pPr>
            <w:r>
              <w:rPr>
                <w:sz w:val="17"/>
              </w:rPr>
            </w:r>
            <w:r>
              <w:rPr>
                <w:b w:val="0"/>
                <w:i w:val="0"/>
                <w:sz w:val="17"/>
              </w:rPr>
              <w:t>$105</w:t>
            </w:r>
          </w:p>
        </w:tc>
        <w:tc>
          <w:tcPr>
            <w:tcW w:type="dxa" w:w="3216"/>
          </w:tcPr>
          <w:p>
            <w:pPr>
              <w:spacing w:after="20"/>
            </w:pPr>
            <w:r>
              <w:rPr>
                <w:sz w:val="17"/>
              </w:rPr>
            </w:r>
            <w:r>
              <w:rPr>
                <w:b w:val="0"/>
                <w:i w:val="0"/>
                <w:sz w:val="17"/>
              </w:rPr>
              <w:t>+3.5%</w:t>
            </w:r>
          </w:p>
        </w:tc>
        <w:tc>
          <w:tcPr>
            <w:tcW w:type="dxa" w:w="3216"/>
          </w:tcPr>
          <w:p>
            <w:pPr>
              <w:spacing w:after="20"/>
            </w:pPr>
            <w:r>
              <w:rPr>
                <w:sz w:val="17"/>
              </w:rPr>
            </w:r>
            <w:r>
              <w:rPr>
                <w:b w:val="0"/>
                <w:i w:val="0"/>
                <w:sz w:val="17"/>
              </w:rPr>
              <w:t>No</w:t>
            </w:r>
          </w:p>
        </w:tc>
      </w:tr>
      <w:tr>
        <w:tc>
          <w:tcPr>
            <w:tcW w:type="dxa" w:w="3216"/>
          </w:tcPr>
          <w:p>
            <w:pPr>
              <w:spacing w:after="20"/>
            </w:pPr>
            <w:r>
              <w:rPr>
                <w:sz w:val="17"/>
              </w:rPr>
            </w:r>
            <w:r>
              <w:rPr>
                <w:b w:val="0"/>
                <w:i w:val="0"/>
                <w:sz w:val="17"/>
              </w:rPr>
              <w:t>$100</w:t>
            </w:r>
          </w:p>
        </w:tc>
        <w:tc>
          <w:tcPr>
            <w:tcW w:type="dxa" w:w="3216"/>
          </w:tcPr>
          <w:p>
            <w:pPr>
              <w:spacing w:after="20"/>
            </w:pPr>
            <w:r>
              <w:rPr>
                <w:sz w:val="17"/>
              </w:rPr>
            </w:r>
            <w:r>
              <w:rPr>
                <w:b w:val="0"/>
                <w:i w:val="0"/>
                <w:sz w:val="17"/>
              </w:rPr>
              <w:t>+6.9%</w:t>
            </w:r>
          </w:p>
        </w:tc>
        <w:tc>
          <w:tcPr>
            <w:tcW w:type="dxa" w:w="3216"/>
          </w:tcPr>
          <w:p>
            <w:pPr>
              <w:spacing w:after="20"/>
            </w:pPr>
            <w:r>
              <w:rPr>
                <w:sz w:val="17"/>
              </w:rPr>
            </w:r>
            <w:r>
              <w:rPr>
                <w:b w:val="0"/>
                <w:i w:val="0"/>
                <w:sz w:val="17"/>
              </w:rPr>
              <w:t>Wait for the April print</w:t>
            </w:r>
          </w:p>
        </w:tc>
      </w:tr>
      <w:tr>
        <w:tc>
          <w:tcPr>
            <w:tcW w:type="dxa" w:w="3216"/>
          </w:tcPr>
          <w:p>
            <w:pPr>
              <w:spacing w:after="20"/>
            </w:pPr>
            <w:r>
              <w:rPr>
                <w:sz w:val="17"/>
              </w:rPr>
            </w:r>
            <w:r>
              <w:rPr>
                <w:b w:val="0"/>
                <w:i w:val="0"/>
                <w:sz w:val="17"/>
              </w:rPr>
              <w:t>$92</w:t>
            </w:r>
          </w:p>
        </w:tc>
        <w:tc>
          <w:tcPr>
            <w:tcW w:type="dxa" w:w="3216"/>
          </w:tcPr>
          <w:p>
            <w:pPr>
              <w:spacing w:after="20"/>
            </w:pPr>
            <w:r>
              <w:rPr>
                <w:sz w:val="17"/>
              </w:rPr>
            </w:r>
            <w:r>
              <w:rPr>
                <w:b w:val="0"/>
                <w:i w:val="0"/>
                <w:sz w:val="17"/>
              </w:rPr>
              <w:t>+14.4%</w:t>
            </w:r>
          </w:p>
        </w:tc>
        <w:tc>
          <w:tcPr>
            <w:tcW w:type="dxa" w:w="3216"/>
          </w:tcPr>
          <w:p>
            <w:pPr>
              <w:spacing w:after="20"/>
            </w:pPr>
            <w:r>
              <w:rPr>
                <w:sz w:val="17"/>
              </w:rPr>
            </w:r>
            <w:r>
              <w:rPr>
                <w:b w:val="0"/>
                <w:i w:val="0"/>
                <w:sz w:val="17"/>
              </w:rPr>
              <w:t>Open at 2%, add on the print</w:t>
            </w:r>
          </w:p>
        </w:tc>
      </w:tr>
      <w:tr>
        <w:tc>
          <w:tcPr>
            <w:tcW w:type="dxa" w:w="3216"/>
          </w:tcPr>
          <w:p>
            <w:pPr>
              <w:spacing w:after="20"/>
            </w:pPr>
            <w:r>
              <w:rPr>
                <w:sz w:val="17"/>
              </w:rPr>
            </w:r>
            <w:r>
              <w:rPr>
                <w:b w:val="0"/>
                <w:i w:val="0"/>
                <w:sz w:val="17"/>
              </w:rPr>
              <w:t>$85</w:t>
            </w:r>
          </w:p>
        </w:tc>
        <w:tc>
          <w:tcPr>
            <w:tcW w:type="dxa" w:w="3216"/>
          </w:tcPr>
          <w:p>
            <w:pPr>
              <w:spacing w:after="20"/>
            </w:pPr>
            <w:r>
              <w:rPr>
                <w:sz w:val="17"/>
              </w:rPr>
            </w:r>
            <w:r>
              <w:rPr>
                <w:b w:val="0"/>
                <w:i w:val="0"/>
                <w:sz w:val="17"/>
              </w:rPr>
              <w:t>+22.9%</w:t>
            </w:r>
          </w:p>
        </w:tc>
        <w:tc>
          <w:tcPr>
            <w:tcW w:type="dxa" w:w="3216"/>
          </w:tcPr>
          <w:p>
            <w:pPr>
              <w:spacing w:after="20"/>
            </w:pPr>
            <w:r>
              <w:rPr>
                <w:sz w:val="17"/>
              </w:rPr>
            </w:r>
            <w:r>
              <w:rPr>
                <w:b w:val="0"/>
                <w:i w:val="0"/>
                <w:sz w:val="17"/>
              </w:rPr>
              <w:t>Open at 3%</w:t>
            </w:r>
          </w:p>
        </w:tc>
      </w:tr>
    </w:tbl>
    <w:p>
      <w:pPr>
        <w:spacing w:after="40"/>
      </w:pPr>
    </w:p>
    <w:p>
      <w:pPr>
        <w:pStyle w:val="Heading3"/>
      </w:pPr>
      <w:r>
        <w:rPr>
          <w:b w:val="0"/>
          <w:i w:val="0"/>
        </w:rPr>
        <w:t>Where I disagree with the judge</w:t>
      </w:r>
    </w:p>
    <w:p>
      <w:r>
        <w:rPr>
          <w:b w:val="0"/>
          <w:i w:val="0"/>
        </w:rPr>
        <w:t>Nowhere on the rating. One note on the horizon: the Q1 print on 2026-04-23 is three months out and is the single event that resolves the flipping assumption, so a decision deferred to April costs almost nothing and buys the one fact the call turns on.</w:t>
      </w:r>
    </w:p>
    <w:p>
      <w:r>
        <w:br w:type="page"/>
      </w:r>
    </w:p>
    <w:p>
      <w:pPr>
        <w:pStyle w:val="Heading1"/>
      </w:pPr>
      <w:r>
        <w:t>Report as published</w:t>
      </w:r>
    </w:p>
    <w:p>
      <w:pPr>
        <w:spacing w:after="200"/>
      </w:pPr>
      <w:r>
        <w:rPr>
          <w:color w:val="6B6B6B"/>
          <w:sz w:val="17"/>
        </w:rPr>
        <w:t>Stage 6 · Opus · report.md</w:t>
      </w:r>
    </w:p>
    <w:p>
      <w:pPr>
        <w:pStyle w:val="Heading2"/>
      </w:pPr>
      <w:r>
        <w:rPr>
          <w:b w:val="0"/>
          <w:i w:val="0"/>
        </w:rPr>
        <w:t>Acme Materials Corporation — HOLD, $108.50 target</w:t>
      </w:r>
    </w:p>
    <w:p>
      <w:r>
        <w:rPr>
          <w:b w:val="0"/>
          <w:i w:val="0"/>
        </w:rPr>
        <w:t>Acme Materials Corporation is invented and every figure in this report is a fixture. The report exists to show what the export scripts produce.</w:t>
      </w:r>
    </w:p>
    <w:p>
      <w:pPr>
        <w:pStyle w:val="Heading3"/>
      </w:pPr>
      <w:r>
        <w:rPr>
          <w:b w:val="0"/>
          <w:i w:val="0"/>
        </w:rPr>
        <w:t>01 Company overview</w:t>
      </w:r>
    </w:p>
    <w:p>
      <w:r>
        <w:rPr>
          <w:b w:val="0"/>
          <w:i w:val="0"/>
        </w:rPr>
        <w:t>Acme Materials Corporation makes industrial coatings and specialty adhesives for manufacturers, and sells almost entirely business to business in North America. Fiscal 2025 revenue was $8,400m, up 5.3%, with industrial coatings at $5,510m and specialty adhesives at $2,890m. Coatings is 65.6% of revenue and the lower-margin half; adhesives carries the formulation work and the longer contracts.</w:t>
      </w:r>
    </w:p>
    <w:p>
      <w:r>
        <w:rPr>
          <w:b w:val="0"/>
          <w:i w:val="0"/>
        </w:rPr>
        <w:t>The company runs eleven plants, employs about 13,700 people and has raised its dividend in each of the past nine years. Fiscal years end December 31. Revenue per employee was $612k in FY2025, between Northbridge Chemical at $548k and Calder Specialty at $703k.</w:t>
      </w:r>
    </w:p>
    <w:p>
      <w:r>
        <w:rPr>
          <w:b w:val="0"/>
          <w:i w:val="0"/>
        </w:rPr>
        <w:t>Revenue grew at a 5.5% compound rate over the ten years to FY2025, with a single down year in FY2020. Operating margin widened from 16.1% to 19.3% over the same span, and gross margin did 1.8 points of that while SG&amp;A held flat as a share of revenue.</w:t>
      </w:r>
    </w:p>
    <w:p>
      <w:pPr>
        <w:pStyle w:val="Heading3"/>
      </w:pPr>
      <w:r>
        <w:rPr>
          <w:b w:val="0"/>
          <w:i w:val="0"/>
        </w:rPr>
        <w:t>02 Investment thesis and variant perception</w:t>
      </w:r>
    </w:p>
    <w:p>
      <w:r>
        <w:rPr>
          <w:b w:val="0"/>
          <w:i w:val="0"/>
        </w:rPr>
        <w:t>The market treats Acme as a cyclical coatings supplier trading slightly above its own history at 19.7x forward earnings against a ten-year median of 18.2x. On that reading the stock is fully priced.</w:t>
      </w:r>
    </w:p>
    <w:p>
      <w:r>
        <w:rPr>
          <w:b w:val="0"/>
          <w:i w:val="0"/>
        </w:rPr>
        <w:t>Two facts sit against it. Capital deployed in FY2025 earned a 20.5% incremental return against a 15.1% ten-year average, so new money is earning more than the existing base, which is the reverse of the normal pattern in a maturing chemicals book. And free cash flow conversion has averaged 108% of net income for a decade without falling below 92%, so the reported margin expansion is cash rather than accrual.</w:t>
      </w:r>
    </w:p>
    <w:p>
      <w:r>
        <w:rPr>
          <w:b w:val="0"/>
          <w:i w:val="0"/>
        </w:rPr>
        <w:t>The variant perception is narrow and it is on the risk rather than the quality. Three coatings customers are 21% of segment revenue, up from 17% two years ago, and two of them have said publicly they are evaluating insourcing. The market is pricing about 45bp less terminal growth than this valuation assumes, which is not enough to be pricing that risk. Whether it should be is the question this call turns on, and the answer arrives with the Q1 print on 2026-04-23.</w:t>
      </w:r>
    </w:p>
    <w:p>
      <w:r>
        <w:rPr>
          <w:b w:val="0"/>
          <w:i w:val="0"/>
        </w:rPr>
        <w:t>The conclusion is a hold rather than a disagreement. The business is better than the multiple implies by roughly $8 a share, and the concentration risk is worth roughly $36 a share at a 25% probability. Those cancel inside the band.</w:t>
      </w:r>
    </w:p>
    <w:p>
      <w:pPr>
        <w:pStyle w:val="Heading3"/>
      </w:pPr>
      <w:r>
        <w:rPr>
          <w:b w:val="0"/>
          <w:i w:val="0"/>
        </w:rPr>
        <w:t>03 Industry and competitive positioning</w:t>
      </w:r>
    </w:p>
    <w:p>
      <w:r>
        <w:rPr>
          <w:b w:val="0"/>
          <w:i w:val="0"/>
        </w:rPr>
        <w:t>Acme is third in North American industrial coatings and second in specialty adhesives. Four suppliers hold 71% of the coatings market.</w:t>
      </w:r>
    </w:p>
    <w:tbl>
      <w:tblPr>
        <w:tblW w:type="auto" w:w="0"/>
        <w:jc w:val="center"/>
        <w:tblLayout w:type="autofit"/>
        <w:tblLook w:firstColumn="1" w:firstRow="1" w:lastColumn="0" w:lastRow="0" w:noHBand="0" w:noVBand="1" w:val="04A0"/>
        <w:tblBorders>
          <w:top w:val="single" w:sz="4" w:color="D8D8D8"/>
          <w:left w:val="single" w:sz="4" w:color="D8D8D8"/>
          <w:bottom w:val="single" w:sz="4" w:color="D8D8D8"/>
          <w:right w:val="single" w:sz="4" w:color="D8D8D8"/>
          <w:insideH w:val="single" w:sz="4" w:color="D8D8D8"/>
          <w:insideV w:val="single" w:sz="4" w:color="D8D8D8"/>
        </w:tblBorders>
      </w:tblPr>
      <w:tblGrid>
        <w:gridCol w:w="3216"/>
        <w:gridCol w:w="3216"/>
        <w:gridCol w:w="3216"/>
      </w:tblGrid>
      <w:tr>
        <w:tc>
          <w:tcPr>
            <w:tcW w:type="dxa" w:w="3216"/>
            <w:shd w:val="clear" w:fill="F2F2F2"/>
          </w:tcPr>
          <w:p>
            <w:r/>
            <w:r>
              <w:rPr>
                <w:b/>
                <w:sz w:val="17"/>
              </w:rPr>
              <w:t>Force</w:t>
            </w:r>
          </w:p>
        </w:tc>
        <w:tc>
          <w:tcPr>
            <w:tcW w:type="dxa" w:w="3216"/>
            <w:shd w:val="clear" w:fill="F2F2F2"/>
          </w:tcPr>
          <w:p>
            <w:r/>
            <w:r>
              <w:rPr>
                <w:b/>
                <w:sz w:val="17"/>
              </w:rPr>
              <w:t>Strength</w:t>
            </w:r>
          </w:p>
        </w:tc>
        <w:tc>
          <w:tcPr>
            <w:tcW w:type="dxa" w:w="3216"/>
            <w:shd w:val="clear" w:fill="F2F2F2"/>
          </w:tcPr>
          <w:p>
            <w:r/>
            <w:r>
              <w:rPr>
                <w:b/>
                <w:sz w:val="17"/>
              </w:rPr>
              <w:t>Evidence</w:t>
            </w:r>
          </w:p>
        </w:tc>
      </w:tr>
      <w:tr>
        <w:tc>
          <w:tcPr>
            <w:tcW w:type="dxa" w:w="3216"/>
          </w:tcPr>
          <w:p>
            <w:pPr>
              <w:spacing w:after="20"/>
            </w:pPr>
            <w:r>
              <w:rPr>
                <w:sz w:val="17"/>
              </w:rPr>
            </w:r>
            <w:r>
              <w:rPr>
                <w:b w:val="0"/>
                <w:i w:val="0"/>
                <w:sz w:val="17"/>
              </w:rPr>
              <w:t>Rivalry</w:t>
            </w:r>
          </w:p>
        </w:tc>
        <w:tc>
          <w:tcPr>
            <w:tcW w:type="dxa" w:w="3216"/>
          </w:tcPr>
          <w:p>
            <w:pPr>
              <w:spacing w:after="20"/>
            </w:pPr>
            <w:r>
              <w:rPr>
                <w:sz w:val="17"/>
              </w:rPr>
            </w:r>
            <w:r>
              <w:rPr>
                <w:b w:val="0"/>
                <w:i w:val="0"/>
                <w:sz w:val="17"/>
              </w:rPr>
              <w:t>High in coatings, moderate in adhesives</w:t>
            </w:r>
          </w:p>
        </w:tc>
        <w:tc>
          <w:tcPr>
            <w:tcW w:type="dxa" w:w="3216"/>
          </w:tcPr>
          <w:p>
            <w:pPr>
              <w:spacing w:after="20"/>
            </w:pPr>
            <w:r>
              <w:rPr>
                <w:sz w:val="17"/>
              </w:rPr>
            </w:r>
            <w:r>
              <w:rPr>
                <w:b w:val="0"/>
                <w:i w:val="0"/>
                <w:sz w:val="17"/>
              </w:rPr>
              <w:t>Coatings priced on annual contracts among four suppliers holding 71% share; adhesives contracts run three to five years with six to nine months of requalification</w:t>
            </w:r>
          </w:p>
        </w:tc>
      </w:tr>
      <w:tr>
        <w:tc>
          <w:tcPr>
            <w:tcW w:type="dxa" w:w="3216"/>
          </w:tcPr>
          <w:p>
            <w:pPr>
              <w:spacing w:after="20"/>
            </w:pPr>
            <w:r>
              <w:rPr>
                <w:sz w:val="17"/>
              </w:rPr>
            </w:r>
            <w:r>
              <w:rPr>
                <w:b w:val="0"/>
                <w:i w:val="0"/>
                <w:sz w:val="17"/>
              </w:rPr>
              <w:t>Buyer power</w:t>
            </w:r>
          </w:p>
        </w:tc>
        <w:tc>
          <w:tcPr>
            <w:tcW w:type="dxa" w:w="3216"/>
          </w:tcPr>
          <w:p>
            <w:pPr>
              <w:spacing w:after="20"/>
            </w:pPr>
            <w:r>
              <w:rPr>
                <w:sz w:val="17"/>
              </w:rPr>
            </w:r>
            <w:r>
              <w:rPr>
                <w:b w:val="0"/>
                <w:i w:val="0"/>
                <w:sz w:val="17"/>
              </w:rPr>
              <w:t>High</w:t>
            </w:r>
          </w:p>
        </w:tc>
        <w:tc>
          <w:tcPr>
            <w:tcW w:type="dxa" w:w="3216"/>
          </w:tcPr>
          <w:p>
            <w:pPr>
              <w:spacing w:after="20"/>
            </w:pPr>
            <w:r>
              <w:rPr>
                <w:sz w:val="17"/>
              </w:rPr>
            </w:r>
            <w:r>
              <w:rPr>
                <w:b w:val="0"/>
                <w:i w:val="0"/>
                <w:sz w:val="17"/>
              </w:rPr>
              <w:t>Three coatings customers at 21% of segment revenue, negotiating annually, two evaluating insourcing</w:t>
            </w:r>
          </w:p>
        </w:tc>
      </w:tr>
      <w:tr>
        <w:tc>
          <w:tcPr>
            <w:tcW w:type="dxa" w:w="3216"/>
          </w:tcPr>
          <w:p>
            <w:pPr>
              <w:spacing w:after="20"/>
            </w:pPr>
            <w:r>
              <w:rPr>
                <w:sz w:val="17"/>
              </w:rPr>
            </w:r>
            <w:r>
              <w:rPr>
                <w:b w:val="0"/>
                <w:i w:val="0"/>
                <w:sz w:val="17"/>
              </w:rPr>
              <w:t>Supplier power</w:t>
            </w:r>
          </w:p>
        </w:tc>
        <w:tc>
          <w:tcPr>
            <w:tcW w:type="dxa" w:w="3216"/>
          </w:tcPr>
          <w:p>
            <w:pPr>
              <w:spacing w:after="20"/>
            </w:pPr>
            <w:r>
              <w:rPr>
                <w:sz w:val="17"/>
              </w:rPr>
            </w:r>
            <w:r>
              <w:rPr>
                <w:b w:val="0"/>
                <w:i w:val="0"/>
                <w:sz w:val="17"/>
              </w:rPr>
              <w:t>Moderate</w:t>
            </w:r>
          </w:p>
        </w:tc>
        <w:tc>
          <w:tcPr>
            <w:tcW w:type="dxa" w:w="3216"/>
          </w:tcPr>
          <w:p>
            <w:pPr>
              <w:spacing w:after="20"/>
            </w:pPr>
            <w:r>
              <w:rPr>
                <w:sz w:val="17"/>
              </w:rPr>
            </w:r>
            <w:r>
              <w:rPr>
                <w:b w:val="0"/>
                <w:i w:val="0"/>
                <w:sz w:val="17"/>
              </w:rPr>
              <w:t>Two resin inputs are 34% of cost of goods sold, each with three or more suppliers</w:t>
            </w:r>
          </w:p>
        </w:tc>
      </w:tr>
      <w:tr>
        <w:tc>
          <w:tcPr>
            <w:tcW w:type="dxa" w:w="3216"/>
          </w:tcPr>
          <w:p>
            <w:pPr>
              <w:spacing w:after="20"/>
            </w:pPr>
            <w:r>
              <w:rPr>
                <w:sz w:val="17"/>
              </w:rPr>
            </w:r>
            <w:r>
              <w:rPr>
                <w:b w:val="0"/>
                <w:i w:val="0"/>
                <w:sz w:val="17"/>
              </w:rPr>
              <w:t>New entrants</w:t>
            </w:r>
          </w:p>
        </w:tc>
        <w:tc>
          <w:tcPr>
            <w:tcW w:type="dxa" w:w="3216"/>
          </w:tcPr>
          <w:p>
            <w:pPr>
              <w:spacing w:after="20"/>
            </w:pPr>
            <w:r>
              <w:rPr>
                <w:sz w:val="17"/>
              </w:rPr>
            </w:r>
            <w:r>
              <w:rPr>
                <w:b w:val="0"/>
                <w:i w:val="0"/>
                <w:sz w:val="17"/>
              </w:rPr>
              <w:t>Low</w:t>
            </w:r>
          </w:p>
        </w:tc>
        <w:tc>
          <w:tcPr>
            <w:tcW w:type="dxa" w:w="3216"/>
          </w:tcPr>
          <w:p>
            <w:pPr>
              <w:spacing w:after="20"/>
            </w:pPr>
            <w:r>
              <w:rPr>
                <w:sz w:val="17"/>
              </w:rPr>
            </w:r>
            <w:r>
              <w:rPr>
                <w:b w:val="0"/>
                <w:i w:val="0"/>
                <w:sz w:val="17"/>
              </w:rPr>
              <w:t>A coatings line costs about $180m and takes two years to permit</w:t>
            </w:r>
          </w:p>
        </w:tc>
      </w:tr>
      <w:tr>
        <w:tc>
          <w:tcPr>
            <w:tcW w:type="dxa" w:w="3216"/>
          </w:tcPr>
          <w:p>
            <w:pPr>
              <w:spacing w:after="20"/>
            </w:pPr>
            <w:r>
              <w:rPr>
                <w:sz w:val="17"/>
              </w:rPr>
            </w:r>
            <w:r>
              <w:rPr>
                <w:b w:val="0"/>
                <w:i w:val="0"/>
                <w:sz w:val="17"/>
              </w:rPr>
              <w:t>Substitutes</w:t>
            </w:r>
          </w:p>
        </w:tc>
        <w:tc>
          <w:tcPr>
            <w:tcW w:type="dxa" w:w="3216"/>
          </w:tcPr>
          <w:p>
            <w:pPr>
              <w:spacing w:after="20"/>
            </w:pPr>
            <w:r>
              <w:rPr>
                <w:sz w:val="17"/>
              </w:rPr>
            </w:r>
            <w:r>
              <w:rPr>
                <w:b w:val="0"/>
                <w:i w:val="0"/>
                <w:sz w:val="17"/>
              </w:rPr>
              <w:t>Low in adhesives, moderate in coatings</w:t>
            </w:r>
          </w:p>
        </w:tc>
        <w:tc>
          <w:tcPr>
            <w:tcW w:type="dxa" w:w="3216"/>
          </w:tcPr>
          <w:p>
            <w:pPr>
              <w:spacing w:after="20"/>
            </w:pPr>
            <w:r>
              <w:rPr>
                <w:sz w:val="17"/>
              </w:rPr>
            </w:r>
            <w:r>
              <w:rPr>
                <w:b w:val="0"/>
                <w:i w:val="0"/>
                <w:sz w:val="17"/>
              </w:rPr>
              <w:t>Mechanical fastening substitutes for adhesives at a weight penalty; powder coatings substitute for liquid in some applications</w:t>
            </w:r>
          </w:p>
        </w:tc>
      </w:tr>
    </w:tbl>
    <w:p>
      <w:pPr>
        <w:spacing w:after="40"/>
      </w:pPr>
    </w:p>
    <w:tbl>
      <w:tblPr>
        <w:tblW w:type="auto" w:w="0"/>
        <w:jc w:val="center"/>
        <w:tblLayout w:type="autofit"/>
        <w:tblLook w:firstColumn="1" w:firstRow="1" w:lastColumn="0" w:lastRow="0" w:noHBand="0" w:noVBand="1" w:val="04A0"/>
        <w:tblBorders>
          <w:top w:val="single" w:sz="4" w:color="D8D8D8"/>
          <w:left w:val="single" w:sz="4" w:color="D8D8D8"/>
          <w:bottom w:val="single" w:sz="4" w:color="D8D8D8"/>
          <w:right w:val="single" w:sz="4" w:color="D8D8D8"/>
          <w:insideH w:val="single" w:sz="4" w:color="D8D8D8"/>
          <w:insideV w:val="single" w:sz="4" w:color="D8D8D8"/>
        </w:tblBorders>
      </w:tblPr>
      <w:tblGrid>
        <w:gridCol w:w="2412"/>
        <w:gridCol w:w="2412"/>
        <w:gridCol w:w="2412"/>
        <w:gridCol w:w="2412"/>
      </w:tblGrid>
      <w:tr>
        <w:tc>
          <w:tcPr>
            <w:tcW w:type="dxa" w:w="2412"/>
            <w:shd w:val="clear" w:fill="F2F2F2"/>
          </w:tcPr>
          <w:p>
            <w:r/>
            <w:r>
              <w:rPr>
                <w:b/>
                <w:sz w:val="17"/>
              </w:rPr>
              <w:t>Company</w:t>
            </w:r>
          </w:p>
        </w:tc>
        <w:tc>
          <w:tcPr>
            <w:tcW w:type="dxa" w:w="2412"/>
            <w:shd w:val="clear" w:fill="F2F2F2"/>
          </w:tcPr>
          <w:p>
            <w:r/>
            <w:r>
              <w:rPr>
                <w:b/>
                <w:sz w:val="17"/>
              </w:rPr>
              <w:t>Operating margin</w:t>
            </w:r>
          </w:p>
        </w:tc>
        <w:tc>
          <w:tcPr>
            <w:tcW w:type="dxa" w:w="2412"/>
            <w:shd w:val="clear" w:fill="F2F2F2"/>
          </w:tcPr>
          <w:p>
            <w:r/>
            <w:r>
              <w:rPr>
                <w:b/>
                <w:sz w:val="17"/>
              </w:rPr>
              <w:t>ROIC</w:t>
            </w:r>
          </w:p>
        </w:tc>
        <w:tc>
          <w:tcPr>
            <w:tcW w:type="dxa" w:w="2412"/>
            <w:shd w:val="clear" w:fill="F2F2F2"/>
          </w:tcPr>
          <w:p>
            <w:r/>
            <w:r>
              <w:rPr>
                <w:b/>
                <w:sz w:val="17"/>
              </w:rPr>
              <w:t>Revenue per employee</w:t>
            </w:r>
          </w:p>
        </w:tc>
      </w:tr>
      <w:tr>
        <w:tc>
          <w:tcPr>
            <w:tcW w:type="dxa" w:w="2412"/>
          </w:tcPr>
          <w:p>
            <w:pPr>
              <w:spacing w:after="20"/>
            </w:pPr>
            <w:r>
              <w:rPr>
                <w:sz w:val="17"/>
              </w:rPr>
            </w:r>
            <w:r>
              <w:rPr>
                <w:b w:val="0"/>
                <w:i w:val="0"/>
                <w:sz w:val="17"/>
              </w:rPr>
              <w:t>Acme Materials</w:t>
            </w:r>
          </w:p>
        </w:tc>
        <w:tc>
          <w:tcPr>
            <w:tcW w:type="dxa" w:w="2412"/>
          </w:tcPr>
          <w:p>
            <w:pPr>
              <w:spacing w:after="20"/>
            </w:pPr>
            <w:r>
              <w:rPr>
                <w:sz w:val="17"/>
              </w:rPr>
            </w:r>
            <w:r>
              <w:rPr>
                <w:b w:val="0"/>
                <w:i w:val="0"/>
                <w:sz w:val="17"/>
              </w:rPr>
              <w:t>19.3%</w:t>
            </w:r>
          </w:p>
        </w:tc>
        <w:tc>
          <w:tcPr>
            <w:tcW w:type="dxa" w:w="2412"/>
          </w:tcPr>
          <w:p>
            <w:pPr>
              <w:spacing w:after="20"/>
            </w:pPr>
            <w:r>
              <w:rPr>
                <w:sz w:val="17"/>
              </w:rPr>
            </w:r>
            <w:r>
              <w:rPr>
                <w:b w:val="0"/>
                <w:i w:val="0"/>
                <w:sz w:val="17"/>
              </w:rPr>
              <w:t>16.4%</w:t>
            </w:r>
          </w:p>
        </w:tc>
        <w:tc>
          <w:tcPr>
            <w:tcW w:type="dxa" w:w="2412"/>
          </w:tcPr>
          <w:p>
            <w:pPr>
              <w:spacing w:after="20"/>
            </w:pPr>
            <w:r>
              <w:rPr>
                <w:sz w:val="17"/>
              </w:rPr>
            </w:r>
            <w:r>
              <w:rPr>
                <w:b w:val="0"/>
                <w:i w:val="0"/>
                <w:sz w:val="17"/>
              </w:rPr>
              <w:t>$612k</w:t>
            </w:r>
          </w:p>
        </w:tc>
      </w:tr>
      <w:tr>
        <w:tc>
          <w:tcPr>
            <w:tcW w:type="dxa" w:w="2412"/>
          </w:tcPr>
          <w:p>
            <w:pPr>
              <w:spacing w:after="20"/>
            </w:pPr>
            <w:r>
              <w:rPr>
                <w:sz w:val="17"/>
              </w:rPr>
            </w:r>
            <w:r>
              <w:rPr>
                <w:b w:val="0"/>
                <w:i w:val="0"/>
                <w:sz w:val="17"/>
              </w:rPr>
              <w:t>Northbridge Chemical</w:t>
            </w:r>
          </w:p>
        </w:tc>
        <w:tc>
          <w:tcPr>
            <w:tcW w:type="dxa" w:w="2412"/>
          </w:tcPr>
          <w:p>
            <w:pPr>
              <w:spacing w:after="20"/>
            </w:pPr>
            <w:r>
              <w:rPr>
                <w:sz w:val="17"/>
              </w:rPr>
            </w:r>
            <w:r>
              <w:rPr>
                <w:b w:val="0"/>
                <w:i w:val="0"/>
                <w:sz w:val="17"/>
              </w:rPr>
              <w:t>16.1%</w:t>
            </w:r>
          </w:p>
        </w:tc>
        <w:tc>
          <w:tcPr>
            <w:tcW w:type="dxa" w:w="2412"/>
          </w:tcPr>
          <w:p>
            <w:pPr>
              <w:spacing w:after="20"/>
            </w:pPr>
            <w:r>
              <w:rPr>
                <w:sz w:val="17"/>
              </w:rPr>
            </w:r>
            <w:r>
              <w:rPr>
                <w:b w:val="0"/>
                <w:i w:val="0"/>
                <w:sz w:val="17"/>
              </w:rPr>
              <w:t>12.8%</w:t>
            </w:r>
          </w:p>
        </w:tc>
        <w:tc>
          <w:tcPr>
            <w:tcW w:type="dxa" w:w="2412"/>
          </w:tcPr>
          <w:p>
            <w:pPr>
              <w:spacing w:after="20"/>
            </w:pPr>
            <w:r>
              <w:rPr>
                <w:sz w:val="17"/>
              </w:rPr>
            </w:r>
            <w:r>
              <w:rPr>
                <w:b w:val="0"/>
                <w:i w:val="0"/>
                <w:sz w:val="17"/>
              </w:rPr>
              <w:t>$548k</w:t>
            </w:r>
          </w:p>
        </w:tc>
      </w:tr>
      <w:tr>
        <w:tc>
          <w:tcPr>
            <w:tcW w:type="dxa" w:w="2412"/>
          </w:tcPr>
          <w:p>
            <w:pPr>
              <w:spacing w:after="20"/>
            </w:pPr>
            <w:r>
              <w:rPr>
                <w:sz w:val="17"/>
              </w:rPr>
            </w:r>
            <w:r>
              <w:rPr>
                <w:b w:val="0"/>
                <w:i w:val="0"/>
                <w:sz w:val="17"/>
              </w:rPr>
              <w:t>Calder Specialty</w:t>
            </w:r>
          </w:p>
        </w:tc>
        <w:tc>
          <w:tcPr>
            <w:tcW w:type="dxa" w:w="2412"/>
          </w:tcPr>
          <w:p>
            <w:pPr>
              <w:spacing w:after="20"/>
            </w:pPr>
            <w:r>
              <w:rPr>
                <w:sz w:val="17"/>
              </w:rPr>
            </w:r>
            <w:r>
              <w:rPr>
                <w:b w:val="0"/>
                <w:i w:val="0"/>
                <w:sz w:val="17"/>
              </w:rPr>
              <w:t>21.4%</w:t>
            </w:r>
          </w:p>
        </w:tc>
        <w:tc>
          <w:tcPr>
            <w:tcW w:type="dxa" w:w="2412"/>
          </w:tcPr>
          <w:p>
            <w:pPr>
              <w:spacing w:after="20"/>
            </w:pPr>
            <w:r>
              <w:rPr>
                <w:sz w:val="17"/>
              </w:rPr>
            </w:r>
            <w:r>
              <w:rPr>
                <w:b w:val="0"/>
                <w:i w:val="0"/>
                <w:sz w:val="17"/>
              </w:rPr>
              <w:t>18.2%</w:t>
            </w:r>
          </w:p>
        </w:tc>
        <w:tc>
          <w:tcPr>
            <w:tcW w:type="dxa" w:w="2412"/>
          </w:tcPr>
          <w:p>
            <w:pPr>
              <w:spacing w:after="20"/>
            </w:pPr>
            <w:r>
              <w:rPr>
                <w:sz w:val="17"/>
              </w:rPr>
            </w:r>
            <w:r>
              <w:rPr>
                <w:b w:val="0"/>
                <w:i w:val="0"/>
                <w:sz w:val="17"/>
              </w:rPr>
              <w:t>$703k</w:t>
            </w:r>
          </w:p>
        </w:tc>
      </w:tr>
      <w:tr>
        <w:tc>
          <w:tcPr>
            <w:tcW w:type="dxa" w:w="2412"/>
          </w:tcPr>
          <w:p>
            <w:pPr>
              <w:spacing w:after="20"/>
            </w:pPr>
            <w:r>
              <w:rPr>
                <w:sz w:val="17"/>
              </w:rPr>
            </w:r>
            <w:r>
              <w:rPr>
                <w:b w:val="0"/>
                <w:i w:val="0"/>
                <w:sz w:val="17"/>
              </w:rPr>
              <w:t>Ferro-Lane Industries</w:t>
            </w:r>
          </w:p>
        </w:tc>
        <w:tc>
          <w:tcPr>
            <w:tcW w:type="dxa" w:w="2412"/>
          </w:tcPr>
          <w:p>
            <w:pPr>
              <w:spacing w:after="20"/>
            </w:pPr>
            <w:r>
              <w:rPr>
                <w:sz w:val="17"/>
              </w:rPr>
            </w:r>
            <w:r>
              <w:rPr>
                <w:b w:val="0"/>
                <w:i w:val="0"/>
                <w:sz w:val="17"/>
              </w:rPr>
              <w:t>12.7%</w:t>
            </w:r>
          </w:p>
        </w:tc>
        <w:tc>
          <w:tcPr>
            <w:tcW w:type="dxa" w:w="2412"/>
          </w:tcPr>
          <w:p>
            <w:pPr>
              <w:spacing w:after="20"/>
            </w:pPr>
            <w:r>
              <w:rPr>
                <w:sz w:val="17"/>
              </w:rPr>
            </w:r>
            <w:r>
              <w:rPr>
                <w:b w:val="0"/>
                <w:i w:val="0"/>
                <w:sz w:val="17"/>
              </w:rPr>
              <w:t>9.4%</w:t>
            </w:r>
          </w:p>
        </w:tc>
        <w:tc>
          <w:tcPr>
            <w:tcW w:type="dxa" w:w="2412"/>
          </w:tcPr>
          <w:p>
            <w:pPr>
              <w:spacing w:after="20"/>
            </w:pPr>
            <w:r>
              <w:rPr>
                <w:sz w:val="17"/>
              </w:rPr>
            </w:r>
            <w:r>
              <w:rPr>
                <w:b w:val="0"/>
                <w:i w:val="0"/>
                <w:sz w:val="17"/>
              </w:rPr>
              <w:t>$471k</w:t>
            </w:r>
          </w:p>
        </w:tc>
      </w:tr>
    </w:tbl>
    <w:p>
      <w:pPr>
        <w:spacing w:after="40"/>
      </w:pPr>
    </w:p>
    <w:p>
      <w:r>
        <w:rPr>
          <w:b w:val="0"/>
          <w:i w:val="0"/>
        </w:rPr>
        <w:t>Volatile organic compound rules tighten in three states in 2027 and favour the water-based formulations Acme already sells, worth about 1% of coatings revenue at a better margin.</w:t>
      </w:r>
    </w:p>
    <w:p>
      <w:pPr>
        <w:pStyle w:val="Heading3"/>
      </w:pPr>
      <w:r>
        <w:rPr>
          <w:b w:val="0"/>
          <w:i w:val="0"/>
        </w:rPr>
        <w:t>04 Financial analysis</w:t>
      </w:r>
    </w:p>
    <w:p>
      <w:r>
        <w:rPr>
          <w:b w:val="0"/>
          <w:i w:val="0"/>
        </w:rPr>
        <w:t>Ten fiscal years are in the workbook accompanying this report. Revenue compounded at 5.5%, operating income at 7.6%, and diluted earnings per share at 10.6% with share count down 13.5% over the decade.</w:t>
      </w:r>
    </w:p>
    <w:tbl>
      <w:tblPr>
        <w:tblW w:type="auto" w:w="0"/>
        <w:jc w:val="center"/>
        <w:tblLayout w:type="autofit"/>
        <w:tblLook w:firstColumn="1" w:firstRow="1" w:lastColumn="0" w:lastRow="0" w:noHBand="0" w:noVBand="1" w:val="04A0"/>
        <w:tblBorders>
          <w:top w:val="single" w:sz="4" w:color="D8D8D8"/>
          <w:left w:val="single" w:sz="4" w:color="D8D8D8"/>
          <w:bottom w:val="single" w:sz="4" w:color="D8D8D8"/>
          <w:right w:val="single" w:sz="4" w:color="D8D8D8"/>
          <w:insideH w:val="single" w:sz="4" w:color="D8D8D8"/>
          <w:insideV w:val="single" w:sz="4" w:color="D8D8D8"/>
        </w:tblBorders>
      </w:tblPr>
      <w:tblGrid>
        <w:gridCol w:w="2412"/>
        <w:gridCol w:w="2412"/>
        <w:gridCol w:w="2412"/>
        <w:gridCol w:w="2412"/>
      </w:tblGrid>
      <w:tr>
        <w:tc>
          <w:tcPr>
            <w:tcW w:type="dxa" w:w="2412"/>
            <w:shd w:val="clear" w:fill="F2F2F2"/>
          </w:tcPr>
          <w:p>
            <w:r/>
            <w:r>
              <w:rPr>
                <w:b/>
                <w:sz w:val="17"/>
              </w:rPr>
              <w:t>Item</w:t>
            </w:r>
          </w:p>
        </w:tc>
        <w:tc>
          <w:tcPr>
            <w:tcW w:type="dxa" w:w="2412"/>
            <w:shd w:val="clear" w:fill="F2F2F2"/>
          </w:tcPr>
          <w:p>
            <w:r/>
            <w:r>
              <w:rPr>
                <w:b/>
                <w:sz w:val="17"/>
              </w:rPr>
              <w:t>FY2021</w:t>
            </w:r>
          </w:p>
        </w:tc>
        <w:tc>
          <w:tcPr>
            <w:tcW w:type="dxa" w:w="2412"/>
            <w:shd w:val="clear" w:fill="F2F2F2"/>
          </w:tcPr>
          <w:p>
            <w:r/>
            <w:r>
              <w:rPr>
                <w:b/>
                <w:sz w:val="17"/>
              </w:rPr>
              <w:t>FY2023</w:t>
            </w:r>
          </w:p>
        </w:tc>
        <w:tc>
          <w:tcPr>
            <w:tcW w:type="dxa" w:w="2412"/>
            <w:shd w:val="clear" w:fill="F2F2F2"/>
          </w:tcPr>
          <w:p>
            <w:r/>
            <w:r>
              <w:rPr>
                <w:b/>
                <w:sz w:val="17"/>
              </w:rPr>
              <w:t>FY2025</w:t>
            </w:r>
          </w:p>
        </w:tc>
      </w:tr>
      <w:tr>
        <w:tc>
          <w:tcPr>
            <w:tcW w:type="dxa" w:w="2412"/>
          </w:tcPr>
          <w:p>
            <w:pPr>
              <w:spacing w:after="20"/>
            </w:pPr>
            <w:r>
              <w:rPr>
                <w:sz w:val="17"/>
              </w:rPr>
            </w:r>
            <w:r>
              <w:rPr>
                <w:b w:val="0"/>
                <w:i w:val="0"/>
                <w:sz w:val="17"/>
              </w:rPr>
              <w:t>Revenue (USD m)</w:t>
            </w:r>
          </w:p>
        </w:tc>
        <w:tc>
          <w:tcPr>
            <w:tcW w:type="dxa" w:w="2412"/>
          </w:tcPr>
          <w:p>
            <w:pPr>
              <w:spacing w:after="20"/>
            </w:pPr>
            <w:r>
              <w:rPr>
                <w:sz w:val="17"/>
              </w:rPr>
            </w:r>
            <w:r>
              <w:rPr>
                <w:b w:val="0"/>
                <w:i w:val="0"/>
                <w:sz w:val="17"/>
              </w:rPr>
              <w:t>6,540</w:t>
            </w:r>
          </w:p>
        </w:tc>
        <w:tc>
          <w:tcPr>
            <w:tcW w:type="dxa" w:w="2412"/>
          </w:tcPr>
          <w:p>
            <w:pPr>
              <w:spacing w:after="20"/>
            </w:pPr>
            <w:r>
              <w:rPr>
                <w:sz w:val="17"/>
              </w:rPr>
            </w:r>
            <w:r>
              <w:rPr>
                <w:b w:val="0"/>
                <w:i w:val="0"/>
                <w:sz w:val="17"/>
              </w:rPr>
              <w:t>7,620</w:t>
            </w:r>
          </w:p>
        </w:tc>
        <w:tc>
          <w:tcPr>
            <w:tcW w:type="dxa" w:w="2412"/>
          </w:tcPr>
          <w:p>
            <w:pPr>
              <w:spacing w:after="20"/>
            </w:pPr>
            <w:r>
              <w:rPr>
                <w:sz w:val="17"/>
              </w:rPr>
            </w:r>
            <w:r>
              <w:rPr>
                <w:b w:val="0"/>
                <w:i w:val="0"/>
                <w:sz w:val="17"/>
              </w:rPr>
              <w:t>8,400</w:t>
            </w:r>
          </w:p>
        </w:tc>
      </w:tr>
      <w:tr>
        <w:tc>
          <w:tcPr>
            <w:tcW w:type="dxa" w:w="2412"/>
          </w:tcPr>
          <w:p>
            <w:pPr>
              <w:spacing w:after="20"/>
            </w:pPr>
            <w:r>
              <w:rPr>
                <w:sz w:val="17"/>
              </w:rPr>
            </w:r>
            <w:r>
              <w:rPr>
                <w:b w:val="0"/>
                <w:i w:val="0"/>
                <w:sz w:val="17"/>
              </w:rPr>
              <w:t>Operating margin</w:t>
            </w:r>
          </w:p>
        </w:tc>
        <w:tc>
          <w:tcPr>
            <w:tcW w:type="dxa" w:w="2412"/>
          </w:tcPr>
          <w:p>
            <w:pPr>
              <w:spacing w:after="20"/>
            </w:pPr>
            <w:r>
              <w:rPr>
                <w:sz w:val="17"/>
              </w:rPr>
            </w:r>
            <w:r>
              <w:rPr>
                <w:b w:val="0"/>
                <w:i w:val="0"/>
                <w:sz w:val="17"/>
              </w:rPr>
              <w:t>17.5%</w:t>
            </w:r>
          </w:p>
        </w:tc>
        <w:tc>
          <w:tcPr>
            <w:tcW w:type="dxa" w:w="2412"/>
          </w:tcPr>
          <w:p>
            <w:pPr>
              <w:spacing w:after="20"/>
            </w:pPr>
            <w:r>
              <w:rPr>
                <w:sz w:val="17"/>
              </w:rPr>
            </w:r>
            <w:r>
              <w:rPr>
                <w:b w:val="0"/>
                <w:i w:val="0"/>
                <w:sz w:val="17"/>
              </w:rPr>
              <w:t>18.7%</w:t>
            </w:r>
          </w:p>
        </w:tc>
        <w:tc>
          <w:tcPr>
            <w:tcW w:type="dxa" w:w="2412"/>
          </w:tcPr>
          <w:p>
            <w:pPr>
              <w:spacing w:after="20"/>
            </w:pPr>
            <w:r>
              <w:rPr>
                <w:sz w:val="17"/>
              </w:rPr>
            </w:r>
            <w:r>
              <w:rPr>
                <w:b w:val="0"/>
                <w:i w:val="0"/>
                <w:sz w:val="17"/>
              </w:rPr>
              <w:t>19.3%</w:t>
            </w:r>
          </w:p>
        </w:tc>
      </w:tr>
      <w:tr>
        <w:tc>
          <w:tcPr>
            <w:tcW w:type="dxa" w:w="2412"/>
          </w:tcPr>
          <w:p>
            <w:pPr>
              <w:spacing w:after="20"/>
            </w:pPr>
            <w:r>
              <w:rPr>
                <w:sz w:val="17"/>
              </w:rPr>
            </w:r>
            <w:r>
              <w:rPr>
                <w:b w:val="0"/>
                <w:i w:val="0"/>
                <w:sz w:val="17"/>
              </w:rPr>
              <w:t>Net income (USD m)</w:t>
            </w:r>
          </w:p>
        </w:tc>
        <w:tc>
          <w:tcPr>
            <w:tcW w:type="dxa" w:w="2412"/>
          </w:tcPr>
          <w:p>
            <w:pPr>
              <w:spacing w:after="20"/>
            </w:pPr>
            <w:r>
              <w:rPr>
                <w:sz w:val="17"/>
              </w:rPr>
            </w:r>
            <w:r>
              <w:rPr>
                <w:b w:val="0"/>
                <w:i w:val="0"/>
                <w:sz w:val="17"/>
              </w:rPr>
              <w:t>808</w:t>
            </w:r>
          </w:p>
        </w:tc>
        <w:tc>
          <w:tcPr>
            <w:tcW w:type="dxa" w:w="2412"/>
          </w:tcPr>
          <w:p>
            <w:pPr>
              <w:spacing w:after="20"/>
            </w:pPr>
            <w:r>
              <w:rPr>
                <w:sz w:val="17"/>
              </w:rPr>
            </w:r>
            <w:r>
              <w:rPr>
                <w:b w:val="0"/>
                <w:i w:val="0"/>
                <w:sz w:val="17"/>
              </w:rPr>
              <w:t>1,027</w:t>
            </w:r>
          </w:p>
        </w:tc>
        <w:tc>
          <w:tcPr>
            <w:tcW w:type="dxa" w:w="2412"/>
          </w:tcPr>
          <w:p>
            <w:pPr>
              <w:spacing w:after="20"/>
            </w:pPr>
            <w:r>
              <w:rPr>
                <w:sz w:val="17"/>
              </w:rPr>
            </w:r>
            <w:r>
              <w:rPr>
                <w:b w:val="0"/>
                <w:i w:val="0"/>
                <w:sz w:val="17"/>
              </w:rPr>
              <w:t>1,183</w:t>
            </w:r>
          </w:p>
        </w:tc>
      </w:tr>
      <w:tr>
        <w:tc>
          <w:tcPr>
            <w:tcW w:type="dxa" w:w="2412"/>
          </w:tcPr>
          <w:p>
            <w:pPr>
              <w:spacing w:after="20"/>
            </w:pPr>
            <w:r>
              <w:rPr>
                <w:sz w:val="17"/>
              </w:rPr>
            </w:r>
            <w:r>
              <w:rPr>
                <w:b w:val="0"/>
                <w:i w:val="0"/>
                <w:sz w:val="17"/>
              </w:rPr>
              <w:t>Diluted EPS (USD)</w:t>
            </w:r>
          </w:p>
        </w:tc>
        <w:tc>
          <w:tcPr>
            <w:tcW w:type="dxa" w:w="2412"/>
          </w:tcPr>
          <w:p>
            <w:pPr>
              <w:spacing w:after="20"/>
            </w:pPr>
            <w:r>
              <w:rPr>
                <w:sz w:val="17"/>
              </w:rPr>
            </w:r>
            <w:r>
              <w:rPr>
                <w:b w:val="0"/>
                <w:i w:val="0"/>
                <w:sz w:val="17"/>
              </w:rPr>
              <w:t>3.06</w:t>
            </w:r>
          </w:p>
        </w:tc>
        <w:tc>
          <w:tcPr>
            <w:tcW w:type="dxa" w:w="2412"/>
          </w:tcPr>
          <w:p>
            <w:pPr>
              <w:spacing w:after="20"/>
            </w:pPr>
            <w:r>
              <w:rPr>
                <w:sz w:val="17"/>
              </w:rPr>
            </w:r>
            <w:r>
              <w:rPr>
                <w:b w:val="0"/>
                <w:i w:val="0"/>
                <w:sz w:val="17"/>
              </w:rPr>
              <w:t>4.01</w:t>
            </w:r>
          </w:p>
        </w:tc>
        <w:tc>
          <w:tcPr>
            <w:tcW w:type="dxa" w:w="2412"/>
          </w:tcPr>
          <w:p>
            <w:pPr>
              <w:spacing w:after="20"/>
            </w:pPr>
            <w:r>
              <w:rPr>
                <w:sz w:val="17"/>
              </w:rPr>
            </w:r>
            <w:r>
              <w:rPr>
                <w:b w:val="0"/>
                <w:i w:val="0"/>
                <w:sz w:val="17"/>
              </w:rPr>
              <w:t>4.73</w:t>
            </w:r>
          </w:p>
        </w:tc>
      </w:tr>
      <w:tr>
        <w:tc>
          <w:tcPr>
            <w:tcW w:type="dxa" w:w="2412"/>
          </w:tcPr>
          <w:p>
            <w:pPr>
              <w:spacing w:after="20"/>
            </w:pPr>
            <w:r>
              <w:rPr>
                <w:sz w:val="17"/>
              </w:rPr>
            </w:r>
            <w:r>
              <w:rPr>
                <w:b w:val="0"/>
                <w:i w:val="0"/>
                <w:sz w:val="17"/>
              </w:rPr>
              <w:t>Free cash flow (USD m)</w:t>
            </w:r>
          </w:p>
        </w:tc>
        <w:tc>
          <w:tcPr>
            <w:tcW w:type="dxa" w:w="2412"/>
          </w:tcPr>
          <w:p>
            <w:pPr>
              <w:spacing w:after="20"/>
            </w:pPr>
            <w:r>
              <w:rPr>
                <w:sz w:val="17"/>
              </w:rPr>
            </w:r>
            <w:r>
              <w:rPr>
                <w:b w:val="0"/>
                <w:i w:val="0"/>
                <w:sz w:val="17"/>
              </w:rPr>
              <w:t>870</w:t>
            </w:r>
          </w:p>
        </w:tc>
        <w:tc>
          <w:tcPr>
            <w:tcW w:type="dxa" w:w="2412"/>
          </w:tcPr>
          <w:p>
            <w:pPr>
              <w:spacing w:after="20"/>
            </w:pPr>
            <w:r>
              <w:rPr>
                <w:sz w:val="17"/>
              </w:rPr>
            </w:r>
            <w:r>
              <w:rPr>
                <w:b w:val="0"/>
                <w:i w:val="0"/>
                <w:sz w:val="17"/>
              </w:rPr>
              <w:t>1,120</w:t>
            </w:r>
          </w:p>
        </w:tc>
        <w:tc>
          <w:tcPr>
            <w:tcW w:type="dxa" w:w="2412"/>
          </w:tcPr>
          <w:p>
            <w:pPr>
              <w:spacing w:after="20"/>
            </w:pPr>
            <w:r>
              <w:rPr>
                <w:sz w:val="17"/>
              </w:rPr>
            </w:r>
            <w:r>
              <w:rPr>
                <w:b w:val="0"/>
                <w:i w:val="0"/>
                <w:sz w:val="17"/>
              </w:rPr>
              <w:t>1,340</w:t>
            </w:r>
          </w:p>
        </w:tc>
      </w:tr>
      <w:tr>
        <w:tc>
          <w:tcPr>
            <w:tcW w:type="dxa" w:w="2412"/>
          </w:tcPr>
          <w:p>
            <w:pPr>
              <w:spacing w:after="20"/>
            </w:pPr>
            <w:r>
              <w:rPr>
                <w:sz w:val="17"/>
              </w:rPr>
            </w:r>
            <w:r>
              <w:rPr>
                <w:b w:val="0"/>
                <w:i w:val="0"/>
                <w:sz w:val="17"/>
              </w:rPr>
              <w:t>Return on invested capital</w:t>
            </w:r>
          </w:p>
        </w:tc>
        <w:tc>
          <w:tcPr>
            <w:tcW w:type="dxa" w:w="2412"/>
          </w:tcPr>
          <w:p>
            <w:pPr>
              <w:spacing w:after="20"/>
            </w:pPr>
            <w:r>
              <w:rPr>
                <w:sz w:val="17"/>
              </w:rPr>
            </w:r>
            <w:r>
              <w:rPr>
                <w:b w:val="0"/>
                <w:i w:val="0"/>
                <w:sz w:val="17"/>
              </w:rPr>
              <w:t>15.4%</w:t>
            </w:r>
          </w:p>
        </w:tc>
        <w:tc>
          <w:tcPr>
            <w:tcW w:type="dxa" w:w="2412"/>
          </w:tcPr>
          <w:p>
            <w:pPr>
              <w:spacing w:after="20"/>
            </w:pPr>
            <w:r>
              <w:rPr>
                <w:sz w:val="17"/>
              </w:rPr>
            </w:r>
            <w:r>
              <w:rPr>
                <w:b w:val="0"/>
                <w:i w:val="0"/>
                <w:sz w:val="17"/>
              </w:rPr>
              <w:t>16.0%</w:t>
            </w:r>
          </w:p>
        </w:tc>
        <w:tc>
          <w:tcPr>
            <w:tcW w:type="dxa" w:w="2412"/>
          </w:tcPr>
          <w:p>
            <w:pPr>
              <w:spacing w:after="20"/>
            </w:pPr>
            <w:r>
              <w:rPr>
                <w:sz w:val="17"/>
              </w:rPr>
            </w:r>
            <w:r>
              <w:rPr>
                <w:b w:val="0"/>
                <w:i w:val="0"/>
                <w:sz w:val="17"/>
              </w:rPr>
              <w:t>16.4%</w:t>
            </w:r>
          </w:p>
        </w:tc>
      </w:tr>
      <w:tr>
        <w:tc>
          <w:tcPr>
            <w:tcW w:type="dxa" w:w="2412"/>
          </w:tcPr>
          <w:p>
            <w:pPr>
              <w:spacing w:after="20"/>
            </w:pPr>
            <w:r>
              <w:rPr>
                <w:sz w:val="17"/>
              </w:rPr>
            </w:r>
            <w:r>
              <w:rPr>
                <w:b w:val="0"/>
                <w:i w:val="0"/>
                <w:sz w:val="17"/>
              </w:rPr>
              <w:t>Net debt to EBITDA</w:t>
            </w:r>
          </w:p>
        </w:tc>
        <w:tc>
          <w:tcPr>
            <w:tcW w:type="dxa" w:w="2412"/>
          </w:tcPr>
          <w:p>
            <w:pPr>
              <w:spacing w:after="20"/>
            </w:pPr>
            <w:r>
              <w:rPr>
                <w:sz w:val="17"/>
              </w:rPr>
            </w:r>
            <w:r>
              <w:rPr>
                <w:b w:val="0"/>
                <w:i w:val="0"/>
                <w:sz w:val="17"/>
              </w:rPr>
              <w:t>1.37x</w:t>
            </w:r>
          </w:p>
        </w:tc>
        <w:tc>
          <w:tcPr>
            <w:tcW w:type="dxa" w:w="2412"/>
          </w:tcPr>
          <w:p>
            <w:pPr>
              <w:spacing w:after="20"/>
            </w:pPr>
            <w:r>
              <w:rPr>
                <w:sz w:val="17"/>
              </w:rPr>
            </w:r>
            <w:r>
              <w:rPr>
                <w:b w:val="0"/>
                <w:i w:val="0"/>
                <w:sz w:val="17"/>
              </w:rPr>
              <w:t>1.08x</w:t>
            </w:r>
          </w:p>
        </w:tc>
        <w:tc>
          <w:tcPr>
            <w:tcW w:type="dxa" w:w="2412"/>
          </w:tcPr>
          <w:p>
            <w:pPr>
              <w:spacing w:after="20"/>
            </w:pPr>
            <w:r>
              <w:rPr>
                <w:sz w:val="17"/>
              </w:rPr>
            </w:r>
            <w:r>
              <w:rPr>
                <w:b w:val="0"/>
                <w:i w:val="0"/>
                <w:sz w:val="17"/>
              </w:rPr>
              <w:t>0.91x</w:t>
            </w:r>
          </w:p>
        </w:tc>
      </w:tr>
    </w:tbl>
    <w:p>
      <w:pPr>
        <w:spacing w:after="40"/>
      </w:pPr>
    </w:p>
    <w:p>
      <w:r>
        <w:rPr>
          <w:b w:val="0"/>
          <w:i w:val="0"/>
        </w:rPr>
        <w:t>Depreciation has tracked capital expenditure within 15% every year, so the margin gain is not deferred maintenance. Share-based compensation of $58m is charged in these figures. Development spending on new adhesive formulations is expensed as incurred, which understates margin against peers who capitalise.</w:t>
      </w:r>
    </w:p>
    <w:p>
      <w:r>
        <w:rPr>
          <w:b w:val="0"/>
          <w:i w:val="0"/>
        </w:rPr>
        <w:t>Net debt of $1,800m is 0.91x EBITDA against 1.86x in FY2016, with no maturity wall: $340m due FY2027, $520m FY2029, the balance after FY2031.</w:t>
      </w:r>
    </w:p>
    <w:p>
      <w:pPr>
        <w:pStyle w:val="Heading3"/>
      </w:pPr>
      <w:r>
        <w:rPr>
          <w:b w:val="0"/>
          <w:i w:val="0"/>
        </w:rPr>
        <w:t>05 Valuation</w:t>
      </w:r>
    </w:p>
    <w:p>
      <w:r>
        <w:rPr>
          <w:b w:val="0"/>
          <w:i w:val="0"/>
        </w:rPr>
        <w:t>Discounted free cash flow to the firm as primary, comparables as secondary. Ten explicit years, mid-year discounting, no stub because FY2025 closed on 2025-12-31. Terminal value by perpetuity growth at 2.5% with reinvestment at 17.9%, which is 2.5% over a 14.0% terminal return on new capital.</w:t>
      </w:r>
    </w:p>
    <w:p>
      <w:r>
        <w:rPr>
          <w:b w:val="0"/>
          <w:i w:val="0"/>
        </w:rPr>
        <w:t>WACC of 8.50%: cost of equity 9.30% from a 4.20% ten-year Treasury, a 5.0% equity risk premium and a beta of 1.02, with after-tax cost of debt at 3.6% on 24% of capital.</w:t>
      </w:r>
    </w:p>
    <w:tbl>
      <w:tblPr>
        <w:tblW w:type="auto" w:w="0"/>
        <w:jc w:val="center"/>
        <w:tblLayout w:type="autofit"/>
        <w:tblLook w:firstColumn="1" w:firstRow="1" w:lastColumn="0" w:lastRow="0" w:noHBand="0" w:noVBand="1" w:val="04A0"/>
        <w:tblBorders>
          <w:top w:val="single" w:sz="4" w:color="D8D8D8"/>
          <w:left w:val="single" w:sz="4" w:color="D8D8D8"/>
          <w:bottom w:val="single" w:sz="4" w:color="D8D8D8"/>
          <w:right w:val="single" w:sz="4" w:color="D8D8D8"/>
          <w:insideH w:val="single" w:sz="4" w:color="D8D8D8"/>
          <w:insideV w:val="single" w:sz="4" w:color="D8D8D8"/>
        </w:tblBorders>
      </w:tblPr>
      <w:tblGrid>
        <w:gridCol w:w="4824"/>
        <w:gridCol w:w="4824"/>
      </w:tblGrid>
      <w:tr>
        <w:tc>
          <w:tcPr>
            <w:tcW w:type="dxa" w:w="4824"/>
            <w:shd w:val="clear" w:fill="F2F2F2"/>
          </w:tcPr>
          <w:p>
            <w:r/>
            <w:r>
              <w:rPr>
                <w:b/>
                <w:sz w:val="17"/>
              </w:rPr>
              <w:t>Item</w:t>
            </w:r>
          </w:p>
        </w:tc>
        <w:tc>
          <w:tcPr>
            <w:tcW w:type="dxa" w:w="4824"/>
            <w:shd w:val="clear" w:fill="F2F2F2"/>
          </w:tcPr>
          <w:p>
            <w:r/>
            <w:r>
              <w:rPr>
                <w:b/>
                <w:sz w:val="17"/>
              </w:rPr>
              <w:t>Value</w:t>
            </w:r>
          </w:p>
        </w:tc>
      </w:tr>
      <w:tr>
        <w:tc>
          <w:tcPr>
            <w:tcW w:type="dxa" w:w="4824"/>
          </w:tcPr>
          <w:p>
            <w:pPr>
              <w:spacing w:after="20"/>
            </w:pPr>
            <w:r>
              <w:rPr>
                <w:sz w:val="17"/>
              </w:rPr>
            </w:r>
            <w:r>
              <w:rPr>
                <w:b w:val="0"/>
                <w:i w:val="0"/>
                <w:sz w:val="17"/>
              </w:rPr>
              <w:t>PV of forecast cash flow</w:t>
            </w:r>
          </w:p>
        </w:tc>
        <w:tc>
          <w:tcPr>
            <w:tcW w:type="dxa" w:w="4824"/>
          </w:tcPr>
          <w:p>
            <w:pPr>
              <w:spacing w:after="20"/>
            </w:pPr>
            <w:r>
              <w:rPr>
                <w:sz w:val="17"/>
              </w:rPr>
            </w:r>
            <w:r>
              <w:rPr>
                <w:b w:val="0"/>
                <w:i w:val="0"/>
                <w:sz w:val="17"/>
              </w:rPr>
              <w:t>$12,092m</w:t>
            </w:r>
          </w:p>
        </w:tc>
      </w:tr>
      <w:tr>
        <w:tc>
          <w:tcPr>
            <w:tcW w:type="dxa" w:w="4824"/>
          </w:tcPr>
          <w:p>
            <w:pPr>
              <w:spacing w:after="20"/>
            </w:pPr>
            <w:r>
              <w:rPr>
                <w:sz w:val="17"/>
              </w:rPr>
            </w:r>
            <w:r>
              <w:rPr>
                <w:b w:val="0"/>
                <w:i w:val="0"/>
                <w:sz w:val="17"/>
              </w:rPr>
              <w:t>PV of terminal value</w:t>
            </w:r>
          </w:p>
        </w:tc>
        <w:tc>
          <w:tcPr>
            <w:tcW w:type="dxa" w:w="4824"/>
          </w:tcPr>
          <w:p>
            <w:pPr>
              <w:spacing w:after="20"/>
            </w:pPr>
            <w:r>
              <w:rPr>
                <w:sz w:val="17"/>
              </w:rPr>
            </w:r>
            <w:r>
              <w:rPr>
                <w:b w:val="0"/>
                <w:i w:val="0"/>
                <w:sz w:val="17"/>
              </w:rPr>
              <w:t>$15,980m</w:t>
            </w:r>
          </w:p>
        </w:tc>
      </w:tr>
      <w:tr>
        <w:tc>
          <w:tcPr>
            <w:tcW w:type="dxa" w:w="4824"/>
          </w:tcPr>
          <w:p>
            <w:pPr>
              <w:spacing w:after="20"/>
            </w:pPr>
            <w:r>
              <w:rPr>
                <w:sz w:val="17"/>
              </w:rPr>
            </w:r>
            <w:r>
              <w:rPr>
                <w:b w:val="0"/>
                <w:i w:val="0"/>
                <w:sz w:val="17"/>
              </w:rPr>
              <w:t>Terminal value share of enterprise value</w:t>
            </w:r>
          </w:p>
        </w:tc>
        <w:tc>
          <w:tcPr>
            <w:tcW w:type="dxa" w:w="4824"/>
          </w:tcPr>
          <w:p>
            <w:pPr>
              <w:spacing w:after="20"/>
            </w:pPr>
            <w:r>
              <w:rPr>
                <w:sz w:val="17"/>
              </w:rPr>
            </w:r>
            <w:r>
              <w:rPr>
                <w:b w:val="0"/>
                <w:i w:val="0"/>
                <w:sz w:val="17"/>
              </w:rPr>
              <w:t>56.9%</w:t>
            </w:r>
          </w:p>
        </w:tc>
      </w:tr>
      <w:tr>
        <w:tc>
          <w:tcPr>
            <w:tcW w:type="dxa" w:w="4824"/>
          </w:tcPr>
          <w:p>
            <w:pPr>
              <w:spacing w:after="20"/>
            </w:pPr>
            <w:r>
              <w:rPr>
                <w:sz w:val="17"/>
              </w:rPr>
            </w:r>
            <w:r>
              <w:rPr>
                <w:b w:val="0"/>
                <w:i w:val="0"/>
                <w:sz w:val="17"/>
              </w:rPr>
              <w:t>Enterprise value</w:t>
            </w:r>
          </w:p>
        </w:tc>
        <w:tc>
          <w:tcPr>
            <w:tcW w:type="dxa" w:w="4824"/>
          </w:tcPr>
          <w:p>
            <w:pPr>
              <w:spacing w:after="20"/>
            </w:pPr>
            <w:r>
              <w:rPr>
                <w:sz w:val="17"/>
              </w:rPr>
            </w:r>
            <w:r>
              <w:rPr>
                <w:b w:val="0"/>
                <w:i w:val="0"/>
                <w:sz w:val="17"/>
              </w:rPr>
              <w:t>$28,072m</w:t>
            </w:r>
          </w:p>
        </w:tc>
      </w:tr>
      <w:tr>
        <w:tc>
          <w:tcPr>
            <w:tcW w:type="dxa" w:w="4824"/>
          </w:tcPr>
          <w:p>
            <w:pPr>
              <w:spacing w:after="20"/>
            </w:pPr>
            <w:r>
              <w:rPr>
                <w:sz w:val="17"/>
              </w:rPr>
            </w:r>
            <w:r>
              <w:rPr>
                <w:b w:val="0"/>
                <w:i w:val="0"/>
                <w:sz w:val="17"/>
              </w:rPr>
              <w:t>Less net debt</w:t>
            </w:r>
          </w:p>
        </w:tc>
        <w:tc>
          <w:tcPr>
            <w:tcW w:type="dxa" w:w="4824"/>
          </w:tcPr>
          <w:p>
            <w:pPr>
              <w:spacing w:after="20"/>
            </w:pPr>
            <w:r>
              <w:rPr>
                <w:sz w:val="17"/>
              </w:rPr>
            </w:r>
            <w:r>
              <w:rPr>
                <w:b w:val="0"/>
                <w:i w:val="0"/>
                <w:sz w:val="17"/>
              </w:rPr>
              <w:t>$1,800m</w:t>
            </w:r>
          </w:p>
        </w:tc>
      </w:tr>
      <w:tr>
        <w:tc>
          <w:tcPr>
            <w:tcW w:type="dxa" w:w="4824"/>
          </w:tcPr>
          <w:p>
            <w:pPr>
              <w:spacing w:after="20"/>
            </w:pPr>
            <w:r>
              <w:rPr>
                <w:sz w:val="17"/>
              </w:rPr>
            </w:r>
            <w:r>
              <w:rPr>
                <w:b w:val="0"/>
                <w:i w:val="0"/>
                <w:sz w:val="17"/>
              </w:rPr>
              <w:t>Equity value</w:t>
            </w:r>
          </w:p>
        </w:tc>
        <w:tc>
          <w:tcPr>
            <w:tcW w:type="dxa" w:w="4824"/>
          </w:tcPr>
          <w:p>
            <w:pPr>
              <w:spacing w:after="20"/>
            </w:pPr>
            <w:r>
              <w:rPr>
                <w:sz w:val="17"/>
              </w:rPr>
            </w:r>
            <w:r>
              <w:rPr>
                <w:b w:val="0"/>
                <w:i w:val="0"/>
                <w:sz w:val="17"/>
              </w:rPr>
              <w:t>$26,272m</w:t>
            </w:r>
          </w:p>
        </w:tc>
      </w:tr>
      <w:tr>
        <w:tc>
          <w:tcPr>
            <w:tcW w:type="dxa" w:w="4824"/>
          </w:tcPr>
          <w:p>
            <w:pPr>
              <w:spacing w:after="20"/>
            </w:pPr>
            <w:r>
              <w:rPr>
                <w:sz w:val="17"/>
              </w:rPr>
            </w:r>
            <w:r>
              <w:rPr>
                <w:b w:val="0"/>
                <w:i w:val="0"/>
                <w:sz w:val="17"/>
              </w:rPr>
              <w:t>Value per share</w:t>
            </w:r>
          </w:p>
        </w:tc>
        <w:tc>
          <w:tcPr>
            <w:tcW w:type="dxa" w:w="4824"/>
          </w:tcPr>
          <w:p>
            <w:pPr>
              <w:spacing w:after="20"/>
            </w:pPr>
            <w:r>
              <w:rPr>
                <w:sz w:val="17"/>
              </w:rPr>
            </w:r>
            <w:r>
              <w:rPr>
                <w:b w:val="0"/>
                <w:i w:val="0"/>
                <w:sz w:val="17"/>
              </w:rPr>
              <w:t>$105.09</w:t>
            </w:r>
          </w:p>
        </w:tc>
      </w:tr>
    </w:tbl>
    <w:p>
      <w:pPr>
        <w:spacing w:after="40"/>
      </w:pPr>
    </w:p>
    <w:p>
      <w:r>
        <w:rPr>
          <w:b w:val="0"/>
          <w:i w:val="0"/>
        </w:rPr>
        <w:t>The discounted cash flow range is $94.70 to $118.16 across a 100bp WACC band. Comparables give $98 to $126 on a 17.2x to 22.4x forward earnings range against FY2027E earnings per share of $5.45.</w:t>
      </w:r>
    </w:p>
    <w:p>
      <w:r>
        <w:rPr>
          <w:b w:val="0"/>
          <w:i w:val="0"/>
        </w:rPr>
        <w:t>Reversing the model, the $100.00 price implies 2.05% terminal growth against 2.50% assumed here, or a WACC of 8.84% against 8.50%.</w:t>
      </w:r>
    </w:p>
    <w:p>
      <w:pPr>
        <w:pStyle w:val="Heading3"/>
      </w:pPr>
      <w:r>
        <w:rPr>
          <w:b w:val="0"/>
          <w:i w:val="0"/>
        </w:rPr>
        <w:t>06 Risks</w:t>
      </w:r>
    </w:p>
    <w:tbl>
      <w:tblPr>
        <w:tblW w:type="auto" w:w="0"/>
        <w:jc w:val="center"/>
        <w:tblLayout w:type="autofit"/>
        <w:tblLook w:firstColumn="1" w:firstRow="1" w:lastColumn="0" w:lastRow="0" w:noHBand="0" w:noVBand="1" w:val="04A0"/>
        <w:tblBorders>
          <w:top w:val="single" w:sz="4" w:color="D8D8D8"/>
          <w:left w:val="single" w:sz="4" w:color="D8D8D8"/>
          <w:bottom w:val="single" w:sz="4" w:color="D8D8D8"/>
          <w:right w:val="single" w:sz="4" w:color="D8D8D8"/>
          <w:insideH w:val="single" w:sz="4" w:color="D8D8D8"/>
          <w:insideV w:val="single" w:sz="4" w:color="D8D8D8"/>
        </w:tblBorders>
      </w:tblPr>
      <w:tblGrid>
        <w:gridCol w:w="1930"/>
        <w:gridCol w:w="1930"/>
        <w:gridCol w:w="1930"/>
        <w:gridCol w:w="1930"/>
        <w:gridCol w:w="1930"/>
      </w:tblGrid>
      <w:tr>
        <w:tc>
          <w:tcPr>
            <w:tcW w:type="dxa" w:w="1930"/>
            <w:shd w:val="clear" w:fill="F2F2F2"/>
          </w:tcPr>
          <w:p>
            <w:r/>
            <w:r>
              <w:rPr>
                <w:b/>
                <w:sz w:val="17"/>
              </w:rPr>
              <w:t>Risk</w:t>
            </w:r>
          </w:p>
        </w:tc>
        <w:tc>
          <w:tcPr>
            <w:tcW w:type="dxa" w:w="1930"/>
            <w:shd w:val="clear" w:fill="F2F2F2"/>
          </w:tcPr>
          <w:p>
            <w:r/>
            <w:r>
              <w:rPr>
                <w:b/>
                <w:sz w:val="17"/>
              </w:rPr>
              <w:t>Impact</w:t>
            </w:r>
          </w:p>
        </w:tc>
        <w:tc>
          <w:tcPr>
            <w:tcW w:type="dxa" w:w="1930"/>
            <w:shd w:val="clear" w:fill="F2F2F2"/>
          </w:tcPr>
          <w:p>
            <w:r/>
            <w:r>
              <w:rPr>
                <w:b/>
                <w:sz w:val="17"/>
              </w:rPr>
              <w:t>Probability</w:t>
            </w:r>
          </w:p>
        </w:tc>
        <w:tc>
          <w:tcPr>
            <w:tcW w:type="dxa" w:w="1930"/>
            <w:shd w:val="clear" w:fill="F2F2F2"/>
          </w:tcPr>
          <w:p>
            <w:r/>
            <w:r>
              <w:rPr>
                <w:b/>
                <w:sz w:val="17"/>
              </w:rPr>
              <w:t>Trigger to watch</w:t>
            </w:r>
          </w:p>
        </w:tc>
        <w:tc>
          <w:tcPr>
            <w:tcW w:type="dxa" w:w="1930"/>
            <w:shd w:val="clear" w:fill="F2F2F2"/>
          </w:tcPr>
          <w:p>
            <w:r/>
            <w:r>
              <w:rPr>
                <w:b/>
                <w:sz w:val="17"/>
              </w:rPr>
              <w:t>Mitigation</w:t>
            </w:r>
          </w:p>
        </w:tc>
      </w:tr>
      <w:tr>
        <w:tc>
          <w:tcPr>
            <w:tcW w:type="dxa" w:w="1930"/>
          </w:tcPr>
          <w:p>
            <w:pPr>
              <w:spacing w:after="20"/>
            </w:pPr>
            <w:r>
              <w:rPr>
                <w:sz w:val="17"/>
              </w:rPr>
            </w:r>
            <w:r>
              <w:rPr>
                <w:b w:val="0"/>
                <w:i w:val="0"/>
                <w:sz w:val="17"/>
              </w:rPr>
              <w:t>Two coatings customers insource</w:t>
            </w:r>
          </w:p>
        </w:tc>
        <w:tc>
          <w:tcPr>
            <w:tcW w:type="dxa" w:w="1930"/>
          </w:tcPr>
          <w:p>
            <w:pPr>
              <w:spacing w:after="20"/>
            </w:pPr>
            <w:r>
              <w:rPr>
                <w:sz w:val="17"/>
              </w:rPr>
            </w:r>
            <w:r>
              <w:rPr>
                <w:b w:val="0"/>
                <w:i w:val="0"/>
                <w:sz w:val="17"/>
              </w:rPr>
              <w:t>−$36 a share; 7.1% of revenue at segment margin</w:t>
            </w:r>
          </w:p>
        </w:tc>
        <w:tc>
          <w:tcPr>
            <w:tcW w:type="dxa" w:w="1930"/>
          </w:tcPr>
          <w:p>
            <w:pPr>
              <w:spacing w:after="20"/>
            </w:pPr>
            <w:r>
              <w:rPr>
                <w:sz w:val="17"/>
              </w:rPr>
            </w:r>
            <w:r>
              <w:rPr>
                <w:b w:val="0"/>
                <w:i w:val="0"/>
                <w:sz w:val="17"/>
              </w:rPr>
              <w:t>25%</w:t>
            </w:r>
          </w:p>
        </w:tc>
        <w:tc>
          <w:tcPr>
            <w:tcW w:type="dxa" w:w="1930"/>
          </w:tcPr>
          <w:p>
            <w:pPr>
              <w:spacing w:after="20"/>
            </w:pPr>
            <w:r>
              <w:rPr>
                <w:sz w:val="17"/>
              </w:rPr>
            </w:r>
            <w:r>
              <w:rPr>
                <w:b w:val="0"/>
                <w:i w:val="0"/>
                <w:sz w:val="17"/>
              </w:rPr>
              <w:t>An 8-K disclosing a capital commitment, or Q1 coatings volume down year on year</w:t>
            </w:r>
          </w:p>
        </w:tc>
        <w:tc>
          <w:tcPr>
            <w:tcW w:type="dxa" w:w="1930"/>
          </w:tcPr>
          <w:p>
            <w:pPr>
              <w:spacing w:after="20"/>
            </w:pPr>
            <w:r>
              <w:rPr>
                <w:sz w:val="17"/>
              </w:rPr>
            </w:r>
            <w:r>
              <w:rPr>
                <w:b w:val="0"/>
                <w:i w:val="0"/>
                <w:sz w:val="17"/>
              </w:rPr>
              <w:t>Adhesives contracts run three to five years and are unaffected</w:t>
            </w:r>
          </w:p>
        </w:tc>
      </w:tr>
      <w:tr>
        <w:tc>
          <w:tcPr>
            <w:tcW w:type="dxa" w:w="1930"/>
          </w:tcPr>
          <w:p>
            <w:pPr>
              <w:spacing w:after="20"/>
            </w:pPr>
            <w:r>
              <w:rPr>
                <w:sz w:val="17"/>
              </w:rPr>
            </w:r>
            <w:r>
              <w:rPr>
                <w:b w:val="0"/>
                <w:i w:val="0"/>
                <w:sz w:val="17"/>
              </w:rPr>
              <w:t>Coatings margin de-levers on flat volume</w:t>
            </w:r>
          </w:p>
        </w:tc>
        <w:tc>
          <w:tcPr>
            <w:tcW w:type="dxa" w:w="1930"/>
          </w:tcPr>
          <w:p>
            <w:pPr>
              <w:spacing w:after="20"/>
            </w:pPr>
            <w:r>
              <w:rPr>
                <w:sz w:val="17"/>
              </w:rPr>
            </w:r>
            <w:r>
              <w:rPr>
                <w:b w:val="0"/>
                <w:i w:val="0"/>
                <w:sz w:val="17"/>
              </w:rPr>
              <w:t>−$8 a share at 18.4% margin by FY2028</w:t>
            </w:r>
          </w:p>
        </w:tc>
        <w:tc>
          <w:tcPr>
            <w:tcW w:type="dxa" w:w="1930"/>
          </w:tcPr>
          <w:p>
            <w:pPr>
              <w:spacing w:after="20"/>
            </w:pPr>
            <w:r>
              <w:rPr>
                <w:sz w:val="17"/>
              </w:rPr>
            </w:r>
            <w:r>
              <w:rPr>
                <w:b w:val="0"/>
                <w:i w:val="0"/>
                <w:sz w:val="17"/>
              </w:rPr>
              <w:t>30%</w:t>
            </w:r>
          </w:p>
        </w:tc>
        <w:tc>
          <w:tcPr>
            <w:tcW w:type="dxa" w:w="1930"/>
          </w:tcPr>
          <w:p>
            <w:pPr>
              <w:spacing w:after="20"/>
            </w:pPr>
            <w:r>
              <w:rPr>
                <w:sz w:val="17"/>
              </w:rPr>
            </w:r>
            <w:r>
              <w:rPr>
                <w:b w:val="0"/>
                <w:i w:val="0"/>
                <w:sz w:val="17"/>
              </w:rPr>
              <w:t>Gross margin below 38.5% for two consecutive quarters</w:t>
            </w:r>
          </w:p>
        </w:tc>
        <w:tc>
          <w:tcPr>
            <w:tcW w:type="dxa" w:w="1930"/>
          </w:tcPr>
          <w:p>
            <w:pPr>
              <w:spacing w:after="20"/>
            </w:pPr>
            <w:r>
              <w:rPr>
                <w:sz w:val="17"/>
              </w:rPr>
            </w:r>
            <w:r>
              <w:rPr>
                <w:b w:val="0"/>
                <w:i w:val="0"/>
                <w:sz w:val="17"/>
              </w:rPr>
              <w:t>Water-based mix adds margin from 2027</w:t>
            </w:r>
          </w:p>
        </w:tc>
      </w:tr>
      <w:tr>
        <w:tc>
          <w:tcPr>
            <w:tcW w:type="dxa" w:w="1930"/>
          </w:tcPr>
          <w:p>
            <w:pPr>
              <w:spacing w:after="20"/>
            </w:pPr>
            <w:r>
              <w:rPr>
                <w:sz w:val="17"/>
              </w:rPr>
            </w:r>
            <w:r>
              <w:rPr>
                <w:b w:val="0"/>
                <w:i w:val="0"/>
                <w:sz w:val="17"/>
              </w:rPr>
              <w:t>Resin cost spike</w:t>
            </w:r>
          </w:p>
        </w:tc>
        <w:tc>
          <w:tcPr>
            <w:tcW w:type="dxa" w:w="1930"/>
          </w:tcPr>
          <w:p>
            <w:pPr>
              <w:spacing w:after="20"/>
            </w:pPr>
            <w:r>
              <w:rPr>
                <w:sz w:val="17"/>
              </w:rPr>
            </w:r>
            <w:r>
              <w:rPr>
                <w:b w:val="0"/>
                <w:i w:val="0"/>
                <w:sz w:val="17"/>
              </w:rPr>
              <w:t>−$5 a share at 10% input inflation unrecovered</w:t>
            </w:r>
          </w:p>
        </w:tc>
        <w:tc>
          <w:tcPr>
            <w:tcW w:type="dxa" w:w="1930"/>
          </w:tcPr>
          <w:p>
            <w:pPr>
              <w:spacing w:after="20"/>
            </w:pPr>
            <w:r>
              <w:rPr>
                <w:sz w:val="17"/>
              </w:rPr>
            </w:r>
            <w:r>
              <w:rPr>
                <w:b w:val="0"/>
                <w:i w:val="0"/>
                <w:sz w:val="17"/>
              </w:rPr>
              <w:t>20%</w:t>
            </w:r>
          </w:p>
        </w:tc>
        <w:tc>
          <w:tcPr>
            <w:tcW w:type="dxa" w:w="1930"/>
          </w:tcPr>
          <w:p>
            <w:pPr>
              <w:spacing w:after="20"/>
            </w:pPr>
            <w:r>
              <w:rPr>
                <w:sz w:val="17"/>
              </w:rPr>
            </w:r>
            <w:r>
              <w:rPr>
                <w:b w:val="0"/>
                <w:i w:val="0"/>
                <w:sz w:val="17"/>
              </w:rPr>
              <w:t>Quarterly gross margin against published resin indices</w:t>
            </w:r>
          </w:p>
        </w:tc>
        <w:tc>
          <w:tcPr>
            <w:tcW w:type="dxa" w:w="1930"/>
          </w:tcPr>
          <w:p>
            <w:pPr>
              <w:spacing w:after="20"/>
            </w:pPr>
            <w:r>
              <w:rPr>
                <w:sz w:val="17"/>
              </w:rPr>
            </w:r>
            <w:r>
              <w:rPr>
                <w:b w:val="0"/>
                <w:i w:val="0"/>
                <w:sz w:val="17"/>
              </w:rPr>
              <w:t>Annual contracts reprice, with two quarters of lag</w:t>
            </w:r>
          </w:p>
        </w:tc>
      </w:tr>
      <w:tr>
        <w:tc>
          <w:tcPr>
            <w:tcW w:type="dxa" w:w="1930"/>
          </w:tcPr>
          <w:p>
            <w:pPr>
              <w:spacing w:after="20"/>
            </w:pPr>
            <w:r>
              <w:rPr>
                <w:sz w:val="17"/>
              </w:rPr>
            </w:r>
            <w:r>
              <w:rPr>
                <w:b w:val="0"/>
                <w:i w:val="0"/>
                <w:sz w:val="17"/>
              </w:rPr>
              <w:t>Dalton ramp slips again</w:t>
            </w:r>
          </w:p>
        </w:tc>
        <w:tc>
          <w:tcPr>
            <w:tcW w:type="dxa" w:w="1930"/>
          </w:tcPr>
          <w:p>
            <w:pPr>
              <w:spacing w:after="20"/>
            </w:pPr>
            <w:r>
              <w:rPr>
                <w:sz w:val="17"/>
              </w:rPr>
            </w:r>
            <w:r>
              <w:rPr>
                <w:b w:val="0"/>
                <w:i w:val="0"/>
                <w:sz w:val="17"/>
              </w:rPr>
              <w:t>−$4 a share, and the bull case needs it</w:t>
            </w:r>
          </w:p>
        </w:tc>
        <w:tc>
          <w:tcPr>
            <w:tcW w:type="dxa" w:w="1930"/>
          </w:tcPr>
          <w:p>
            <w:pPr>
              <w:spacing w:after="20"/>
            </w:pPr>
            <w:r>
              <w:rPr>
                <w:sz w:val="17"/>
              </w:rPr>
            </w:r>
            <w:r>
              <w:rPr>
                <w:b w:val="0"/>
                <w:i w:val="0"/>
                <w:sz w:val="17"/>
              </w:rPr>
              <w:t>25%</w:t>
            </w:r>
          </w:p>
        </w:tc>
        <w:tc>
          <w:tcPr>
            <w:tcW w:type="dxa" w:w="1930"/>
          </w:tcPr>
          <w:p>
            <w:pPr>
              <w:spacing w:after="20"/>
            </w:pPr>
            <w:r>
              <w:rPr>
                <w:sz w:val="17"/>
              </w:rPr>
            </w:r>
            <w:r>
              <w:rPr>
                <w:b w:val="0"/>
                <w:i w:val="0"/>
                <w:sz w:val="17"/>
              </w:rPr>
              <w:t>The Q2 print on 2026-07-29</w:t>
            </w:r>
          </w:p>
        </w:tc>
        <w:tc>
          <w:tcPr>
            <w:tcW w:type="dxa" w:w="1930"/>
          </w:tcPr>
          <w:p>
            <w:pPr>
              <w:spacing w:after="20"/>
            </w:pPr>
            <w:r>
              <w:rPr>
                <w:sz w:val="17"/>
              </w:rPr>
            </w:r>
            <w:r>
              <w:rPr>
                <w:b w:val="0"/>
                <w:i w:val="0"/>
                <w:sz w:val="17"/>
              </w:rPr>
              <w:t>The plant is built and the capital is sunk</w:t>
            </w:r>
          </w:p>
        </w:tc>
      </w:tr>
      <w:tr>
        <w:tc>
          <w:tcPr>
            <w:tcW w:type="dxa" w:w="1930"/>
          </w:tcPr>
          <w:p>
            <w:pPr>
              <w:spacing w:after="20"/>
            </w:pPr>
            <w:r>
              <w:rPr>
                <w:sz w:val="17"/>
              </w:rPr>
            </w:r>
            <w:r>
              <w:rPr>
                <w:b w:val="0"/>
                <w:i w:val="0"/>
                <w:sz w:val="17"/>
              </w:rPr>
              <w:t>Kearney environmental claim exceeds accrual</w:t>
            </w:r>
          </w:p>
        </w:tc>
        <w:tc>
          <w:tcPr>
            <w:tcW w:type="dxa" w:w="1930"/>
          </w:tcPr>
          <w:p>
            <w:pPr>
              <w:spacing w:after="20"/>
            </w:pPr>
            <w:r>
              <w:rPr>
                <w:sz w:val="17"/>
              </w:rPr>
            </w:r>
            <w:r>
              <w:rPr>
                <w:b w:val="0"/>
                <w:i w:val="0"/>
                <w:sz w:val="17"/>
              </w:rPr>
              <w:t>−$2 a share above the $34m accrued</w:t>
            </w:r>
          </w:p>
        </w:tc>
        <w:tc>
          <w:tcPr>
            <w:tcW w:type="dxa" w:w="1930"/>
          </w:tcPr>
          <w:p>
            <w:pPr>
              <w:spacing w:after="20"/>
            </w:pPr>
            <w:r>
              <w:rPr>
                <w:sz w:val="17"/>
              </w:rPr>
            </w:r>
            <w:r>
              <w:rPr>
                <w:b w:val="0"/>
                <w:i w:val="0"/>
                <w:sz w:val="17"/>
              </w:rPr>
              <w:t>15%</w:t>
            </w:r>
          </w:p>
        </w:tc>
        <w:tc>
          <w:tcPr>
            <w:tcW w:type="dxa" w:w="1930"/>
          </w:tcPr>
          <w:p>
            <w:pPr>
              <w:spacing w:after="20"/>
            </w:pPr>
            <w:r>
              <w:rPr>
                <w:sz w:val="17"/>
              </w:rPr>
            </w:r>
            <w:r>
              <w:rPr>
                <w:b w:val="0"/>
                <w:i w:val="0"/>
                <w:sz w:val="17"/>
              </w:rPr>
              <w:t>Any change to the accrual in a 10-Q</w:t>
            </w:r>
          </w:p>
        </w:tc>
        <w:tc>
          <w:tcPr>
            <w:tcW w:type="dxa" w:w="1930"/>
          </w:tcPr>
          <w:p>
            <w:pPr>
              <w:spacing w:after="20"/>
            </w:pPr>
            <w:r>
              <w:rPr>
                <w:sz w:val="17"/>
              </w:rPr>
            </w:r>
            <w:r>
              <w:rPr>
                <w:b w:val="0"/>
                <w:i w:val="0"/>
                <w:sz w:val="17"/>
              </w:rPr>
              <w:t>Four quarters unchanged, management guiding to no incremental liability</w:t>
            </w:r>
          </w:p>
        </w:tc>
      </w:tr>
    </w:tbl>
    <w:p>
      <w:pPr>
        <w:spacing w:after="40"/>
      </w:pPr>
    </w:p>
    <w:p>
      <w:pPr>
        <w:pStyle w:val="Heading3"/>
      </w:pPr>
      <w:r>
        <w:rPr>
          <w:b w:val="0"/>
          <w:i w:val="0"/>
        </w:rPr>
        <w:t>07 Catalysts and ESG</w:t>
      </w:r>
    </w:p>
    <w:tbl>
      <w:tblPr>
        <w:tblW w:type="auto" w:w="0"/>
        <w:jc w:val="center"/>
        <w:tblLayout w:type="autofit"/>
        <w:tblLook w:firstColumn="1" w:firstRow="1" w:lastColumn="0" w:lastRow="0" w:noHBand="0" w:noVBand="1" w:val="04A0"/>
        <w:tblBorders>
          <w:top w:val="single" w:sz="4" w:color="D8D8D8"/>
          <w:left w:val="single" w:sz="4" w:color="D8D8D8"/>
          <w:bottom w:val="single" w:sz="4" w:color="D8D8D8"/>
          <w:right w:val="single" w:sz="4" w:color="D8D8D8"/>
          <w:insideH w:val="single" w:sz="4" w:color="D8D8D8"/>
          <w:insideV w:val="single" w:sz="4" w:color="D8D8D8"/>
        </w:tblBorders>
      </w:tblPr>
      <w:tblGrid>
        <w:gridCol w:w="3216"/>
        <w:gridCol w:w="3216"/>
        <w:gridCol w:w="3216"/>
      </w:tblGrid>
      <w:tr>
        <w:tc>
          <w:tcPr>
            <w:tcW w:type="dxa" w:w="3216"/>
            <w:shd w:val="clear" w:fill="F2F2F2"/>
          </w:tcPr>
          <w:p>
            <w:r/>
            <w:r>
              <w:rPr>
                <w:b/>
                <w:sz w:val="17"/>
              </w:rPr>
              <w:t>Date</w:t>
            </w:r>
          </w:p>
        </w:tc>
        <w:tc>
          <w:tcPr>
            <w:tcW w:type="dxa" w:w="3216"/>
            <w:shd w:val="clear" w:fill="F2F2F2"/>
          </w:tcPr>
          <w:p>
            <w:r/>
            <w:r>
              <w:rPr>
                <w:b/>
                <w:sz w:val="17"/>
              </w:rPr>
              <w:t>Event</w:t>
            </w:r>
          </w:p>
        </w:tc>
        <w:tc>
          <w:tcPr>
            <w:tcW w:type="dxa" w:w="3216"/>
            <w:shd w:val="clear" w:fill="F2F2F2"/>
          </w:tcPr>
          <w:p>
            <w:r/>
            <w:r>
              <w:rPr>
                <w:b/>
                <w:sz w:val="17"/>
              </w:rPr>
              <w:t>What it settles</w:t>
            </w:r>
          </w:p>
        </w:tc>
      </w:tr>
      <w:tr>
        <w:tc>
          <w:tcPr>
            <w:tcW w:type="dxa" w:w="3216"/>
          </w:tcPr>
          <w:p>
            <w:pPr>
              <w:spacing w:after="20"/>
            </w:pPr>
            <w:r>
              <w:rPr>
                <w:sz w:val="17"/>
              </w:rPr>
            </w:r>
            <w:r>
              <w:rPr>
                <w:b w:val="0"/>
                <w:i w:val="0"/>
                <w:sz w:val="17"/>
              </w:rPr>
              <w:t>2026-02-18</w:t>
            </w:r>
          </w:p>
        </w:tc>
        <w:tc>
          <w:tcPr>
            <w:tcW w:type="dxa" w:w="3216"/>
          </w:tcPr>
          <w:p>
            <w:pPr>
              <w:spacing w:after="20"/>
            </w:pPr>
            <w:r>
              <w:rPr>
                <w:sz w:val="17"/>
              </w:rPr>
            </w:r>
            <w:r>
              <w:rPr>
                <w:b w:val="0"/>
                <w:i w:val="0"/>
                <w:sz w:val="17"/>
              </w:rPr>
              <w:t>FY2025 10-K and Q4 results</w:t>
            </w:r>
          </w:p>
        </w:tc>
        <w:tc>
          <w:tcPr>
            <w:tcW w:type="dxa" w:w="3216"/>
          </w:tcPr>
          <w:p>
            <w:pPr>
              <w:spacing w:after="20"/>
            </w:pPr>
            <w:r>
              <w:rPr>
                <w:sz w:val="17"/>
              </w:rPr>
            </w:r>
            <w:r>
              <w:rPr>
                <w:b w:val="0"/>
                <w:i w:val="0"/>
                <w:sz w:val="17"/>
              </w:rPr>
              <w:t>First FY2026 guidance including the Dalton ramp</w:t>
            </w:r>
          </w:p>
        </w:tc>
      </w:tr>
      <w:tr>
        <w:tc>
          <w:tcPr>
            <w:tcW w:type="dxa" w:w="3216"/>
          </w:tcPr>
          <w:p>
            <w:pPr>
              <w:spacing w:after="20"/>
            </w:pPr>
            <w:r>
              <w:rPr>
                <w:sz w:val="17"/>
              </w:rPr>
            </w:r>
            <w:r>
              <w:rPr>
                <w:b w:val="0"/>
                <w:i w:val="0"/>
                <w:sz w:val="17"/>
              </w:rPr>
              <w:t>2026-04-23</w:t>
            </w:r>
          </w:p>
        </w:tc>
        <w:tc>
          <w:tcPr>
            <w:tcW w:type="dxa" w:w="3216"/>
          </w:tcPr>
          <w:p>
            <w:pPr>
              <w:spacing w:after="20"/>
            </w:pPr>
            <w:r>
              <w:rPr>
                <w:sz w:val="17"/>
              </w:rPr>
            </w:r>
            <w:r>
              <w:rPr>
                <w:b w:val="0"/>
                <w:i w:val="0"/>
                <w:sz w:val="17"/>
              </w:rPr>
              <w:t>Q1 fiscal 2026 results</w:t>
            </w:r>
          </w:p>
        </w:tc>
        <w:tc>
          <w:tcPr>
            <w:tcW w:type="dxa" w:w="3216"/>
          </w:tcPr>
          <w:p>
            <w:pPr>
              <w:spacing w:after="20"/>
            </w:pPr>
            <w:r>
              <w:rPr>
                <w:sz w:val="17"/>
              </w:rPr>
            </w:r>
            <w:r>
              <w:rPr>
                <w:b w:val="0"/>
                <w:i w:val="0"/>
                <w:sz w:val="17"/>
              </w:rPr>
              <w:t>Whether coatings volume held; the flipping assumption</w:t>
            </w:r>
          </w:p>
        </w:tc>
      </w:tr>
      <w:tr>
        <w:tc>
          <w:tcPr>
            <w:tcW w:type="dxa" w:w="3216"/>
          </w:tcPr>
          <w:p>
            <w:pPr>
              <w:spacing w:after="20"/>
            </w:pPr>
            <w:r>
              <w:rPr>
                <w:sz w:val="17"/>
              </w:rPr>
            </w:r>
            <w:r>
              <w:rPr>
                <w:b w:val="0"/>
                <w:i w:val="0"/>
                <w:sz w:val="17"/>
              </w:rPr>
              <w:t>2026-05-14</w:t>
            </w:r>
          </w:p>
        </w:tc>
        <w:tc>
          <w:tcPr>
            <w:tcW w:type="dxa" w:w="3216"/>
          </w:tcPr>
          <w:p>
            <w:pPr>
              <w:spacing w:after="20"/>
            </w:pPr>
            <w:r>
              <w:rPr>
                <w:sz w:val="17"/>
              </w:rPr>
            </w:r>
            <w:r>
              <w:rPr>
                <w:b w:val="0"/>
                <w:i w:val="0"/>
                <w:sz w:val="17"/>
              </w:rPr>
              <w:t>Annual meeting</w:t>
            </w:r>
          </w:p>
        </w:tc>
        <w:tc>
          <w:tcPr>
            <w:tcW w:type="dxa" w:w="3216"/>
          </w:tcPr>
          <w:p>
            <w:pPr>
              <w:spacing w:after="20"/>
            </w:pPr>
            <w:r>
              <w:rPr>
                <w:sz w:val="17"/>
              </w:rPr>
            </w:r>
            <w:r>
              <w:rPr>
                <w:b w:val="0"/>
                <w:i w:val="0"/>
                <w:sz w:val="17"/>
              </w:rPr>
              <w:t>Vote on the amended incentive plan</w:t>
            </w:r>
          </w:p>
        </w:tc>
      </w:tr>
      <w:tr>
        <w:tc>
          <w:tcPr>
            <w:tcW w:type="dxa" w:w="3216"/>
          </w:tcPr>
          <w:p>
            <w:pPr>
              <w:spacing w:after="20"/>
            </w:pPr>
            <w:r>
              <w:rPr>
                <w:sz w:val="17"/>
              </w:rPr>
            </w:r>
            <w:r>
              <w:rPr>
                <w:b w:val="0"/>
                <w:i w:val="0"/>
                <w:sz w:val="17"/>
              </w:rPr>
              <w:t>2026-07-29</w:t>
            </w:r>
          </w:p>
        </w:tc>
        <w:tc>
          <w:tcPr>
            <w:tcW w:type="dxa" w:w="3216"/>
          </w:tcPr>
          <w:p>
            <w:pPr>
              <w:spacing w:after="20"/>
            </w:pPr>
            <w:r>
              <w:rPr>
                <w:sz w:val="17"/>
              </w:rPr>
            </w:r>
            <w:r>
              <w:rPr>
                <w:b w:val="0"/>
                <w:i w:val="0"/>
                <w:sz w:val="17"/>
              </w:rPr>
              <w:t>Q2 fiscal 2026 results</w:t>
            </w:r>
          </w:p>
        </w:tc>
        <w:tc>
          <w:tcPr>
            <w:tcW w:type="dxa" w:w="3216"/>
          </w:tcPr>
          <w:p>
            <w:pPr>
              <w:spacing w:after="20"/>
            </w:pPr>
            <w:r>
              <w:rPr>
                <w:sz w:val="17"/>
              </w:rPr>
            </w:r>
            <w:r>
              <w:rPr>
                <w:b w:val="0"/>
                <w:i w:val="0"/>
                <w:sz w:val="17"/>
              </w:rPr>
              <w:t>Dalton at full utilisation on the current plan</w:t>
            </w:r>
          </w:p>
        </w:tc>
      </w:tr>
      <w:tr>
        <w:tc>
          <w:tcPr>
            <w:tcW w:type="dxa" w:w="3216"/>
          </w:tcPr>
          <w:p>
            <w:pPr>
              <w:spacing w:after="20"/>
            </w:pPr>
            <w:r>
              <w:rPr>
                <w:sz w:val="17"/>
              </w:rPr>
            </w:r>
            <w:r>
              <w:rPr>
                <w:b w:val="0"/>
                <w:i w:val="0"/>
                <w:sz w:val="17"/>
              </w:rPr>
              <w:t>2026-10-28</w:t>
            </w:r>
          </w:p>
        </w:tc>
        <w:tc>
          <w:tcPr>
            <w:tcW w:type="dxa" w:w="3216"/>
          </w:tcPr>
          <w:p>
            <w:pPr>
              <w:spacing w:after="20"/>
            </w:pPr>
            <w:r>
              <w:rPr>
                <w:sz w:val="17"/>
              </w:rPr>
            </w:r>
            <w:r>
              <w:rPr>
                <w:b w:val="0"/>
                <w:i w:val="0"/>
                <w:sz w:val="17"/>
              </w:rPr>
              <w:t>Q3 fiscal 2026 results</w:t>
            </w:r>
          </w:p>
        </w:tc>
        <w:tc>
          <w:tcPr>
            <w:tcW w:type="dxa" w:w="3216"/>
          </w:tcPr>
          <w:p>
            <w:pPr>
              <w:spacing w:after="20"/>
            </w:pPr>
            <w:r>
              <w:rPr>
                <w:sz w:val="17"/>
              </w:rPr>
            </w:r>
            <w:r>
              <w:rPr>
                <w:b w:val="0"/>
                <w:i w:val="0"/>
                <w:sz w:val="17"/>
              </w:rPr>
              <w:t>Resets FY2027 consensus</w:t>
            </w:r>
          </w:p>
        </w:tc>
      </w:tr>
    </w:tbl>
    <w:p>
      <w:pPr>
        <w:spacing w:after="40"/>
      </w:pPr>
    </w:p>
    <w:p>
      <w:r>
        <w:rPr>
          <w:b w:val="0"/>
          <w:i w:val="0"/>
        </w:rPr>
        <w:t>Emissions intensity is tracking ahead of the 2030 goal set in 2022. Two board seats turned over in 2025. Nothing in the environmental, social or governance record changes the valuation.</w:t>
      </w:r>
    </w:p>
    <w:p>
      <w:pPr>
        <w:pStyle w:val="Heading3"/>
      </w:pPr>
      <w:r>
        <w:rPr>
          <w:b w:val="0"/>
          <w:i w:val="0"/>
        </w:rPr>
        <w:t>08 Bull, base, bear and recommendation</w:t>
      </w:r>
    </w:p>
    <w:p>
      <w:r>
        <w:rPr>
          <w:b w:val="0"/>
          <w:i w:val="0"/>
        </w:rPr>
        <w:t>The bull case takes operating margin to 21.0% by FY2029 on the ten-year trend and gets $138 at 24.0x FY2027E earnings per share of $5.75. The bear case has two coatings customers insourcing over two years, cutting FY2028 revenue by about $1,000m, and gets $72 at 14.0x on $5.15.</w:t>
      </w:r>
    </w:p>
    <w:p>
      <w:r>
        <w:rPr>
          <w:b w:val="0"/>
          <w:i w:val="0"/>
        </w:rPr>
        <w:t>HOLD, target $108.50, expected total return of +10.7% including $2.20 of dividends. The call is 4.3 points inside the band edge and one input moves it: the bear probability. At 15% bear with 35% base the target is $117.15 and the expected return is +19.4%, which is a BUY. A multi-year renewal from either named customer is the event that would justify that change.</w:t>
      </w:r>
    </w:p>
    <w:tbl>
      <w:tblPr>
        <w:tblW w:type="auto" w:w="0"/>
        <w:jc w:val="center"/>
        <w:tblLayout w:type="autofit"/>
        <w:tblLook w:firstColumn="1" w:firstRow="1" w:lastColumn="0" w:lastRow="0" w:noHBand="0" w:noVBand="1" w:val="04A0"/>
        <w:tblBorders>
          <w:top w:val="single" w:sz="4" w:color="D8D8D8"/>
          <w:left w:val="single" w:sz="4" w:color="D8D8D8"/>
          <w:bottom w:val="single" w:sz="4" w:color="D8D8D8"/>
          <w:right w:val="single" w:sz="4" w:color="D8D8D8"/>
          <w:insideH w:val="single" w:sz="4" w:color="D8D8D8"/>
          <w:insideV w:val="single" w:sz="4" w:color="D8D8D8"/>
        </w:tblBorders>
      </w:tblPr>
      <w:tblGrid>
        <w:gridCol w:w="4824"/>
        <w:gridCol w:w="4824"/>
      </w:tblGrid>
      <w:tr>
        <w:tc>
          <w:tcPr>
            <w:tcW w:type="dxa" w:w="4824"/>
            <w:shd w:val="clear" w:fill="F2F2F2"/>
          </w:tcPr>
          <w:p>
            <w:r/>
            <w:r>
              <w:rPr>
                <w:b/>
                <w:sz w:val="17"/>
              </w:rPr>
              <w:t>Price</w:t>
            </w:r>
          </w:p>
        </w:tc>
        <w:tc>
          <w:tcPr>
            <w:tcW w:type="dxa" w:w="4824"/>
            <w:shd w:val="clear" w:fill="F2F2F2"/>
          </w:tcPr>
          <w:p>
            <w:r/>
            <w:r>
              <w:rPr>
                <w:b/>
                <w:sz w:val="17"/>
              </w:rPr>
              <w:t>Action</w:t>
            </w:r>
          </w:p>
        </w:tc>
      </w:tr>
      <w:tr>
        <w:tc>
          <w:tcPr>
            <w:tcW w:type="dxa" w:w="4824"/>
          </w:tcPr>
          <w:p>
            <w:pPr>
              <w:spacing w:after="20"/>
            </w:pPr>
            <w:r>
              <w:rPr>
                <w:sz w:val="17"/>
              </w:rPr>
            </w:r>
            <w:r>
              <w:rPr>
                <w:b w:val="0"/>
                <w:i w:val="0"/>
                <w:sz w:val="17"/>
              </w:rPr>
              <w:t>Above $112</w:t>
            </w:r>
          </w:p>
        </w:tc>
        <w:tc>
          <w:tcPr>
            <w:tcW w:type="dxa" w:w="4824"/>
          </w:tcPr>
          <w:p>
            <w:pPr>
              <w:spacing w:after="20"/>
            </w:pPr>
            <w:r>
              <w:rPr>
                <w:sz w:val="17"/>
              </w:rPr>
            </w:r>
            <w:r>
              <w:rPr>
                <w:b w:val="0"/>
                <w:i w:val="0"/>
                <w:sz w:val="17"/>
              </w:rPr>
              <w:t>No purchase</w:t>
            </w:r>
          </w:p>
        </w:tc>
      </w:tr>
      <w:tr>
        <w:tc>
          <w:tcPr>
            <w:tcW w:type="dxa" w:w="4824"/>
          </w:tcPr>
          <w:p>
            <w:pPr>
              <w:spacing w:after="20"/>
            </w:pPr>
            <w:r>
              <w:rPr>
                <w:sz w:val="17"/>
              </w:rPr>
            </w:r>
            <w:r>
              <w:rPr>
                <w:b w:val="0"/>
                <w:i w:val="0"/>
                <w:sz w:val="17"/>
              </w:rPr>
              <w:t>$100 to $112</w:t>
            </w:r>
          </w:p>
        </w:tc>
        <w:tc>
          <w:tcPr>
            <w:tcW w:type="dxa" w:w="4824"/>
          </w:tcPr>
          <w:p>
            <w:pPr>
              <w:spacing w:after="20"/>
            </w:pPr>
            <w:r>
              <w:rPr>
                <w:sz w:val="17"/>
              </w:rPr>
            </w:r>
            <w:r>
              <w:rPr>
                <w:b w:val="0"/>
                <w:i w:val="0"/>
                <w:sz w:val="17"/>
              </w:rPr>
              <w:t>Hold</w:t>
            </w:r>
          </w:p>
        </w:tc>
      </w:tr>
      <w:tr>
        <w:tc>
          <w:tcPr>
            <w:tcW w:type="dxa" w:w="4824"/>
          </w:tcPr>
          <w:p>
            <w:pPr>
              <w:spacing w:after="20"/>
            </w:pPr>
            <w:r>
              <w:rPr>
                <w:sz w:val="17"/>
              </w:rPr>
            </w:r>
            <w:r>
              <w:rPr>
                <w:b w:val="0"/>
                <w:i w:val="0"/>
                <w:sz w:val="17"/>
              </w:rPr>
              <w:t>$92 to $100</w:t>
            </w:r>
          </w:p>
        </w:tc>
        <w:tc>
          <w:tcPr>
            <w:tcW w:type="dxa" w:w="4824"/>
          </w:tcPr>
          <w:p>
            <w:pPr>
              <w:spacing w:after="20"/>
            </w:pPr>
            <w:r>
              <w:rPr>
                <w:sz w:val="17"/>
              </w:rPr>
            </w:r>
            <w:r>
              <w:rPr>
                <w:b w:val="0"/>
                <w:i w:val="0"/>
                <w:sz w:val="17"/>
              </w:rPr>
              <w:t>Open a position if the April print shows coatings volume flat or better</w:t>
            </w:r>
          </w:p>
        </w:tc>
      </w:tr>
      <w:tr>
        <w:tc>
          <w:tcPr>
            <w:tcW w:type="dxa" w:w="4824"/>
          </w:tcPr>
          <w:p>
            <w:pPr>
              <w:spacing w:after="20"/>
            </w:pPr>
            <w:r>
              <w:rPr>
                <w:sz w:val="17"/>
              </w:rPr>
            </w:r>
            <w:r>
              <w:rPr>
                <w:b w:val="0"/>
                <w:i w:val="0"/>
                <w:sz w:val="17"/>
              </w:rPr>
              <w:t>Below $92</w:t>
            </w:r>
          </w:p>
        </w:tc>
        <w:tc>
          <w:tcPr>
            <w:tcW w:type="dxa" w:w="4824"/>
          </w:tcPr>
          <w:p>
            <w:pPr>
              <w:spacing w:after="20"/>
            </w:pPr>
            <w:r>
              <w:rPr>
                <w:sz w:val="17"/>
              </w:rPr>
            </w:r>
            <w:r>
              <w:rPr>
                <w:b w:val="0"/>
                <w:i w:val="0"/>
                <w:sz w:val="17"/>
              </w:rPr>
              <w:t>Buy without waiting</w:t>
            </w:r>
          </w:p>
        </w:tc>
      </w:tr>
    </w:tbl>
    <w:p>
      <w:pPr>
        <w:spacing w:after="40"/>
      </w:pPr>
    </w:p>
    <w:p>
      <w:r>
        <w:rPr>
          <w:b w:val="0"/>
          <w:i w:val="0"/>
        </w:rPr>
        <w:t>Funded from a Canadian dollar balance, the round trip costs about 3.8% in conversion, which leaves +6.9% net of the +10.7% expected return.</w:t>
      </w:r>
    </w:p>
    <w:p>
      <w:pPr>
        <w:pStyle w:val="Heading3"/>
      </w:pPr>
      <w:r>
        <w:rPr>
          <w:b w:val="0"/>
          <w:i w:val="0"/>
        </w:rPr>
        <w:t>09 Appendices</w:t>
      </w:r>
    </w:p>
    <w:p>
      <w:r>
        <w:rPr>
          <w:b w:val="0"/>
          <w:i w:val="0"/>
        </w:rPr>
        <w:t>Sources are numbered in the accompanying workbook. The valuation, the ten-year statements and every exhibit in this report come from the same two files, so a disputed figure can be checked without rebuilding the analysis.</w:t>
      </w:r>
    </w:p>
    <w:p>
      <w:r>
        <w:br w:type="page"/>
      </w:r>
    </w:p>
    <w:p>
      <w:pPr>
        <w:pStyle w:val="Heading1"/>
      </w:pPr>
      <w:r>
        <w:t>Comparison against Method 1</w:t>
      </w:r>
    </w:p>
    <w:p>
      <w:pPr>
        <w:spacing w:after="200"/>
      </w:pPr>
      <w:r>
        <w:rPr>
          <w:color w:val="6B6B6B"/>
          <w:sz w:val="17"/>
        </w:rPr>
        <w:t>Stage 7 · orchestrator · comparison.md</w:t>
      </w:r>
    </w:p>
    <w:p>
      <w:pPr>
        <w:pStyle w:val="Heading2"/>
      </w:pPr>
      <w:r>
        <w:rPr>
          <w:b w:val="0"/>
          <w:i w:val="0"/>
        </w:rPr>
        <w:t>Method 2 against the single-analyst node — ACME</w:t>
      </w:r>
    </w:p>
    <w:p>
      <w:r>
        <w:rPr>
          <w:b w:val="0"/>
          <w:i w:val="0"/>
        </w:rPr>
        <w:t>Acme Materials Corporation is invented. This file shows what a comparison covers when the same ticker has been through both processes.</w:t>
      </w:r>
    </w:p>
    <w:p>
      <w:pPr>
        <w:pStyle w:val="Heading3"/>
      </w:pPr>
      <w:r>
        <w:rPr>
          <w:b w:val="0"/>
          <w:i w:val="0"/>
        </w:rPr>
        <w:t>The two calls</w:t>
      </w:r>
    </w:p>
    <w:tbl>
      <w:tblPr>
        <w:tblW w:type="auto" w:w="0"/>
        <w:jc w:val="center"/>
        <w:tblLayout w:type="autofit"/>
        <w:tblLook w:firstColumn="1" w:firstRow="1" w:lastColumn="0" w:lastRow="0" w:noHBand="0" w:noVBand="1" w:val="04A0"/>
        <w:tblBorders>
          <w:top w:val="single" w:sz="4" w:color="D8D8D8"/>
          <w:left w:val="single" w:sz="4" w:color="D8D8D8"/>
          <w:bottom w:val="single" w:sz="4" w:color="D8D8D8"/>
          <w:right w:val="single" w:sz="4" w:color="D8D8D8"/>
          <w:insideH w:val="single" w:sz="4" w:color="D8D8D8"/>
          <w:insideV w:val="single" w:sz="4" w:color="D8D8D8"/>
        </w:tblBorders>
      </w:tblPr>
      <w:tblGrid>
        <w:gridCol w:w="3216"/>
        <w:gridCol w:w="3216"/>
        <w:gridCol w:w="3216"/>
      </w:tblGrid>
      <w:tr>
        <w:tc>
          <w:tcPr>
            <w:tcW w:type="dxa" w:w="3216"/>
            <w:shd w:val="clear" w:fill="F2F2F2"/>
          </w:tcPr>
          <w:p>
            <w:r/>
            <w:r>
              <w:rPr>
                <w:b/>
                <w:sz w:val="17"/>
              </w:rPr>
            </w:r>
          </w:p>
        </w:tc>
        <w:tc>
          <w:tcPr>
            <w:tcW w:type="dxa" w:w="3216"/>
            <w:shd w:val="clear" w:fill="F2F2F2"/>
          </w:tcPr>
          <w:p>
            <w:r/>
            <w:r>
              <w:rPr>
                <w:b/>
                <w:sz w:val="17"/>
              </w:rPr>
              <w:t>Single-analyst process</w:t>
            </w:r>
          </w:p>
        </w:tc>
        <w:tc>
          <w:tcPr>
            <w:tcW w:type="dxa" w:w="3216"/>
            <w:shd w:val="clear" w:fill="F2F2F2"/>
          </w:tcPr>
          <w:p>
            <w:r/>
            <w:r>
              <w:rPr>
                <w:b/>
                <w:sz w:val="17"/>
              </w:rPr>
              <w:t>Method 2</w:t>
            </w:r>
          </w:p>
        </w:tc>
      </w:tr>
      <w:tr>
        <w:tc>
          <w:tcPr>
            <w:tcW w:type="dxa" w:w="3216"/>
          </w:tcPr>
          <w:p>
            <w:pPr>
              <w:spacing w:after="20"/>
            </w:pPr>
            <w:r>
              <w:rPr>
                <w:sz w:val="17"/>
              </w:rPr>
            </w:r>
            <w:r>
              <w:rPr>
                <w:b w:val="0"/>
                <w:i w:val="0"/>
                <w:sz w:val="17"/>
              </w:rPr>
              <w:t>Call date</w:t>
            </w:r>
          </w:p>
        </w:tc>
        <w:tc>
          <w:tcPr>
            <w:tcW w:type="dxa" w:w="3216"/>
          </w:tcPr>
          <w:p>
            <w:pPr>
              <w:spacing w:after="20"/>
            </w:pPr>
            <w:r>
              <w:rPr>
                <w:sz w:val="17"/>
              </w:rPr>
            </w:r>
            <w:r>
              <w:rPr>
                <w:b w:val="0"/>
                <w:i w:val="0"/>
                <w:sz w:val="17"/>
              </w:rPr>
              <w:t>none</w:t>
            </w:r>
          </w:p>
        </w:tc>
        <w:tc>
          <w:tcPr>
            <w:tcW w:type="dxa" w:w="3216"/>
          </w:tcPr>
          <w:p>
            <w:pPr>
              <w:spacing w:after="20"/>
            </w:pPr>
            <w:r>
              <w:rPr>
                <w:sz w:val="17"/>
              </w:rPr>
            </w:r>
            <w:r>
              <w:rPr>
                <w:b w:val="0"/>
                <w:i w:val="0"/>
                <w:sz w:val="17"/>
              </w:rPr>
              <w:t>2026-01-15</w:t>
            </w:r>
          </w:p>
        </w:tc>
      </w:tr>
      <w:tr>
        <w:tc>
          <w:tcPr>
            <w:tcW w:type="dxa" w:w="3216"/>
          </w:tcPr>
          <w:p>
            <w:pPr>
              <w:spacing w:after="20"/>
            </w:pPr>
            <w:r>
              <w:rPr>
                <w:sz w:val="17"/>
              </w:rPr>
            </w:r>
            <w:r>
              <w:rPr>
                <w:b w:val="0"/>
                <w:i w:val="0"/>
                <w:sz w:val="17"/>
              </w:rPr>
              <w:t>Rating</w:t>
            </w:r>
          </w:p>
        </w:tc>
        <w:tc>
          <w:tcPr>
            <w:tcW w:type="dxa" w:w="3216"/>
          </w:tcPr>
          <w:p>
            <w:pPr>
              <w:spacing w:after="20"/>
            </w:pPr>
            <w:r>
              <w:rPr>
                <w:sz w:val="17"/>
              </w:rPr>
            </w:r>
            <w:r>
              <w:rPr>
                <w:b w:val="0"/>
                <w:i w:val="0"/>
                <w:sz w:val="17"/>
              </w:rPr>
              <w:t>no coverage</w:t>
            </w:r>
          </w:p>
        </w:tc>
        <w:tc>
          <w:tcPr>
            <w:tcW w:type="dxa" w:w="3216"/>
          </w:tcPr>
          <w:p>
            <w:pPr>
              <w:spacing w:after="20"/>
            </w:pPr>
            <w:r>
              <w:rPr>
                <w:sz w:val="17"/>
              </w:rPr>
            </w:r>
            <w:r>
              <w:rPr>
                <w:b w:val="0"/>
                <w:i w:val="0"/>
                <w:sz w:val="17"/>
              </w:rPr>
              <w:t>HOLD</w:t>
            </w:r>
          </w:p>
        </w:tc>
      </w:tr>
      <w:tr>
        <w:tc>
          <w:tcPr>
            <w:tcW w:type="dxa" w:w="3216"/>
          </w:tcPr>
          <w:p>
            <w:pPr>
              <w:spacing w:after="20"/>
            </w:pPr>
            <w:r>
              <w:rPr>
                <w:sz w:val="17"/>
              </w:rPr>
            </w:r>
            <w:r>
              <w:rPr>
                <w:b w:val="0"/>
                <w:i w:val="0"/>
                <w:sz w:val="17"/>
              </w:rPr>
              <w:t>Target</w:t>
            </w:r>
          </w:p>
        </w:tc>
        <w:tc>
          <w:tcPr>
            <w:tcW w:type="dxa" w:w="3216"/>
          </w:tcPr>
          <w:p>
            <w:pPr>
              <w:spacing w:after="20"/>
            </w:pPr>
            <w:r>
              <w:rPr>
                <w:sz w:val="17"/>
              </w:rPr>
            </w:r>
            <w:r>
              <w:rPr>
                <w:b w:val="0"/>
                <w:i w:val="0"/>
                <w:sz w:val="17"/>
              </w:rPr>
              <w:t>—</w:t>
            </w:r>
          </w:p>
        </w:tc>
        <w:tc>
          <w:tcPr>
            <w:tcW w:type="dxa" w:w="3216"/>
          </w:tcPr>
          <w:p>
            <w:pPr>
              <w:spacing w:after="20"/>
            </w:pPr>
            <w:r>
              <w:rPr>
                <w:sz w:val="17"/>
              </w:rPr>
            </w:r>
            <w:r>
              <w:rPr>
                <w:b w:val="0"/>
                <w:i w:val="0"/>
                <w:sz w:val="17"/>
              </w:rPr>
              <w:t>$108.50</w:t>
            </w:r>
          </w:p>
        </w:tc>
      </w:tr>
      <w:tr>
        <w:tc>
          <w:tcPr>
            <w:tcW w:type="dxa" w:w="3216"/>
          </w:tcPr>
          <w:p>
            <w:pPr>
              <w:spacing w:after="20"/>
            </w:pPr>
            <w:r>
              <w:rPr>
                <w:sz w:val="17"/>
              </w:rPr>
            </w:r>
            <w:r>
              <w:rPr>
                <w:b w:val="0"/>
                <w:i w:val="0"/>
                <w:sz w:val="17"/>
              </w:rPr>
              <w:t>Reference price</w:t>
            </w:r>
          </w:p>
        </w:tc>
        <w:tc>
          <w:tcPr>
            <w:tcW w:type="dxa" w:w="3216"/>
          </w:tcPr>
          <w:p>
            <w:pPr>
              <w:spacing w:after="20"/>
            </w:pPr>
            <w:r>
              <w:rPr>
                <w:sz w:val="17"/>
              </w:rPr>
            </w:r>
            <w:r>
              <w:rPr>
                <w:b w:val="0"/>
                <w:i w:val="0"/>
                <w:sz w:val="17"/>
              </w:rPr>
              <w:t>—</w:t>
            </w:r>
          </w:p>
        </w:tc>
        <w:tc>
          <w:tcPr>
            <w:tcW w:type="dxa" w:w="3216"/>
          </w:tcPr>
          <w:p>
            <w:pPr>
              <w:spacing w:after="20"/>
            </w:pPr>
            <w:r>
              <w:rPr>
                <w:sz w:val="17"/>
              </w:rPr>
            </w:r>
            <w:r>
              <w:rPr>
                <w:b w:val="0"/>
                <w:i w:val="0"/>
                <w:sz w:val="17"/>
              </w:rPr>
              <w:t>$100.00</w:t>
            </w:r>
          </w:p>
        </w:tc>
      </w:tr>
    </w:tbl>
    <w:p>
      <w:pPr>
        <w:spacing w:after="40"/>
      </w:pPr>
    </w:p>
    <w:p>
      <w:r>
        <w:rPr>
          <w:b w:val="0"/>
          <w:i w:val="0"/>
        </w:rPr>
        <w:t>There is no prior single-analyst node for ACME, so this run cannot test whether adversarial pressure changes a call. The column stays empty until one exists.</w:t>
      </w:r>
    </w:p>
    <w:p>
      <w:pPr>
        <w:pStyle w:val="Heading3"/>
      </w:pPr>
      <w:r>
        <w:rPr>
          <w:b w:val="0"/>
          <w:i w:val="0"/>
        </w:rPr>
        <w:t>What the fan-out produced that a single pass would not</w:t>
      </w:r>
    </w:p>
    <w:p>
      <w:r>
        <w:rPr>
          <w:b w:val="0"/>
          <w:i w:val="0"/>
        </w:rPr>
        <w:t>Two things.</w:t>
      </w:r>
    </w:p>
    <w:p>
      <w:r>
        <w:rPr>
          <w:b w:val="0"/>
          <w:i w:val="0"/>
        </w:rPr>
        <w:t>The bear rebuilt the valuation model to check it, found that the terminal reinvestment rate and the sensitivity grid both reconcile, and recorded that no error existed. A negative result from an adversarial check is worth having on the record.</w:t>
      </w:r>
    </w:p>
    <w:p>
      <w:r>
        <w:rPr>
          <w:b w:val="0"/>
          <w:i w:val="0"/>
        </w:rPr>
        <w:t>The risk gate priced the currency round trip at 3.8% against an expected return of +10.7%, which turns an unqualified hold into a hold with a stated net figure. On a call inside the band that arithmetic decides whether acting on it pays at all.</w:t>
      </w:r>
    </w:p>
    <w:p>
      <w:pPr>
        <w:pStyle w:val="Heading3"/>
      </w:pPr>
      <w:r>
        <w:rPr>
          <w:b w:val="0"/>
          <w:i w:val="0"/>
        </w:rPr>
        <w:t>Where the two processes would be expected to differ</w:t>
      </w:r>
    </w:p>
    <w:p>
      <w:r>
        <w:rPr>
          <w:b w:val="0"/>
          <w:i w:val="0"/>
        </w:rPr>
        <w:t>The cost of capital, which is where two methods on one ticker usually diverge, and the bear probability, which here is the only input that moves the rating across a band edge.</w:t>
      </w:r>
    </w:p>
    <w:p>
      <w:r>
        <w:br w:type="page"/>
      </w:r>
    </w:p>
    <w:p>
      <w:pPr>
        <w:pStyle w:val="Heading1"/>
      </w:pPr>
      <w:r>
        <w:t>Ten-year statements</w:t>
      </w:r>
    </w:p>
    <w:p>
      <w:r>
        <w:rPr>
          <w:sz w:val="19"/>
        </w:rPr>
        <w:t>The full series is in the model workbook for this run. Line-item counts by statement:</w:t>
      </w:r>
    </w:p>
    <w:p>
      <w:pPr>
        <w:spacing w:after="20"/>
        <w:ind w:left="360"/>
      </w:pPr>
      <w:r>
        <w:rPr>
          <w:sz w:val="18"/>
        </w:rPr>
        <w:t>balance — 5 line items</w:t>
      </w:r>
    </w:p>
    <w:p>
      <w:pPr>
        <w:spacing w:after="20"/>
        <w:ind w:left="360"/>
      </w:pPr>
      <w:r>
        <w:rPr>
          <w:sz w:val="18"/>
        </w:rPr>
        <w:t>cashflow — 5 line items</w:t>
      </w:r>
    </w:p>
    <w:p>
      <w:pPr>
        <w:spacing w:after="20"/>
        <w:ind w:left="360"/>
      </w:pPr>
      <w:r>
        <w:rPr>
          <w:sz w:val="18"/>
        </w:rPr>
        <w:t>income — 14 line items</w:t>
      </w:r>
    </w:p>
    <w:p>
      <w:pPr>
        <w:spacing w:after="20"/>
        <w:ind w:left="360"/>
      </w:pPr>
      <w:r>
        <w:rPr>
          <w:sz w:val="18"/>
        </w:rPr>
        <w:t>meta — 1 line items</w:t>
      </w:r>
    </w:p>
    <w:p>
      <w:pPr>
        <w:spacing w:after="20"/>
        <w:ind w:left="360"/>
      </w:pPr>
      <w:r>
        <w:rPr>
          <w:sz w:val="18"/>
        </w:rPr>
        <w:t>ratio — 8 line items</w:t>
      </w:r>
    </w:p>
    <w:p>
      <w:pPr>
        <w:spacing w:after="20"/>
        <w:ind w:left="360"/>
      </w:pPr>
      <w:r>
        <w:rPr>
          <w:sz w:val="18"/>
        </w:rPr>
        <w:t>segment — 2 line items</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5"/>
      </w:rPr>
      <w:t>Method 2 workpapers · ACME · 2026-01-15 · educational and research use only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mbria" w:hAnsi="Cambria"/>
      <w:b/>
      <w:bCs/>
      <w:color w:val="1A1A1A"/>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mbria" w:hAnsi="Cambria"/>
      <w:b/>
      <w:bCs/>
      <w:color w:val="1A1A1A"/>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mbria" w:hAnsi="Cambria"/>
      <w:b/>
      <w:bCs/>
      <w:color w:val="1A1A1A"/>
      <w:sz w:val="22"/>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ascii="Cambria" w:hAnsi="Cambria"/>
      <w:b/>
      <w:bCs/>
      <w:i/>
      <w:iCs/>
      <w:color w:val="6B6B6B"/>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