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Used Car Valuation in the UK: A Predictive Approach</w:t>
      </w:r>
    </w:p>
    <w:p>
      <w:r>
        <w:rPr>
          <w:b/>
        </w:rPr>
        <w:t xml:space="preserve">Date: </w:t>
      </w:r>
      <w:r>
        <w:t>2025-08-09 06:51</w:t>
      </w:r>
    </w:p>
    <w:p/>
    <w:p>
      <w:r>
        <w:t>This report summarizes data preparation, model selection, and evaluation results for predicting used car prices in the UK using a supervised regression pipeline. The workflow includes preprocessing (imputation + one-hot encoding), 5-fold cross-validated model selection with randomized hyperparameter search, and final hold-out testing.</w:t>
      </w:r>
    </w:p>
    <w:p>
      <w:pPr>
        <w:pStyle w:val="Heading1"/>
      </w:pPr>
      <w:r>
        <w:t>1. Dataset</w:t>
      </w:r>
    </w:p>
    <w:p>
      <w:r>
        <w:t>Source file: Used Cars Prices in UK export 2025-08-09 05-54-05.csv</w:t>
      </w:r>
    </w:p>
    <w:p>
      <w:r>
        <w:t>Rows: 2,859 | Columns: 14</w:t>
      </w:r>
    </w:p>
    <w:p>
      <w:r>
        <w:t>Target variable: price</w:t>
      </w:r>
    </w:p>
    <w:p>
      <w:r>
        <w:t>Example features: title, mileage_miles, registration_year, previous_owners, fuel_type, body_type, Gearbox, Doors, Seats, emission_class ...</w:t>
      </w:r>
    </w:p>
    <w:p>
      <w:pPr>
        <w:pStyle w:val="Heading1"/>
      </w:pPr>
      <w:r>
        <w:t>2. Methodology</w:t>
      </w:r>
    </w:p>
    <w:p>
      <w:r>
        <w:t>Data were split into Train/Validation/Test with an overall ratio of 60/20/20. We trained multiple regressors with log-transformed targets for stability: LinearRegression, Ridge, Lasso, ElasticNet, RandomForest, HistGradientBoosting, SVR (RBF). Hyperparameters (where applicable) were tuned using 5-fold cross-validation with RandomizedSearchCV. The best model was chosen by validation RMSE, retrained on Train+Validation, and evaluated on the Test set.</w:t>
      </w:r>
    </w:p>
    <w:p>
      <w:pPr>
        <w:pStyle w:val="Heading1"/>
      </w:pPr>
      <w:r>
        <w:t>3. Model Comparison (Validation)</w:t>
      </w:r>
    </w:p>
    <w:p>
      <w:r>
        <w:t>Leaderboard sorted by Validation RMSE (lower is better).</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model</w:t>
            </w:r>
          </w:p>
        </w:tc>
        <w:tc>
          <w:tcPr>
            <w:tcW w:type="dxa" w:w="1728"/>
          </w:tcPr>
          <w:p>
            <w:r>
              <w:t>cv_best_rmse</w:t>
            </w:r>
          </w:p>
        </w:tc>
        <w:tc>
          <w:tcPr>
            <w:tcW w:type="dxa" w:w="1728"/>
          </w:tcPr>
          <w:p>
            <w:r>
              <w:t>val_rmse</w:t>
            </w:r>
          </w:p>
        </w:tc>
        <w:tc>
          <w:tcPr>
            <w:tcW w:type="dxa" w:w="1728"/>
          </w:tcPr>
          <w:p>
            <w:r>
              <w:t>val_mae</w:t>
            </w:r>
          </w:p>
        </w:tc>
        <w:tc>
          <w:tcPr>
            <w:tcW w:type="dxa" w:w="1728"/>
          </w:tcPr>
          <w:p>
            <w:r>
              <w:t>val_r2</w:t>
            </w:r>
          </w:p>
        </w:tc>
      </w:tr>
      <w:tr>
        <w:tc>
          <w:tcPr>
            <w:tcW w:type="dxa" w:w="1728"/>
          </w:tcPr>
          <w:p>
            <w:r>
              <w:t>HistGradientBoosting</w:t>
            </w:r>
          </w:p>
        </w:tc>
        <w:tc>
          <w:tcPr>
            <w:tcW w:type="dxa" w:w="1728"/>
          </w:tcPr>
          <w:p>
            <w:r>
              <w:t>1470.73</w:t>
            </w:r>
          </w:p>
        </w:tc>
        <w:tc>
          <w:tcPr>
            <w:tcW w:type="dxa" w:w="1728"/>
          </w:tcPr>
          <w:p>
            <w:r>
              <w:t>1577.65</w:t>
            </w:r>
          </w:p>
        </w:tc>
        <w:tc>
          <w:tcPr>
            <w:tcW w:type="dxa" w:w="1728"/>
          </w:tcPr>
          <w:p>
            <w:r>
              <w:t>992.27</w:t>
            </w:r>
          </w:p>
        </w:tc>
        <w:tc>
          <w:tcPr>
            <w:tcW w:type="dxa" w:w="1728"/>
          </w:tcPr>
          <w:p>
            <w:r>
              <w:t>0.862</w:t>
            </w:r>
          </w:p>
        </w:tc>
      </w:tr>
      <w:tr>
        <w:tc>
          <w:tcPr>
            <w:tcW w:type="dxa" w:w="1728"/>
          </w:tcPr>
          <w:p>
            <w:r>
              <w:t>FINAL_TEST_HistGradientBoosting</w:t>
            </w:r>
          </w:p>
        </w:tc>
        <w:tc>
          <w:tcPr>
            <w:tcW w:type="dxa" w:w="1728"/>
          </w:tcPr>
          <w:p>
            <w:r/>
          </w:p>
        </w:tc>
        <w:tc>
          <w:tcPr>
            <w:tcW w:type="dxa" w:w="1728"/>
          </w:tcPr>
          <w:p>
            <w:r>
              <w:t>1620.13</w:t>
            </w:r>
          </w:p>
        </w:tc>
        <w:tc>
          <w:tcPr>
            <w:tcW w:type="dxa" w:w="1728"/>
          </w:tcPr>
          <w:p>
            <w:r>
              <w:t>979.08</w:t>
            </w:r>
          </w:p>
        </w:tc>
        <w:tc>
          <w:tcPr>
            <w:tcW w:type="dxa" w:w="1728"/>
          </w:tcPr>
          <w:p>
            <w:r>
              <w:t>0.850</w:t>
            </w:r>
          </w:p>
        </w:tc>
      </w:tr>
      <w:tr>
        <w:tc>
          <w:tcPr>
            <w:tcW w:type="dxa" w:w="1728"/>
          </w:tcPr>
          <w:p>
            <w:r>
              <w:t>RandomForest</w:t>
            </w:r>
          </w:p>
        </w:tc>
        <w:tc>
          <w:tcPr>
            <w:tcW w:type="dxa" w:w="1728"/>
          </w:tcPr>
          <w:p>
            <w:r>
              <w:t>1606.32</w:t>
            </w:r>
          </w:p>
        </w:tc>
        <w:tc>
          <w:tcPr>
            <w:tcW w:type="dxa" w:w="1728"/>
          </w:tcPr>
          <w:p>
            <w:r>
              <w:t>1676.59</w:t>
            </w:r>
          </w:p>
        </w:tc>
        <w:tc>
          <w:tcPr>
            <w:tcW w:type="dxa" w:w="1728"/>
          </w:tcPr>
          <w:p>
            <w:r>
              <w:t>1063.38</w:t>
            </w:r>
          </w:p>
        </w:tc>
        <w:tc>
          <w:tcPr>
            <w:tcW w:type="dxa" w:w="1728"/>
          </w:tcPr>
          <w:p>
            <w:r>
              <w:t>0.844</w:t>
            </w:r>
          </w:p>
        </w:tc>
      </w:tr>
      <w:tr>
        <w:tc>
          <w:tcPr>
            <w:tcW w:type="dxa" w:w="1728"/>
          </w:tcPr>
          <w:p>
            <w:r>
              <w:t>ElasticNet</w:t>
            </w:r>
          </w:p>
        </w:tc>
        <w:tc>
          <w:tcPr>
            <w:tcW w:type="dxa" w:w="1728"/>
          </w:tcPr>
          <w:p>
            <w:r>
              <w:t>1513.34</w:t>
            </w:r>
          </w:p>
        </w:tc>
        <w:tc>
          <w:tcPr>
            <w:tcW w:type="dxa" w:w="1728"/>
          </w:tcPr>
          <w:p>
            <w:r>
              <w:t>1749.34</w:t>
            </w:r>
          </w:p>
        </w:tc>
        <w:tc>
          <w:tcPr>
            <w:tcW w:type="dxa" w:w="1728"/>
          </w:tcPr>
          <w:p>
            <w:r>
              <w:t>1117.59</w:t>
            </w:r>
          </w:p>
        </w:tc>
        <w:tc>
          <w:tcPr>
            <w:tcW w:type="dxa" w:w="1728"/>
          </w:tcPr>
          <w:p>
            <w:r>
              <w:t>0.830</w:t>
            </w:r>
          </w:p>
        </w:tc>
      </w:tr>
      <w:tr>
        <w:tc>
          <w:tcPr>
            <w:tcW w:type="dxa" w:w="1728"/>
          </w:tcPr>
          <w:p>
            <w:r>
              <w:t>Lasso</w:t>
            </w:r>
          </w:p>
        </w:tc>
        <w:tc>
          <w:tcPr>
            <w:tcW w:type="dxa" w:w="1728"/>
          </w:tcPr>
          <w:p>
            <w:r>
              <w:t>1512.19</w:t>
            </w:r>
          </w:p>
        </w:tc>
        <w:tc>
          <w:tcPr>
            <w:tcW w:type="dxa" w:w="1728"/>
          </w:tcPr>
          <w:p>
            <w:r>
              <w:t>1755.52</w:t>
            </w:r>
          </w:p>
        </w:tc>
        <w:tc>
          <w:tcPr>
            <w:tcW w:type="dxa" w:w="1728"/>
          </w:tcPr>
          <w:p>
            <w:r>
              <w:t>1125.25</w:t>
            </w:r>
          </w:p>
        </w:tc>
        <w:tc>
          <w:tcPr>
            <w:tcW w:type="dxa" w:w="1728"/>
          </w:tcPr>
          <w:p>
            <w:r>
              <w:t>0.829</w:t>
            </w:r>
          </w:p>
        </w:tc>
      </w:tr>
      <w:tr>
        <w:tc>
          <w:tcPr>
            <w:tcW w:type="dxa" w:w="1728"/>
          </w:tcPr>
          <w:p>
            <w:r>
              <w:t>Ridge</w:t>
            </w:r>
          </w:p>
        </w:tc>
        <w:tc>
          <w:tcPr>
            <w:tcW w:type="dxa" w:w="1728"/>
          </w:tcPr>
          <w:p>
            <w:r>
              <w:t>1524.79</w:t>
            </w:r>
          </w:p>
        </w:tc>
        <w:tc>
          <w:tcPr>
            <w:tcW w:type="dxa" w:w="1728"/>
          </w:tcPr>
          <w:p>
            <w:r>
              <w:t>1762.11</w:t>
            </w:r>
          </w:p>
        </w:tc>
        <w:tc>
          <w:tcPr>
            <w:tcW w:type="dxa" w:w="1728"/>
          </w:tcPr>
          <w:p>
            <w:r>
              <w:t>1119.21</w:t>
            </w:r>
          </w:p>
        </w:tc>
        <w:tc>
          <w:tcPr>
            <w:tcW w:type="dxa" w:w="1728"/>
          </w:tcPr>
          <w:p>
            <w:r>
              <w:t>0.828</w:t>
            </w:r>
          </w:p>
        </w:tc>
      </w:tr>
      <w:tr>
        <w:tc>
          <w:tcPr>
            <w:tcW w:type="dxa" w:w="1728"/>
          </w:tcPr>
          <w:p>
            <w:r>
              <w:t>LinearRegression</w:t>
            </w:r>
          </w:p>
        </w:tc>
        <w:tc>
          <w:tcPr>
            <w:tcW w:type="dxa" w:w="1728"/>
          </w:tcPr>
          <w:p>
            <w:r/>
          </w:p>
        </w:tc>
        <w:tc>
          <w:tcPr>
            <w:tcW w:type="dxa" w:w="1728"/>
          </w:tcPr>
          <w:p>
            <w:r>
              <w:t>2009.12</w:t>
            </w:r>
          </w:p>
        </w:tc>
        <w:tc>
          <w:tcPr>
            <w:tcW w:type="dxa" w:w="1728"/>
          </w:tcPr>
          <w:p>
            <w:r>
              <w:t>1243.07</w:t>
            </w:r>
          </w:p>
        </w:tc>
        <w:tc>
          <w:tcPr>
            <w:tcW w:type="dxa" w:w="1728"/>
          </w:tcPr>
          <w:p>
            <w:r>
              <w:t>0.776</w:t>
            </w:r>
          </w:p>
        </w:tc>
      </w:tr>
      <w:tr>
        <w:tc>
          <w:tcPr>
            <w:tcW w:type="dxa" w:w="1728"/>
          </w:tcPr>
          <w:p>
            <w:r>
              <w:t>SVR</w:t>
            </w:r>
          </w:p>
        </w:tc>
        <w:tc>
          <w:tcPr>
            <w:tcW w:type="dxa" w:w="1728"/>
          </w:tcPr>
          <w:p>
            <w:r>
              <w:t>3896.42</w:t>
            </w:r>
          </w:p>
        </w:tc>
        <w:tc>
          <w:tcPr>
            <w:tcW w:type="dxa" w:w="1728"/>
          </w:tcPr>
          <w:p>
            <w:r>
              <w:t>4104.50</w:t>
            </w:r>
          </w:p>
        </w:tc>
        <w:tc>
          <w:tcPr>
            <w:tcW w:type="dxa" w:w="1728"/>
          </w:tcPr>
          <w:p>
            <w:r>
              <w:t>2728.98</w:t>
            </w:r>
          </w:p>
        </w:tc>
        <w:tc>
          <w:tcPr>
            <w:tcW w:type="dxa" w:w="1728"/>
          </w:tcPr>
          <w:p>
            <w:r>
              <w:t>0.064</w:t>
            </w:r>
          </w:p>
        </w:tc>
      </w:tr>
    </w:tbl>
    <w:p/>
    <w:p>
      <w:pPr>
        <w:pStyle w:val="Heading1"/>
      </w:pPr>
      <w:r>
        <w:t>4. Final Test Performance</w:t>
      </w:r>
    </w:p>
    <w:p>
      <w:r>
        <w:t>Best model: HistGradientBoosting</w:t>
      </w:r>
    </w:p>
    <w:p>
      <w:r>
        <w:t>Test RMSE: £1,620.13</w:t>
      </w:r>
    </w:p>
    <w:p>
      <w:r>
        <w:t>Test MAE: £979.08</w:t>
      </w:r>
    </w:p>
    <w:p>
      <w:r>
        <w:t>Test R²: 0.850</w:t>
      </w:r>
    </w:p>
    <w:p>
      <w:pPr>
        <w:pStyle w:val="Heading1"/>
      </w:pPr>
      <w:r>
        <w:t>5. Diagnostic Figures</w:t>
      </w:r>
    </w:p>
    <w:p>
      <w:r>
        <w:t>The following figures are generated from the final model on the test set.</w:t>
      </w:r>
    </w:p>
    <w:p>
      <w:r>
        <w:drawing>
          <wp:inline xmlns:a="http://schemas.openxmlformats.org/drawingml/2006/main" xmlns:pic="http://schemas.openxmlformats.org/drawingml/2006/picture">
            <wp:extent cx="5486400" cy="5452304"/>
            <wp:docPr id="1" name="Picture 1"/>
            <wp:cNvGraphicFramePr>
              <a:graphicFrameLocks noChangeAspect="1"/>
            </wp:cNvGraphicFramePr>
            <a:graphic>
              <a:graphicData uri="http://schemas.openxmlformats.org/drawingml/2006/picture">
                <pic:pic>
                  <pic:nvPicPr>
                    <pic:cNvPr id="0" name="pred_vs_actual_test_HistGradientBoosting.png"/>
                    <pic:cNvPicPr/>
                  </pic:nvPicPr>
                  <pic:blipFill>
                    <a:blip r:embed="rId9"/>
                    <a:stretch>
                      <a:fillRect/>
                    </a:stretch>
                  </pic:blipFill>
                  <pic:spPr>
                    <a:xfrm>
                      <a:off x="0" y="0"/>
                      <a:ext cx="5486400" cy="5452304"/>
                    </a:xfrm>
                    <a:prstGeom prst="rect"/>
                  </pic:spPr>
                </pic:pic>
              </a:graphicData>
            </a:graphic>
          </wp:inline>
        </w:drawing>
      </w:r>
    </w:p>
    <w:p>
      <w:r>
        <w:t>Figure 1. Predicted vs. Actual prices with y=x reference.</w:t>
      </w:r>
    </w:p>
    <w:p>
      <w:r>
        <w:drawing>
          <wp:inline xmlns:a="http://schemas.openxmlformats.org/drawingml/2006/main" xmlns:pic="http://schemas.openxmlformats.org/drawingml/2006/picture">
            <wp:extent cx="5486400" cy="3612164"/>
            <wp:docPr id="2" name="Picture 2"/>
            <wp:cNvGraphicFramePr>
              <a:graphicFrameLocks noChangeAspect="1"/>
            </wp:cNvGraphicFramePr>
            <a:graphic>
              <a:graphicData uri="http://schemas.openxmlformats.org/drawingml/2006/picture">
                <pic:pic>
                  <pic:nvPicPr>
                    <pic:cNvPr id="0" name="residuals_vs_fitted_HistGradientBoosting.png"/>
                    <pic:cNvPicPr/>
                  </pic:nvPicPr>
                  <pic:blipFill>
                    <a:blip r:embed="rId10"/>
                    <a:stretch>
                      <a:fillRect/>
                    </a:stretch>
                  </pic:blipFill>
                  <pic:spPr>
                    <a:xfrm>
                      <a:off x="0" y="0"/>
                      <a:ext cx="5486400" cy="3612164"/>
                    </a:xfrm>
                    <a:prstGeom prst="rect"/>
                  </pic:spPr>
                </pic:pic>
              </a:graphicData>
            </a:graphic>
          </wp:inline>
        </w:drawing>
      </w:r>
    </w:p>
    <w:p>
      <w:r>
        <w:t>Figure 2. Residuals vs. Fitted values.</w:t>
      </w:r>
    </w:p>
    <w:p>
      <w:r>
        <w:drawing>
          <wp:inline xmlns:a="http://schemas.openxmlformats.org/drawingml/2006/main" xmlns:pic="http://schemas.openxmlformats.org/drawingml/2006/picture">
            <wp:extent cx="5486400" cy="3614205"/>
            <wp:docPr id="3" name="Picture 3"/>
            <wp:cNvGraphicFramePr>
              <a:graphicFrameLocks noChangeAspect="1"/>
            </wp:cNvGraphicFramePr>
            <a:graphic>
              <a:graphicData uri="http://schemas.openxmlformats.org/drawingml/2006/picture">
                <pic:pic>
                  <pic:nvPicPr>
                    <pic:cNvPr id="0" name="residual_distribution_HistGradientBoosting.png"/>
                    <pic:cNvPicPr/>
                  </pic:nvPicPr>
                  <pic:blipFill>
                    <a:blip r:embed="rId11"/>
                    <a:stretch>
                      <a:fillRect/>
                    </a:stretch>
                  </pic:blipFill>
                  <pic:spPr>
                    <a:xfrm>
                      <a:off x="0" y="0"/>
                      <a:ext cx="5486400" cy="3614205"/>
                    </a:xfrm>
                    <a:prstGeom prst="rect"/>
                  </pic:spPr>
                </pic:pic>
              </a:graphicData>
            </a:graphic>
          </wp:inline>
        </w:drawing>
      </w:r>
    </w:p>
    <w:p>
      <w:r>
        <w:t>Figure 3. Residual distribution (histogram).</w:t>
      </w:r>
    </w:p>
    <w:p>
      <w:r>
        <w:drawing>
          <wp:inline xmlns:a="http://schemas.openxmlformats.org/drawingml/2006/main" xmlns:pic="http://schemas.openxmlformats.org/drawingml/2006/picture">
            <wp:extent cx="5486400" cy="3614205"/>
            <wp:docPr id="4" name="Picture 4"/>
            <wp:cNvGraphicFramePr>
              <a:graphicFrameLocks noChangeAspect="1"/>
            </wp:cNvGraphicFramePr>
            <a:graphic>
              <a:graphicData uri="http://schemas.openxmlformats.org/drawingml/2006/picture">
                <pic:pic>
                  <pic:nvPicPr>
                    <pic:cNvPr id="0" name="learning_curve_HistGradientBoosting.png"/>
                    <pic:cNvPicPr/>
                  </pic:nvPicPr>
                  <pic:blipFill>
                    <a:blip r:embed="rId12"/>
                    <a:stretch>
                      <a:fillRect/>
                    </a:stretch>
                  </pic:blipFill>
                  <pic:spPr>
                    <a:xfrm>
                      <a:off x="0" y="0"/>
                      <a:ext cx="5486400" cy="3614205"/>
                    </a:xfrm>
                    <a:prstGeom prst="rect"/>
                  </pic:spPr>
                </pic:pic>
              </a:graphicData>
            </a:graphic>
          </wp:inline>
        </w:drawing>
      </w:r>
    </w:p>
    <w:p>
      <w:r>
        <w:t>Figure 4. Learning curve (Train and CV RMSE).</w:t>
      </w:r>
    </w:p>
    <w:p>
      <w:r>
        <w:drawing>
          <wp:inline xmlns:a="http://schemas.openxmlformats.org/drawingml/2006/main" xmlns:pic="http://schemas.openxmlformats.org/drawingml/2006/picture">
            <wp:extent cx="5486400" cy="4678017"/>
            <wp:docPr id="5" name="Picture 5"/>
            <wp:cNvGraphicFramePr>
              <a:graphicFrameLocks noChangeAspect="1"/>
            </wp:cNvGraphicFramePr>
            <a:graphic>
              <a:graphicData uri="http://schemas.openxmlformats.org/drawingml/2006/picture">
                <pic:pic>
                  <pic:nvPicPr>
                    <pic:cNvPr id="0" name="feature_importance_top20_HistGradientBoosting.png"/>
                    <pic:cNvPicPr/>
                  </pic:nvPicPr>
                  <pic:blipFill>
                    <a:blip r:embed="rId13"/>
                    <a:stretch>
                      <a:fillRect/>
                    </a:stretch>
                  </pic:blipFill>
                  <pic:spPr>
                    <a:xfrm>
                      <a:off x="0" y="0"/>
                      <a:ext cx="5486400" cy="4678017"/>
                    </a:xfrm>
                    <a:prstGeom prst="rect"/>
                  </pic:spPr>
                </pic:pic>
              </a:graphicData>
            </a:graphic>
          </wp:inline>
        </w:drawing>
      </w:r>
    </w:p>
    <w:p>
      <w:r>
        <w:t>Figure 5. Top-20 feature importances (tree/permutation).</w:t>
      </w:r>
    </w:p>
    <w:p>
      <w:pPr>
        <w:pStyle w:val="Heading1"/>
      </w:pPr>
      <w:r>
        <w:t>6. Conclusions</w:t>
      </w:r>
    </w:p>
    <w:p>
      <w:r>
        <w:t>The selected model demonstrates competitive generalization on the hold-out test set. Diagnostic plots indicate the error structure and areas for improvement (e.g., mild heteroscedasticity if residual spread grows with price). Future work may include richer feature engineering (e.g., age from registration year, interaction terms), geographic aggregation (postcode-level effects), nested cross-validation for unbiased model selection, and fairness/robustness checks.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