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E2B57A3" w14:paraId="2C078E63" wp14:textId="06539BD0">
      <w:pPr>
        <w:pStyle w:val="Normal"/>
        <w:rPr>
          <w:rFonts w:ascii="Rockwell" w:hAnsi="Rockwell" w:eastAsia="Rockwell" w:cs="Rockwell"/>
          <w:b w:val="0"/>
          <w:bCs w:val="0"/>
          <w:i w:val="0"/>
          <w:iCs w:val="0"/>
          <w:noProof w:val="0"/>
          <w:color w:val="C45911" w:themeColor="accent2" w:themeTint="FF" w:themeShade="BF"/>
          <w:sz w:val="55"/>
          <w:szCs w:val="55"/>
          <w:u w:val="single"/>
          <w:lang w:val="en-US"/>
        </w:rPr>
      </w:pPr>
      <w:bookmarkStart w:name="_GoBack" w:id="0"/>
      <w:bookmarkEnd w:id="0"/>
      <w:r w:rsidRPr="7E2B57A3" w:rsidR="614D1654">
        <w:rPr>
          <w:rFonts w:ascii="Rockwell" w:hAnsi="Rockwell" w:eastAsia="Rockwell" w:cs="Rockwell"/>
          <w:b w:val="0"/>
          <w:bCs w:val="0"/>
          <w:i w:val="0"/>
          <w:iCs w:val="0"/>
          <w:noProof w:val="0"/>
          <w:color w:val="C45911" w:themeColor="accent2" w:themeTint="FF" w:themeShade="BF"/>
          <w:sz w:val="55"/>
          <w:szCs w:val="55"/>
          <w:u w:val="single"/>
          <w:lang w:val="en-US"/>
        </w:rPr>
        <w:t>Technical Specification</w:t>
      </w:r>
      <w:r w:rsidRPr="7E2B57A3" w:rsidR="154BEDEA">
        <w:rPr>
          <w:rFonts w:ascii="Rockwell" w:hAnsi="Rockwell" w:eastAsia="Rockwell" w:cs="Rockwell"/>
          <w:b w:val="0"/>
          <w:bCs w:val="0"/>
          <w:i w:val="0"/>
          <w:iCs w:val="0"/>
          <w:noProof w:val="0"/>
          <w:color w:val="C45911" w:themeColor="accent2" w:themeTint="FF" w:themeShade="BF"/>
          <w:sz w:val="55"/>
          <w:szCs w:val="55"/>
          <w:u w:val="single"/>
          <w:lang w:val="en-US"/>
        </w:rPr>
        <w:t>s</w:t>
      </w:r>
    </w:p>
    <w:p w:rsidR="614D1654" w:rsidP="293B371C" w:rsidRDefault="614D1654" w14:paraId="2C3D211E" w14:textId="6A4FD814">
      <w:pPr>
        <w:pStyle w:val="Normal"/>
        <w:rPr>
          <w:rFonts w:ascii="Rockwell" w:hAnsi="Rockwell" w:eastAsia="Rockwell" w:cs="Rockwell"/>
          <w:b w:val="0"/>
          <w:bCs w:val="0"/>
          <w:i w:val="0"/>
          <w:iCs w:val="0"/>
          <w:noProof w:val="0"/>
          <w:color w:val="C45911" w:themeColor="accent2" w:themeTint="FF" w:themeShade="BF"/>
          <w:sz w:val="44"/>
          <w:szCs w:val="44"/>
          <w:u w:val="none"/>
          <w:lang w:val="en-US"/>
        </w:rPr>
      </w:pPr>
      <w:r w:rsidRPr="293B371C" w:rsidR="614D1654">
        <w:rPr>
          <w:rFonts w:ascii="Rockwell" w:hAnsi="Rockwell" w:eastAsia="Rockwell" w:cs="Rockwell"/>
          <w:b w:val="0"/>
          <w:bCs w:val="0"/>
          <w:i w:val="0"/>
          <w:iCs w:val="0"/>
          <w:noProof w:val="0"/>
          <w:color w:val="C45911" w:themeColor="accent2" w:themeTint="FF" w:themeShade="BF"/>
          <w:sz w:val="44"/>
          <w:szCs w:val="44"/>
          <w:u w:val="none"/>
          <w:lang w:val="en-US"/>
        </w:rPr>
        <w:t>Flowchart:</w:t>
      </w:r>
    </w:p>
    <w:p w:rsidR="4CB8843D" w:rsidP="4CB8843D" w:rsidRDefault="4CB8843D" w14:paraId="3B109C6D" w14:textId="183D2ACD">
      <w:pPr>
        <w:pStyle w:val="Normal"/>
      </w:pPr>
      <w:r w:rsidR="614D1654">
        <w:drawing>
          <wp:inline wp14:editId="293B371C" wp14:anchorId="71551045">
            <wp:extent cx="5943600" cy="3381375"/>
            <wp:effectExtent l="0" t="0" r="0" b="0"/>
            <wp:docPr id="13882380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a7ce9fcafc46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CB8843D">
        <w:rPr/>
        <w:t/>
      </w:r>
      <w:r w:rsidR="293B371C">
        <w:rPr/>
        <w:t/>
      </w:r>
    </w:p>
    <w:p w:rsidR="614D1654" w:rsidP="293B371C" w:rsidRDefault="614D1654" w14:paraId="59E405F7" w14:textId="25B507F0">
      <w:pPr>
        <w:pStyle w:val="ListParagraph"/>
        <w:numPr>
          <w:ilvl w:val="0"/>
          <w:numId w:val="1"/>
        </w:numPr>
        <w:rPr>
          <w:rFonts w:ascii="Rockwell" w:hAnsi="Rockwell" w:eastAsia="Rockwell" w:cs="Rockwell" w:asciiTheme="minorAscii" w:hAnsiTheme="minorAscii" w:eastAsiaTheme="minorAscii" w:cstheme="minorAscii"/>
          <w:sz w:val="22"/>
          <w:szCs w:val="22"/>
        </w:rPr>
      </w:pPr>
      <w:r w:rsidRPr="293B371C" w:rsidR="013CCB85">
        <w:rPr>
          <w:rFonts w:ascii="Rockwell" w:hAnsi="Rockwell" w:eastAsia="Rockwell" w:cs="Rockwell"/>
          <w:noProof w:val="0"/>
          <w:sz w:val="22"/>
          <w:szCs w:val="22"/>
          <w:lang w:val="en-US"/>
        </w:rPr>
        <w:t>*Report Clarification: Timer starts when phone turned on and when app is started. Charts/Data is continually updated till phone is tuned off or app is closed.</w:t>
      </w:r>
    </w:p>
    <w:p w:rsidR="614D1654" w:rsidP="293B371C" w:rsidRDefault="614D1654" w14:paraId="2891C341" w14:textId="04B8D022">
      <w:pPr>
        <w:pStyle w:val="Normal"/>
        <w:rPr>
          <w:rFonts w:ascii="Rockwell" w:hAnsi="Rockwell" w:eastAsia="Rockwell" w:cs="Rockwell"/>
          <w:b w:val="0"/>
          <w:bCs w:val="0"/>
          <w:i w:val="0"/>
          <w:iCs w:val="0"/>
          <w:noProof w:val="0"/>
          <w:color w:val="C45911" w:themeColor="accent2" w:themeTint="FF" w:themeShade="BF"/>
          <w:sz w:val="44"/>
          <w:szCs w:val="44"/>
          <w:u w:val="none"/>
          <w:lang w:val="en-US"/>
        </w:rPr>
      </w:pPr>
      <w:r w:rsidRPr="3A810C7B" w:rsidR="614D1654">
        <w:rPr>
          <w:rFonts w:ascii="Rockwell" w:hAnsi="Rockwell" w:eastAsia="Rockwell" w:cs="Rockwell"/>
          <w:b w:val="0"/>
          <w:bCs w:val="0"/>
          <w:i w:val="0"/>
          <w:iCs w:val="0"/>
          <w:noProof w:val="0"/>
          <w:color w:val="C45911" w:themeColor="accent2" w:themeTint="FF" w:themeShade="BF"/>
          <w:sz w:val="44"/>
          <w:szCs w:val="44"/>
          <w:u w:val="none"/>
          <w:lang w:val="en-US"/>
        </w:rPr>
        <w:t>UML:</w:t>
      </w:r>
    </w:p>
    <w:p w:rsidR="293B371C" w:rsidP="293B371C" w:rsidRDefault="293B371C" w14:paraId="60969CCF" w14:textId="79BF2034">
      <w:pPr>
        <w:pStyle w:val="Normal"/>
      </w:pPr>
      <w:r w:rsidR="3A810C7B">
        <w:rPr/>
        <w:t/>
      </w:r>
      <w:r w:rsidR="3A810C7B">
        <w:drawing>
          <wp:anchor distT="0" distB="0" distL="114300" distR="114300" simplePos="0" relativeHeight="251658240" behindDoc="0" locked="0" layoutInCell="1" allowOverlap="1" wp14:editId="610E775F" wp14:anchorId="0856015C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534026" cy="2114550"/>
            <wp:wrapNone/>
            <wp:effectExtent l="0" t="0" r="0" b="0"/>
            <wp:docPr id="9815358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47e2d47ebf4e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6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7E2B57A3">
        <w:rPr/>
        <w:t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24083EF"/>
  <w15:docId w15:val="{9fa0440f-8872-4b05-956f-f0a1253c4233}"/>
  <w:rsids>
    <w:rsidRoot w:val="424083EF"/>
    <w:rsid w:val="013CCB85"/>
    <w:rsid w:val="154BEDEA"/>
    <w:rsid w:val="293B371C"/>
    <w:rsid w:val="3A810C7B"/>
    <w:rsid w:val="3BC28745"/>
    <w:rsid w:val="424083EF"/>
    <w:rsid w:val="439B51B7"/>
    <w:rsid w:val="440EC664"/>
    <w:rsid w:val="4469AA59"/>
    <w:rsid w:val="4CB8843D"/>
    <w:rsid w:val="57BF5C6B"/>
    <w:rsid w:val="614D1654"/>
    <w:rsid w:val="69AD3F38"/>
    <w:rsid w:val="6E6F615B"/>
    <w:rsid w:val="75044176"/>
    <w:rsid w:val="7E2B57A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2.png" Id="R0ca7ce9fcafc46ff" /><Relationship Type="http://schemas.openxmlformats.org/officeDocument/2006/relationships/numbering" Target="/word/numbering.xml" Id="Rd6b261adce8b4a84" /><Relationship Type="http://schemas.openxmlformats.org/officeDocument/2006/relationships/image" Target="/media/image3.png" Id="R6d47e2d47ebf4e8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2020-11-12T05:16:36.8947599Z</dcterms:created>
  <dcterms:modified xsi:type="dcterms:W3CDTF">2020-11-12T07:43:11.4270403Z</dcterms:modified>
  <dc:creator>BASKAR, VIDYUT</dc:creator>
  <lastModifiedBy>BASKAR, VIDYUT</lastModifiedBy>
</coreProperties>
</file>