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120" w:after="120"/>
      </w:pPr>
      <w:r>
        <w:rPr>
          <w:rFonts w:ascii="Arial" w:hAnsi="Arial" w:cs="Arial"/>
          <w:b/>
          <w:color w:val="0A2540"/>
          <w:sz w:val="32"/>
          <w:szCs w:val="32"/>
        </w:rPr>
        <w:t xml:space="preserve">UNIVERSIDAD NACIONAL MAYOR DE SAN MARCOS</w:t>
        <w:br/>
        <w:t xml:space="preserve">(Universidad del Perú, Decana de América)</w:t>
      </w:r>
    </w:p>
    <w:p>
      <w:pPr>
        <w:jc w:val="center"/>
        <w:spacing w:before="60" w:after="280"/>
      </w:pPr>
      <w:r>
        <w:rPr>
          <w:rFonts w:ascii="Arial" w:hAnsi="Arial" w:cs="Arial"/>
          <w:b/>
          <w:color w:val="1E293B"/>
          <w:sz w:val="26"/>
          <w:szCs w:val="26"/>
        </w:rPr>
        <w:t xml:space="preserve">FACULTAD DE CIENCIAS MATEMÁTICAS</w:t>
        <w:br/>
        <w:t xml:space="preserve">ESCUELA PROFESIONAL DE COMPUTACIÓN CIENTÍFICA</w:t>
      </w:r>
    </w:p>
    <w:p>
      <w:pPr>
        <w:jc w:val="center"/>
        <w:spacing w:before="120" w:after="180"/>
      </w:pPr>
      <w:r>
        <w:rPr>
          <w:rFonts w:ascii="Arial" w:hAnsi="Arial" w:cs="Arial"/>
          <w:b/>
          <w:color w:val="1D4ED8"/>
          <w:sz w:val="28"/>
          <w:szCs w:val="28"/>
        </w:rPr>
        <w:t xml:space="preserve">INFORME TÉCNICO-EMPRESARIAL Y ACADÉMICO DE INGENIERÍA DE SOFTWARE</w:t>
      </w:r>
    </w:p>
    <w:p>
      <w:pPr>
        <w:jc w:val="center"/>
        <w:spacing w:before="60" w:after="280"/>
      </w:pPr>
      <w:r>
        <w:rPr>
          <w:rFonts w:ascii="Arial" w:hAnsi="Arial" w:cs="Arial"/>
          <w:b/>
          <w:color w:val="0A2540"/>
          <w:sz w:val="25"/>
          <w:szCs w:val="25"/>
        </w:rPr>
        <w:t xml:space="preserve">PROYECTO:</w:t>
        <w:br/>
        <w:t xml:space="preserve">"IndiServ Analytica: Sistema Experto de Auditoría, Diagnóstico de Hardware,</w:t>
        <w:br/>
        <w:t xml:space="preserve">Renderizado Vectorial 2D, Gemelo Digital 3D y Persistencia Cloud en Supabase"</w:t>
      </w:r>
    </w:p>
    <w:tbl>
      <w:tblPr>
        <w:tblW w:w="0" w:type="auto"/>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80" w:type="dxa"/>
          <w:left w:w="120" w:type="dxa"/>
          <w:bottom w:w="80" w:type="dxa"/>
          <w:right w:w="120" w:type="dxa"/>
        </w:tblCellMar>
      </w:tblPr>
      <w:tblGrid>
        <w:gridCol w:w="3200"/>
        <w:gridCol w:w="6160"/>
      </w:tblGrid>
      <w:tr>
        <w:tc>
          <w:tcPr>
            <w:tcW w:w="3200" w:type="dxa"/>
            <w:shd w:val="clear" w:color="auto" w:fill="0A2540"/>
          </w:tcPr>
          <w:p>
            <w:pPr>
              <w:jc w:val="left"/>
              <w:spacing w:before="20" w:after="20"/>
            </w:pPr>
            <w:r>
              <w:rPr>
                <w:rFonts w:ascii="Calibri" w:hAnsi="Calibri" w:cs="Calibri"/>
                <w:b/>
                <w:color w:val="FFFFFF"/>
                <w:sz w:val="19"/>
                <w:szCs w:val="19"/>
              </w:rPr>
              <w:t xml:space="preserve">Atributo Institucional / Corporativo</w:t>
            </w:r>
          </w:p>
        </w:tc>
        <w:tc>
          <w:tcPr>
            <w:tcW w:w="6160" w:type="dxa"/>
            <w:shd w:val="clear" w:color="auto" w:fill="0A2540"/>
          </w:tcPr>
          <w:p>
            <w:pPr>
              <w:jc w:val="left"/>
              <w:spacing w:before="20" w:after="20"/>
            </w:pPr>
            <w:r>
              <w:rPr>
                <w:rFonts w:ascii="Calibri" w:hAnsi="Calibri" w:cs="Calibri"/>
                <w:b/>
                <w:color w:val="FFFFFF"/>
                <w:sz w:val="19"/>
                <w:szCs w:val="19"/>
              </w:rPr>
              <w:t xml:space="preserve">Especificación Técnica del Proyecto</w:t>
            </w:r>
          </w:p>
        </w:tc>
      </w:tr>
      <w:tr>
        <w:tc>
          <w:tcPr>
            <w:tcW w:w="3200" w:type="dxa"/>
            <w:shd w:val="clear" w:color="auto" w:fill="FFFFFF"/>
          </w:tcPr>
          <w:p>
            <w:pPr>
              <w:jc w:val="left"/>
              <w:spacing w:before="20" w:after="20"/>
            </w:pPr>
            <w:r>
              <w:rPr>
                <w:rFonts w:ascii="Calibri" w:hAnsi="Calibri" w:cs="Calibri"/>
                <w:b/>
                <w:color w:val="0A2540"/>
                <w:sz w:val="18"/>
                <w:szCs w:val="18"/>
              </w:rPr>
              <w:t xml:space="preserve">Curso / Asignatura</w:t>
            </w:r>
          </w:p>
        </w:tc>
        <w:tc>
          <w:tcPr>
            <w:tcW w:w="6160" w:type="dxa"/>
            <w:shd w:val="clear" w:color="auto" w:fill="FFFFFF"/>
          </w:tcPr>
          <w:p>
            <w:pPr>
              <w:jc w:val="left"/>
              <w:spacing w:before="20" w:after="20"/>
            </w:pPr>
            <w:r>
              <w:rPr>
                <w:rFonts w:ascii="Calibri" w:hAnsi="Calibri" w:cs="Calibri"/>
                <w:color w:val="1E293B"/>
                <w:sz w:val="18"/>
                <w:szCs w:val="18"/>
              </w:rPr>
              <w:t xml:space="preserve">Programación Orientada a Objetos 1 — Sección 1</w:t>
            </w:r>
          </w:p>
        </w:tc>
      </w:tr>
      <w:tr>
        <w:tc>
          <w:tcPr>
            <w:tcW w:w="3200" w:type="dxa"/>
            <w:shd w:val="clear" w:color="auto" w:fill="F8FAFC"/>
          </w:tcPr>
          <w:p>
            <w:pPr>
              <w:jc w:val="left"/>
              <w:spacing w:before="20" w:after="20"/>
            </w:pPr>
            <w:r>
              <w:rPr>
                <w:rFonts w:ascii="Calibri" w:hAnsi="Calibri" w:cs="Calibri"/>
                <w:b/>
                <w:color w:val="0A2540"/>
                <w:sz w:val="18"/>
                <w:szCs w:val="18"/>
              </w:rPr>
              <w:t xml:space="preserve">Docente Responsable</w:t>
            </w:r>
          </w:p>
        </w:tc>
        <w:tc>
          <w:tcPr>
            <w:tcW w:w="6160" w:type="dxa"/>
            <w:shd w:val="clear" w:color="auto" w:fill="F8FAFC"/>
          </w:tcPr>
          <w:p>
            <w:pPr>
              <w:jc w:val="left"/>
              <w:spacing w:before="20" w:after="20"/>
            </w:pPr>
            <w:r>
              <w:rPr>
                <w:rFonts w:ascii="Calibri" w:hAnsi="Calibri" w:cs="Calibri"/>
                <w:color w:val="1E293B"/>
                <w:sz w:val="18"/>
                <w:szCs w:val="18"/>
              </w:rPr>
              <w:t xml:space="preserve">Prof. Lyses Augusto Hidalgo Pereda</w:t>
            </w:r>
          </w:p>
        </w:tc>
      </w:tr>
      <w:tr>
        <w:tc>
          <w:tcPr>
            <w:tcW w:w="3200" w:type="dxa"/>
            <w:shd w:val="clear" w:color="auto" w:fill="FFFFFF"/>
          </w:tcPr>
          <w:p>
            <w:pPr>
              <w:jc w:val="left"/>
              <w:spacing w:before="20" w:after="20"/>
            </w:pPr>
            <w:r>
              <w:rPr>
                <w:rFonts w:ascii="Calibri" w:hAnsi="Calibri" w:cs="Calibri"/>
                <w:b/>
                <w:color w:val="0A2540"/>
                <w:sz w:val="18"/>
                <w:szCs w:val="18"/>
              </w:rPr>
              <w:t xml:space="preserve">Versión del Software Auditado</w:t>
            </w:r>
          </w:p>
        </w:tc>
        <w:tc>
          <w:tcPr>
            <w:tcW w:w="6160" w:type="dxa"/>
            <w:shd w:val="clear" w:color="auto" w:fill="FFFFFF"/>
          </w:tcPr>
          <w:p>
            <w:pPr>
              <w:jc w:val="left"/>
              <w:spacing w:before="20" w:after="20"/>
            </w:pPr>
            <w:r>
              <w:rPr>
                <w:rFonts w:ascii="Calibri" w:hAnsi="Calibri" w:cs="Calibri"/>
                <w:color w:val="1E293B"/>
                <w:sz w:val="18"/>
                <w:szCs w:val="18"/>
              </w:rPr>
              <w:t xml:space="preserve">IndiServ Analytica v3.0 (Fase 1 + Fase 2 + Fase 3 Extended)</w:t>
            </w:r>
          </w:p>
        </w:tc>
      </w:tr>
      <w:tr>
        <w:tc>
          <w:tcPr>
            <w:tcW w:w="3200" w:type="dxa"/>
            <w:shd w:val="clear" w:color="auto" w:fill="F8FAFC"/>
          </w:tcPr>
          <w:p>
            <w:pPr>
              <w:jc w:val="left"/>
              <w:spacing w:before="20" w:after="20"/>
            </w:pPr>
            <w:r>
              <w:rPr>
                <w:rFonts w:ascii="Calibri" w:hAnsi="Calibri" w:cs="Calibri"/>
                <w:b/>
                <w:color w:val="0A2540"/>
                <w:sz w:val="18"/>
                <w:szCs w:val="18"/>
              </w:rPr>
              <w:t xml:space="preserve">Stack Tecnológico Principal</w:t>
            </w:r>
          </w:p>
        </w:tc>
        <w:tc>
          <w:tcPr>
            <w:tcW w:w="6160" w:type="dxa"/>
            <w:shd w:val="clear" w:color="auto" w:fill="F8FAFC"/>
          </w:tcPr>
          <w:p>
            <w:pPr>
              <w:jc w:val="left"/>
              <w:spacing w:before="20" w:after="20"/>
            </w:pPr>
            <w:r>
              <w:rPr>
                <w:rFonts w:ascii="Calibri" w:hAnsi="Calibri" w:cs="Calibri"/>
                <w:color w:val="1E293B"/>
                <w:sz w:val="18"/>
                <w:szCs w:val="18"/>
              </w:rPr>
              <w:t xml:space="preserve">Python 3.13+, CustomTkinter, Tkinter Canvas 2D, psutil, WMI/CIM PowerShell</w:t>
            </w:r>
          </w:p>
        </w:tc>
      </w:tr>
      <w:tr>
        <w:tc>
          <w:tcPr>
            <w:tcW w:w="3200" w:type="dxa"/>
            <w:shd w:val="clear" w:color="auto" w:fill="FFFFFF"/>
          </w:tcPr>
          <w:p>
            <w:pPr>
              <w:jc w:val="left"/>
              <w:spacing w:before="20" w:after="20"/>
            </w:pPr>
            <w:r>
              <w:rPr>
                <w:rFonts w:ascii="Calibri" w:hAnsi="Calibri" w:cs="Calibri"/>
                <w:b/>
                <w:color w:val="0A2540"/>
                <w:sz w:val="18"/>
                <w:szCs w:val="18"/>
              </w:rPr>
              <w:t xml:space="preserve">Infraestructura Cloud &amp; Web 3D</w:t>
            </w:r>
          </w:p>
        </w:tc>
        <w:tc>
          <w:tcPr>
            <w:tcW w:w="6160" w:type="dxa"/>
            <w:shd w:val="clear" w:color="auto" w:fill="FFFFFF"/>
          </w:tcPr>
          <w:p>
            <w:pPr>
              <w:jc w:val="left"/>
              <w:spacing w:before="20" w:after="20"/>
            </w:pPr>
            <w:r>
              <w:rPr>
                <w:rFonts w:ascii="Calibri" w:hAnsi="Calibri" w:cs="Calibri"/>
                <w:color w:val="1E293B"/>
                <w:sz w:val="18"/>
                <w:szCs w:val="18"/>
              </w:rPr>
              <w:t xml:space="preserve">Supabase BaaS (PostgreSQL + PostgREST) &amp; Visor Web 3D en Vercel</w:t>
            </w:r>
          </w:p>
        </w:tc>
      </w:tr>
      <w:tr>
        <w:tc>
          <w:tcPr>
            <w:tcW w:w="3200" w:type="dxa"/>
            <w:shd w:val="clear" w:color="auto" w:fill="F8FAFC"/>
          </w:tcPr>
          <w:p>
            <w:pPr>
              <w:jc w:val="left"/>
              <w:spacing w:before="20" w:after="20"/>
            </w:pPr>
            <w:r>
              <w:rPr>
                <w:rFonts w:ascii="Calibri" w:hAnsi="Calibri" w:cs="Calibri"/>
                <w:b/>
                <w:color w:val="0A2540"/>
                <w:sz w:val="18"/>
                <w:szCs w:val="18"/>
              </w:rPr>
              <w:t xml:space="preserve">Equipo de Desarrollo</w:t>
            </w:r>
          </w:p>
        </w:tc>
        <w:tc>
          <w:tcPr>
            <w:tcW w:w="6160" w:type="dxa"/>
            <w:shd w:val="clear" w:color="auto" w:fill="F8FAFC"/>
          </w:tcPr>
          <w:p>
            <w:pPr>
              <w:jc w:val="left"/>
              <w:spacing w:before="20" w:after="20"/>
            </w:pPr>
            <w:r>
              <w:rPr>
                <w:rFonts w:ascii="Calibri" w:hAnsi="Calibri" w:cs="Calibri"/>
                <w:color w:val="1E293B"/>
                <w:sz w:val="18"/>
                <w:szCs w:val="18"/>
              </w:rPr>
              <w:t xml:space="preserve">Huaman S., Samame J., Alvarado F., Zevallos F., Quispe G., Mamani A.</w:t>
            </w:r>
          </w:p>
        </w:tc>
      </w:tr>
    </w:tbl>
    <w:p>
      <w:pPr>
        <w:jc w:val="both"/>
        <w:spacing w:before="0" w:after="80"/>
      </w:pPr>
    </w:p>
    <w:p>
      <w:pPr>
        <w:jc w:val="center"/>
        <w:spacing w:before="360" w:after="120"/>
      </w:pPr>
      <w:r>
        <w:rPr>
          <w:rFonts w:ascii="Arial" w:hAnsi="Arial" w:cs="Arial"/>
          <w:b/>
          <w:color w:val="0A2540"/>
          <w:sz w:val="22"/>
          <w:szCs w:val="22"/>
        </w:rPr>
        <w:t xml:space="preserve">Lima, Perú — 2026</w:t>
      </w:r>
    </w:p>
    <w:p>
      <w:r>
        <w:br w:type="page"/>
      </w:r>
    </w:p>
    <w:p>
      <w:pPr>
        <w:jc w:val="left"/>
        <w:spacing w:before="240" w:after="100"/>
      </w:pPr>
      <w:r>
        <w:rPr>
          <w:rFonts w:ascii="Calibri" w:hAnsi="Calibri" w:cs="Calibri"/>
          <w:b/>
          <w:color w:val="0A2540"/>
          <w:sz w:val="29"/>
          <w:szCs w:val="29"/>
        </w:rPr>
        <w:t xml:space="preserve">1. RESUMEN EJECUTIVO (VISIÓN EMPRESARIAL) Y MARCO ACADÉMICO</w:t>
      </w:r>
    </w:p>
    <w:p>
      <w:pPr>
        <w:jc w:val="left"/>
        <w:spacing w:before="180" w:after="80"/>
      </w:pPr>
      <w:r>
        <w:rPr>
          <w:rFonts w:ascii="Calibri" w:hAnsi="Calibri" w:cs="Calibri"/>
          <w:b/>
          <w:color w:val="1D4ED8"/>
          <w:sz w:val="24"/>
          <w:szCs w:val="24"/>
        </w:rPr>
        <w:t xml:space="preserve">1.1. Propuesta de Valor Corporativa e Impacto en Soporte IT (ITSM)</w:t>
      </w:r>
    </w:p>
    <w:p>
      <w:pPr>
        <w:jc w:val="both"/>
        <w:spacing w:before="0" w:after="120"/>
      </w:pPr>
      <w:r>
        <w:rPr>
          <w:rFonts w:ascii="Calibri" w:hAnsi="Calibri" w:cs="Calibri"/>
          <w:color w:val="1E293B"/>
          <w:sz w:val="21"/>
          <w:szCs w:val="21"/>
        </w:rPr>
        <w:t xml:space="preserve">En la gestión moderna de infraestructura tecnológica (ITSM — IT Service Management) y centros de soporte técnico empresarial, el diagnóstico manual de estaciones de trabajo adolece de asimetría de información y alta dependencia del criterio empírico del operador. Esta falta de estandarización incrementa el Tiempo Medio de Reparación (MTTR — Mean Time To Repair), induce reemplazos innecesarios de componentes físicos y dificulta la trazabilidad histórica del parque informático.</w:t>
      </w:r>
    </w:p>
    <w:p>
      <w:pPr>
        <w:jc w:val="both"/>
        <w:spacing w:before="0" w:after="120"/>
      </w:pPr>
      <w:r>
        <w:rPr>
          <w:rFonts w:ascii="Calibri" w:hAnsi="Calibri" w:cs="Calibri"/>
          <w:color w:val="1E293B"/>
          <w:sz w:val="21"/>
          <w:szCs w:val="21"/>
        </w:rPr>
        <w:t xml:space="preserve">IndiServ Analytica soluciona esta problemática automatizando de principio a fin el ciclo de auditoría de hardware: extrae telemetría física profunda sin requerir agentes invasivos, guía la toma de decisiones mediante múltiples motores de inferencia (determinista, probabilístico multivariable y léxico-difuso), genera representaciones gráficas interactivas (Mapa Vectorial 2D y Gemelo Digital 3D en Vercel) y centraliza los expedientes de soporte en una base de datos relacional en la nube sobre Supabase.</w:t>
      </w:r>
    </w:p>
    <w:p>
      <w:pPr>
        <w:jc w:val="left"/>
        <w:spacing w:before="180" w:after="80"/>
      </w:pPr>
      <w:r>
        <w:rPr>
          <w:rFonts w:ascii="Calibri" w:hAnsi="Calibri" w:cs="Calibri"/>
          <w:b/>
          <w:color w:val="1D4ED8"/>
          <w:sz w:val="24"/>
          <w:szCs w:val="24"/>
        </w:rPr>
        <w:t xml:space="preserve">1.2. Fundamentación Teórica y Académica Universitaria</w:t>
      </w:r>
    </w:p>
    <w:p>
      <w:pPr>
        <w:jc w:val="both"/>
        <w:spacing w:before="0" w:after="120"/>
      </w:pPr>
      <w:r>
        <w:rPr>
          <w:rFonts w:ascii="Calibri" w:hAnsi="Calibri" w:cs="Calibri"/>
          <w:color w:val="1E293B"/>
          <w:sz w:val="21"/>
          <w:szCs w:val="21"/>
        </w:rPr>
        <w:t xml:space="preserve">Desde la perspectiva de la Computación Científica y la Ingeniería de Software, el código fuente de IndiServ Analytica aplica de forma rigurosa cinco pilares fundamentales:</w:t>
      </w:r>
    </w:p>
    <w:p>
      <w:pPr>
        <w:jc w:val="both"/>
        <w:spacing w:before="40" w:after="90"/>
        <w:ind w:left="360" w:hanging="180"/>
      </w:pPr>
      <w:r>
        <w:rPr>
          <w:rFonts w:ascii="Calibri" w:hAnsi="Calibri"/>
          <w:b/>
          <w:color w:val="0A2540"/>
          <w:sz w:val="21"/>
          <w:szCs w:val="21"/>
        </w:rPr>
        <w:t xml:space="preserve">•  Programación Orientada a Objetos (POO) y Separación de Responsabilidades (SoC): </w:t>
      </w:r>
      <w:r>
        <w:rPr>
          <w:rFonts w:ascii="Calibri" w:hAnsi="Calibri"/>
          <w:color w:val="1E293B"/>
          <w:sz w:val="21"/>
          <w:szCs w:val="21"/>
        </w:rPr>
        <w:t xml:space="preserve">Encapsula el estado de sesión y la máquina de estados del árbol diagnóstico dentro de la clase AppIndiServ (heredando de ctk.CTk), desacopla la lógica de negocio e infraestructura en el paquete core/, emplea métodos estáticos en fachadas de servicios (LectorHardware, CloudGateway, MatrizSintomas, BuscadorAsistido) y utiliza composición orientada a objetos para el lienzo interactivo MotherboardMapView y el benchmark MicroStressTest.</w:t>
      </w:r>
    </w:p>
    <w:p>
      <w:pPr>
        <w:jc w:val="both"/>
        <w:spacing w:before="40" w:after="90"/>
        <w:ind w:left="360" w:hanging="180"/>
      </w:pPr>
      <w:r>
        <w:rPr>
          <w:rFonts w:ascii="Calibri" w:hAnsi="Calibri"/>
          <w:b/>
          <w:color w:val="0A2540"/>
          <w:sz w:val="21"/>
          <w:szCs w:val="21"/>
        </w:rPr>
        <w:t xml:space="preserve">•  Sistemas Expertos e Inteligencia Artificial Simbólica: </w:t>
      </w:r>
      <w:r>
        <w:rPr>
          <w:rFonts w:ascii="Calibri" w:hAnsi="Calibri"/>
          <w:color w:val="1E293B"/>
          <w:sz w:val="21"/>
          <w:szCs w:val="21"/>
        </w:rPr>
        <w:t xml:space="preserve">Implementa un motor de inferencia con encadenamiento hacia adelante (Forward Chaining) sobre 7 ramas sintomáticas y 19 códigos de dictamen (#101 a #702), complementado por un modelo de correlación multivariable ponderada que calcula porcentajes de probabilidad relativa sobre 8 causas raíz.</w:t>
      </w:r>
    </w:p>
    <w:p>
      <w:pPr>
        <w:jc w:val="both"/>
        <w:spacing w:before="40" w:after="90"/>
        <w:ind w:left="360" w:hanging="180"/>
      </w:pPr>
      <w:r>
        <w:rPr>
          <w:rFonts w:ascii="Calibri" w:hAnsi="Calibri"/>
          <w:b/>
          <w:color w:val="0A2540"/>
          <w:sz w:val="21"/>
          <w:szCs w:val="21"/>
        </w:rPr>
        <w:t xml:space="preserve">•  Recuperación de Información (Information Retrieval) y Coincidencia Difusa: </w:t>
      </w:r>
      <w:r>
        <w:rPr>
          <w:rFonts w:ascii="Calibri" w:hAnsi="Calibri"/>
          <w:color w:val="1E293B"/>
          <w:sz w:val="21"/>
          <w:szCs w:val="21"/>
        </w:rPr>
        <w:t xml:space="preserve">Procesa consultas en lenguaje natural combinando intersección de conjuntos de tokens (65% del peso) con el algoritmo Gestalt de Ratcliff/Obershelp mediante difflib.SequenceMatcher (35% del peso).</w:t>
      </w:r>
    </w:p>
    <w:p>
      <w:pPr>
        <w:jc w:val="both"/>
        <w:spacing w:before="40" w:after="90"/>
        <w:ind w:left="360" w:hanging="180"/>
      </w:pPr>
      <w:r>
        <w:rPr>
          <w:rFonts w:ascii="Calibri" w:hAnsi="Calibri"/>
          <w:b/>
          <w:color w:val="0A2540"/>
          <w:sz w:val="21"/>
          <w:szCs w:val="21"/>
        </w:rPr>
        <w:t xml:space="preserve">•  Concurrencia y Programación Asíncrona en Interfaces Gráficas: </w:t>
      </w:r>
      <w:r>
        <w:rPr>
          <w:rFonts w:ascii="Calibri" w:hAnsi="Calibri"/>
          <w:color w:val="1E293B"/>
          <w:sz w:val="21"/>
          <w:szCs w:val="21"/>
        </w:rPr>
        <w:t xml:space="preserve">Evita el congelamiento del bucle principal de eventos (Main Event Loop Starvation) ejecutando las tareas pesadas de Entrada/Salida (consultas WMI, ping ICMP, peticiones HTTP PostgREST) y de CPU (Stress Test) en hilos demonios (threading.Thread y ThreadPoolExecutor), sincronizando la GUI de forma segura mediante la cola de eventos self.after(0, callback).</w:t>
      </w:r>
    </w:p>
    <w:p>
      <w:pPr>
        <w:jc w:val="both"/>
        <w:spacing w:before="40" w:after="90"/>
        <w:ind w:left="360" w:hanging="180"/>
      </w:pPr>
      <w:r>
        <w:rPr>
          <w:rFonts w:ascii="Calibri" w:hAnsi="Calibri"/>
          <w:b/>
          <w:color w:val="0A2540"/>
          <w:sz w:val="21"/>
          <w:szCs w:val="21"/>
        </w:rPr>
        <w:t xml:space="preserve">•  Computación Gráfica Vectorial 2D y Detección Espacial (AABB Hit-Testing): </w:t>
      </w:r>
      <w:r>
        <w:rPr>
          <w:rFonts w:ascii="Calibri" w:hAnsi="Calibri"/>
          <w:color w:val="1E293B"/>
          <w:sz w:val="21"/>
          <w:szCs w:val="21"/>
        </w:rPr>
        <w:t xml:space="preserve">Renderiza algorítmicamente una placa base ATX sobre tk.Canvas utilizando splines suavizados, trigonometría rotacional para ventiladores axiales y detección de colisiones en tiempo constante O(1) mediante cajas delimitadoras alineadas a los ejes (Axis-Aligned Bounding Boxes).</w:t>
      </w:r>
    </w:p>
    <w:p>
      <w:pPr>
        <w:jc w:val="left"/>
        <w:spacing w:before="240" w:after="100"/>
      </w:pPr>
      <w:r>
        <w:rPr>
          <w:rFonts w:ascii="Calibri" w:hAnsi="Calibri" w:cs="Calibri"/>
          <w:b/>
          <w:color w:val="0A2540"/>
          <w:sz w:val="29"/>
          <w:szCs w:val="29"/>
        </w:rPr>
        <w:t xml:space="preserve">2. ARQUITECTURA DEL SISTEMA Y TOPOLOGÍA DE MÓDULOS</w:t>
      </w:r>
    </w:p>
    <w:p>
      <w:pPr>
        <w:jc w:val="both"/>
        <w:spacing w:before="0" w:after="120"/>
      </w:pPr>
      <w:r>
        <w:rPr>
          <w:rFonts w:ascii="Calibri" w:hAnsi="Calibri" w:cs="Calibri"/>
          <w:color w:val="1E293B"/>
          <w:sz w:val="21"/>
          <w:szCs w:val="21"/>
        </w:rPr>
        <w:t xml:space="preserve">El proyecto se estructura bajo un diseño multicapa limpio (Presentación, Dominio/Inferencia, Infraestructura/Telemetría y Persistencia Cloud). La siguiente tabla detalla todos los módulos que conforman el sistema:</w:t>
      </w:r>
    </w:p>
    <w:tbl>
      <w:tblPr>
        <w:tblW w:w="0" w:type="auto"/>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80" w:type="dxa"/>
          <w:left w:w="120" w:type="dxa"/>
          <w:bottom w:w="80" w:type="dxa"/>
          <w:right w:w="120" w:type="dxa"/>
        </w:tblCellMar>
      </w:tblPr>
      <w:tblGrid>
        <w:gridCol w:w="1900"/>
        <w:gridCol w:w="1800"/>
        <w:gridCol w:w="800"/>
        <w:gridCol w:w="4860"/>
      </w:tblGrid>
      <w:tr>
        <w:tc>
          <w:tcPr>
            <w:tcW w:w="1900" w:type="dxa"/>
            <w:shd w:val="clear" w:color="auto" w:fill="0A2540"/>
          </w:tcPr>
          <w:p>
            <w:pPr>
              <w:jc w:val="left"/>
              <w:spacing w:before="20" w:after="20"/>
            </w:pPr>
            <w:r>
              <w:rPr>
                <w:rFonts w:ascii="Calibri" w:hAnsi="Calibri" w:cs="Calibri"/>
                <w:b/>
                <w:color w:val="FFFFFF"/>
                <w:sz w:val="19"/>
                <w:szCs w:val="19"/>
              </w:rPr>
              <w:t xml:space="preserve">Módulo / Archivo</w:t>
            </w:r>
          </w:p>
        </w:tc>
        <w:tc>
          <w:tcPr>
            <w:tcW w:w="1800" w:type="dxa"/>
            <w:shd w:val="clear" w:color="auto" w:fill="0A2540"/>
          </w:tcPr>
          <w:p>
            <w:pPr>
              <w:jc w:val="left"/>
              <w:spacing w:before="20" w:after="20"/>
            </w:pPr>
            <w:r>
              <w:rPr>
                <w:rFonts w:ascii="Calibri" w:hAnsi="Calibri" w:cs="Calibri"/>
                <w:b/>
                <w:color w:val="FFFFFF"/>
                <w:sz w:val="19"/>
                <w:szCs w:val="19"/>
              </w:rPr>
              <w:t xml:space="preserve">Capa Arquitectónica</w:t>
            </w:r>
          </w:p>
        </w:tc>
        <w:tc>
          <w:tcPr>
            <w:tcW w:w="800" w:type="dxa"/>
            <w:shd w:val="clear" w:color="auto" w:fill="0A2540"/>
          </w:tcPr>
          <w:p>
            <w:pPr>
              <w:jc w:val="left"/>
              <w:spacing w:before="20" w:after="20"/>
            </w:pPr>
            <w:r>
              <w:rPr>
                <w:rFonts w:ascii="Calibri" w:hAnsi="Calibri" w:cs="Calibri"/>
                <w:b/>
                <w:color w:val="FFFFFF"/>
                <w:sz w:val="19"/>
                <w:szCs w:val="19"/>
              </w:rPr>
              <w:t xml:space="preserve">Líneas</w:t>
            </w:r>
          </w:p>
        </w:tc>
        <w:tc>
          <w:tcPr>
            <w:tcW w:w="4860" w:type="dxa"/>
            <w:shd w:val="clear" w:color="auto" w:fill="0A2540"/>
          </w:tcPr>
          <w:p>
            <w:pPr>
              <w:jc w:val="left"/>
              <w:spacing w:before="20" w:after="20"/>
            </w:pPr>
            <w:r>
              <w:rPr>
                <w:rFonts w:ascii="Calibri" w:hAnsi="Calibri" w:cs="Calibri"/>
                <w:b/>
                <w:color w:val="FFFFFF"/>
                <w:sz w:val="19"/>
                <w:szCs w:val="19"/>
              </w:rPr>
              <w:t xml:space="preserve">Función Técnica Principal</w:t>
            </w:r>
          </w:p>
        </w:tc>
      </w:tr>
      <w:tr>
        <w:tc>
          <w:tcPr>
            <w:tcW w:w="1900" w:type="dxa"/>
            <w:shd w:val="clear" w:color="auto" w:fill="FFFFFF"/>
          </w:tcPr>
          <w:p>
            <w:pPr>
              <w:jc w:val="left"/>
              <w:spacing w:before="20" w:after="20"/>
            </w:pPr>
            <w:r>
              <w:rPr>
                <w:rFonts w:ascii="Calibri" w:hAnsi="Calibri" w:cs="Calibri"/>
                <w:b/>
                <w:color w:val="0A2540"/>
                <w:sz w:val="18"/>
                <w:szCs w:val="18"/>
              </w:rPr>
              <w:t xml:space="preserve">main.py</w:t>
            </w:r>
          </w:p>
        </w:tc>
        <w:tc>
          <w:tcPr>
            <w:tcW w:w="1800" w:type="dxa"/>
            <w:shd w:val="clear" w:color="auto" w:fill="FFFFFF"/>
          </w:tcPr>
          <w:p>
            <w:pPr>
              <w:jc w:val="left"/>
              <w:spacing w:before="20" w:after="20"/>
            </w:pPr>
            <w:r>
              <w:rPr>
                <w:rFonts w:ascii="Calibri" w:hAnsi="Calibri" w:cs="Calibri"/>
                <w:color w:val="1E293B"/>
                <w:sz w:val="18"/>
                <w:szCs w:val="18"/>
              </w:rPr>
              <w:t xml:space="preserve">Presentación / Orquestador</w:t>
            </w:r>
          </w:p>
        </w:tc>
        <w:tc>
          <w:tcPr>
            <w:tcW w:w="800" w:type="dxa"/>
            <w:shd w:val="clear" w:color="auto" w:fill="FFFFFF"/>
          </w:tcPr>
          <w:p>
            <w:pPr>
              <w:jc w:val="left"/>
              <w:spacing w:before="20" w:after="20"/>
            </w:pPr>
            <w:r>
              <w:rPr>
                <w:rFonts w:ascii="Calibri" w:hAnsi="Calibri" w:cs="Calibri"/>
                <w:color w:val="1E293B"/>
                <w:sz w:val="18"/>
                <w:szCs w:val="18"/>
              </w:rPr>
              <w:t xml:space="preserve">1,401</w:t>
            </w:r>
          </w:p>
        </w:tc>
        <w:tc>
          <w:tcPr>
            <w:tcW w:w="4860" w:type="dxa"/>
            <w:shd w:val="clear" w:color="auto" w:fill="FFFFFF"/>
          </w:tcPr>
          <w:p>
            <w:pPr>
              <w:jc w:val="left"/>
              <w:spacing w:before="20" w:after="20"/>
            </w:pPr>
            <w:r>
              <w:rPr>
                <w:rFonts w:ascii="Calibri" w:hAnsi="Calibri" w:cs="Calibri"/>
                <w:color w:val="1E293B"/>
                <w:sz w:val="18"/>
                <w:szCs w:val="18"/>
              </w:rPr>
              <w:t xml:space="preserve">Ventana raíz AppIndiServ (960x680 px), gestión de Login/Registro, Dashboard de 5 pestañas, FSM del árbol diagnóstico, exportación TXT/JSON y orquestación de hilos.</w:t>
            </w:r>
          </w:p>
        </w:tc>
      </w:tr>
      <w:tr>
        <w:tc>
          <w:tcPr>
            <w:tcW w:w="1900" w:type="dxa"/>
            <w:shd w:val="clear" w:color="auto" w:fill="F8FAFC"/>
          </w:tcPr>
          <w:p>
            <w:pPr>
              <w:jc w:val="left"/>
              <w:spacing w:before="20" w:after="20"/>
            </w:pPr>
            <w:r>
              <w:rPr>
                <w:rFonts w:ascii="Calibri" w:hAnsi="Calibri" w:cs="Calibri"/>
                <w:b/>
                <w:color w:val="0A2540"/>
                <w:sz w:val="18"/>
                <w:szCs w:val="18"/>
              </w:rPr>
              <w:t xml:space="preserve">core/config.py</w:t>
            </w:r>
          </w:p>
        </w:tc>
        <w:tc>
          <w:tcPr>
            <w:tcW w:w="1800" w:type="dxa"/>
            <w:shd w:val="clear" w:color="auto" w:fill="F8FAFC"/>
          </w:tcPr>
          <w:p>
            <w:pPr>
              <w:jc w:val="left"/>
              <w:spacing w:before="20" w:after="20"/>
            </w:pPr>
            <w:r>
              <w:rPr>
                <w:rFonts w:ascii="Calibri" w:hAnsi="Calibri" w:cs="Calibri"/>
                <w:color w:val="1E293B"/>
                <w:sz w:val="18"/>
                <w:szCs w:val="18"/>
              </w:rPr>
              <w:t xml:space="preserve">Configuración y Seguridad</w:t>
            </w:r>
          </w:p>
        </w:tc>
        <w:tc>
          <w:tcPr>
            <w:tcW w:w="800" w:type="dxa"/>
            <w:shd w:val="clear" w:color="auto" w:fill="F8FAFC"/>
          </w:tcPr>
          <w:p>
            <w:pPr>
              <w:jc w:val="left"/>
              <w:spacing w:before="20" w:after="20"/>
            </w:pPr>
            <w:r>
              <w:rPr>
                <w:rFonts w:ascii="Calibri" w:hAnsi="Calibri" w:cs="Calibri"/>
                <w:color w:val="1E293B"/>
                <w:sz w:val="18"/>
                <w:szCs w:val="18"/>
              </w:rPr>
              <w:t xml:space="preserve">58</w:t>
            </w:r>
          </w:p>
        </w:tc>
        <w:tc>
          <w:tcPr>
            <w:tcW w:w="4860" w:type="dxa"/>
            <w:shd w:val="clear" w:color="auto" w:fill="F8FAFC"/>
          </w:tcPr>
          <w:p>
            <w:pPr>
              <w:jc w:val="left"/>
              <w:spacing w:before="20" w:after="20"/>
            </w:pPr>
            <w:r>
              <w:rPr>
                <w:rFonts w:ascii="Calibri" w:hAnsi="Calibri" w:cs="Calibri"/>
                <w:color w:val="1E293B"/>
                <w:sz w:val="18"/>
                <w:szCs w:val="18"/>
              </w:rPr>
              <w:t xml:space="preserve">Carga resiliente del archivo .env (python-dotenv con fallback a parser léxico manual) y guardia anti-localhost para proteger WEB_VIEWER_URL.</w:t>
            </w:r>
          </w:p>
        </w:tc>
      </w:tr>
      <w:tr>
        <w:tc>
          <w:tcPr>
            <w:tcW w:w="1900" w:type="dxa"/>
            <w:shd w:val="clear" w:color="auto" w:fill="FFFFFF"/>
          </w:tcPr>
          <w:p>
            <w:pPr>
              <w:jc w:val="left"/>
              <w:spacing w:before="20" w:after="20"/>
            </w:pPr>
            <w:r>
              <w:rPr>
                <w:rFonts w:ascii="Calibri" w:hAnsi="Calibri" w:cs="Calibri"/>
                <w:b/>
                <w:color w:val="0A2540"/>
                <w:sz w:val="18"/>
                <w:szCs w:val="18"/>
              </w:rPr>
              <w:t xml:space="preserve">core/hardware.py</w:t>
            </w:r>
          </w:p>
        </w:tc>
        <w:tc>
          <w:tcPr>
            <w:tcW w:w="1800" w:type="dxa"/>
            <w:shd w:val="clear" w:color="auto" w:fill="FFFFFF"/>
          </w:tcPr>
          <w:p>
            <w:pPr>
              <w:jc w:val="left"/>
              <w:spacing w:before="20" w:after="20"/>
            </w:pPr>
            <w:r>
              <w:rPr>
                <w:rFonts w:ascii="Calibri" w:hAnsi="Calibri" w:cs="Calibri"/>
                <w:color w:val="1E293B"/>
                <w:sz w:val="18"/>
                <w:szCs w:val="18"/>
              </w:rPr>
              <w:t xml:space="preserve">Infraestructura / Telemetría</w:t>
            </w:r>
          </w:p>
        </w:tc>
        <w:tc>
          <w:tcPr>
            <w:tcW w:w="800" w:type="dxa"/>
            <w:shd w:val="clear" w:color="auto" w:fill="FFFFFF"/>
          </w:tcPr>
          <w:p>
            <w:pPr>
              <w:jc w:val="left"/>
              <w:spacing w:before="20" w:after="20"/>
            </w:pPr>
            <w:r>
              <w:rPr>
                <w:rFonts w:ascii="Calibri" w:hAnsi="Calibri" w:cs="Calibri"/>
                <w:color w:val="1E293B"/>
                <w:sz w:val="18"/>
                <w:szCs w:val="18"/>
              </w:rPr>
              <w:t xml:space="preserve">536</w:t>
            </w:r>
          </w:p>
        </w:tc>
        <w:tc>
          <w:tcPr>
            <w:tcW w:w="4860" w:type="dxa"/>
            <w:shd w:val="clear" w:color="auto" w:fill="FFFFFF"/>
          </w:tcPr>
          <w:p>
            <w:pPr>
              <w:jc w:val="left"/>
              <w:spacing w:before="20" w:after="20"/>
            </w:pPr>
            <w:r>
              <w:rPr>
                <w:rFonts w:ascii="Calibri" w:hAnsi="Calibri" w:cs="Calibri"/>
                <w:color w:val="1E293B"/>
                <w:sz w:val="18"/>
                <w:szCs w:val="18"/>
              </w:rPr>
              <w:t xml:space="preserve">Perfilador híbrido (WMI/CIM vía PowerShell + psutil + ping ICMP), algoritmo matemático de Health Score (0-100) y constructor de payload JSONB para Supabase.</w:t>
            </w:r>
          </w:p>
        </w:tc>
      </w:tr>
      <w:tr>
        <w:tc>
          <w:tcPr>
            <w:tcW w:w="1900" w:type="dxa"/>
            <w:shd w:val="clear" w:color="auto" w:fill="F8FAFC"/>
          </w:tcPr>
          <w:p>
            <w:pPr>
              <w:jc w:val="left"/>
              <w:spacing w:before="20" w:after="20"/>
            </w:pPr>
            <w:r>
              <w:rPr>
                <w:rFonts w:ascii="Calibri" w:hAnsi="Calibri" w:cs="Calibri"/>
                <w:b/>
                <w:color w:val="0A2540"/>
                <w:sz w:val="18"/>
                <w:szCs w:val="18"/>
              </w:rPr>
              <w:t xml:space="preserve">core/diagnostico.py</w:t>
            </w:r>
          </w:p>
        </w:tc>
        <w:tc>
          <w:tcPr>
            <w:tcW w:w="1800" w:type="dxa"/>
            <w:shd w:val="clear" w:color="auto" w:fill="F8FAFC"/>
          </w:tcPr>
          <w:p>
            <w:pPr>
              <w:jc w:val="left"/>
              <w:spacing w:before="20" w:after="20"/>
            </w:pPr>
            <w:r>
              <w:rPr>
                <w:rFonts w:ascii="Calibri" w:hAnsi="Calibri" w:cs="Calibri"/>
                <w:color w:val="1E293B"/>
                <w:sz w:val="18"/>
                <w:szCs w:val="18"/>
              </w:rPr>
              <w:t xml:space="preserve">Dominio / Inteligencia</w:t>
            </w:r>
          </w:p>
        </w:tc>
        <w:tc>
          <w:tcPr>
            <w:tcW w:w="800" w:type="dxa"/>
            <w:shd w:val="clear" w:color="auto" w:fill="F8FAFC"/>
          </w:tcPr>
          <w:p>
            <w:pPr>
              <w:jc w:val="left"/>
              <w:spacing w:before="20" w:after="20"/>
            </w:pPr>
            <w:r>
              <w:rPr>
                <w:rFonts w:ascii="Calibri" w:hAnsi="Calibri" w:cs="Calibri"/>
                <w:color w:val="1E293B"/>
                <w:sz w:val="18"/>
                <w:szCs w:val="18"/>
              </w:rPr>
              <w:t xml:space="preserve">494</w:t>
            </w:r>
          </w:p>
        </w:tc>
        <w:tc>
          <w:tcPr>
            <w:tcW w:w="4860" w:type="dxa"/>
            <w:shd w:val="clear" w:color="auto" w:fill="F8FAFC"/>
          </w:tcPr>
          <w:p>
            <w:pPr>
              <w:jc w:val="left"/>
              <w:spacing w:before="20" w:after="20"/>
            </w:pPr>
            <w:r>
              <w:rPr>
                <w:rFonts w:ascii="Calibri" w:hAnsi="Calibri" w:cs="Calibri"/>
                <w:color w:val="1E293B"/>
                <w:sz w:val="18"/>
                <w:szCs w:val="18"/>
              </w:rPr>
              <w:t xml:space="preserve">Alberga MotorDiagnostico (booleano), MatrizSintomas (correlación multivariable), BuscadorAsistido (fuzzy NLP) y MicroStressTest (benchmark multihilo 10 s).</w:t>
            </w:r>
          </w:p>
        </w:tc>
      </w:tr>
      <w:tr>
        <w:tc>
          <w:tcPr>
            <w:tcW w:w="1900" w:type="dxa"/>
            <w:shd w:val="clear" w:color="auto" w:fill="FFFFFF"/>
          </w:tcPr>
          <w:p>
            <w:pPr>
              <w:jc w:val="left"/>
              <w:spacing w:before="20" w:after="20"/>
            </w:pPr>
            <w:r>
              <w:rPr>
                <w:rFonts w:ascii="Calibri" w:hAnsi="Calibri" w:cs="Calibri"/>
                <w:b/>
                <w:color w:val="0A2540"/>
                <w:sz w:val="18"/>
                <w:szCs w:val="18"/>
              </w:rPr>
              <w:t xml:space="preserve">core/hardware_map.py</w:t>
            </w:r>
          </w:p>
        </w:tc>
        <w:tc>
          <w:tcPr>
            <w:tcW w:w="1800" w:type="dxa"/>
            <w:shd w:val="clear" w:color="auto" w:fill="FFFFFF"/>
          </w:tcPr>
          <w:p>
            <w:pPr>
              <w:jc w:val="left"/>
              <w:spacing w:before="20" w:after="20"/>
            </w:pPr>
            <w:r>
              <w:rPr>
                <w:rFonts w:ascii="Calibri" w:hAnsi="Calibri" w:cs="Calibri"/>
                <w:color w:val="1E293B"/>
                <w:sz w:val="18"/>
                <w:szCs w:val="18"/>
              </w:rPr>
              <w:t xml:space="preserve">Gráficos Vectoriales 2D</w:t>
            </w:r>
          </w:p>
        </w:tc>
        <w:tc>
          <w:tcPr>
            <w:tcW w:w="800" w:type="dxa"/>
            <w:shd w:val="clear" w:color="auto" w:fill="FFFFFF"/>
          </w:tcPr>
          <w:p>
            <w:pPr>
              <w:jc w:val="left"/>
              <w:spacing w:before="20" w:after="20"/>
            </w:pPr>
            <w:r>
              <w:rPr>
                <w:rFonts w:ascii="Calibri" w:hAnsi="Calibri" w:cs="Calibri"/>
                <w:color w:val="1E293B"/>
                <w:sz w:val="18"/>
                <w:szCs w:val="18"/>
              </w:rPr>
              <w:t xml:space="preserve">1,040</w:t>
            </w:r>
          </w:p>
        </w:tc>
        <w:tc>
          <w:tcPr>
            <w:tcW w:w="4860" w:type="dxa"/>
            <w:shd w:val="clear" w:color="auto" w:fill="FFFFFF"/>
          </w:tcPr>
          <w:p>
            <w:pPr>
              <w:jc w:val="left"/>
              <w:spacing w:before="20" w:after="20"/>
            </w:pPr>
            <w:r>
              <w:rPr>
                <w:rFonts w:ascii="Calibri" w:hAnsi="Calibri" w:cs="Calibri"/>
                <w:color w:val="1E293B"/>
                <w:sz w:val="18"/>
                <w:szCs w:val="18"/>
              </w:rPr>
              <w:t xml:space="preserve">Clase MotherboardMapView sobre tk.Canvas (860x490 px): dibuja PCB, CPU, 4 DIMMs, M.2 NVMe, GPU PCIe, PSU, I/O, hit-testing y tarjetas emergentes (tooltips).</w:t>
            </w:r>
          </w:p>
        </w:tc>
      </w:tr>
      <w:tr>
        <w:tc>
          <w:tcPr>
            <w:tcW w:w="1900" w:type="dxa"/>
            <w:shd w:val="clear" w:color="auto" w:fill="F8FAFC"/>
          </w:tcPr>
          <w:p>
            <w:pPr>
              <w:jc w:val="left"/>
              <w:spacing w:before="20" w:after="20"/>
            </w:pPr>
            <w:r>
              <w:rPr>
                <w:rFonts w:ascii="Calibri" w:hAnsi="Calibri" w:cs="Calibri"/>
                <w:b/>
                <w:color w:val="0A2540"/>
                <w:sz w:val="18"/>
                <w:szCs w:val="18"/>
              </w:rPr>
              <w:t xml:space="preserve">core/gemelo_digital.py</w:t>
            </w:r>
          </w:p>
        </w:tc>
        <w:tc>
          <w:tcPr>
            <w:tcW w:w="1800" w:type="dxa"/>
            <w:shd w:val="clear" w:color="auto" w:fill="F8FAFC"/>
          </w:tcPr>
          <w:p>
            <w:pPr>
              <w:jc w:val="left"/>
              <w:spacing w:before="20" w:after="20"/>
            </w:pPr>
            <w:r>
              <w:rPr>
                <w:rFonts w:ascii="Calibri" w:hAnsi="Calibri" w:cs="Calibri"/>
                <w:color w:val="1E293B"/>
                <w:sz w:val="18"/>
                <w:szCs w:val="18"/>
              </w:rPr>
              <w:t xml:space="preserve">Integración Web 3D</w:t>
            </w:r>
          </w:p>
        </w:tc>
        <w:tc>
          <w:tcPr>
            <w:tcW w:w="800" w:type="dxa"/>
            <w:shd w:val="clear" w:color="auto" w:fill="F8FAFC"/>
          </w:tcPr>
          <w:p>
            <w:pPr>
              <w:jc w:val="left"/>
              <w:spacing w:before="20" w:after="20"/>
            </w:pPr>
            <w:r>
              <w:rPr>
                <w:rFonts w:ascii="Calibri" w:hAnsi="Calibri" w:cs="Calibri"/>
                <w:color w:val="1E293B"/>
                <w:sz w:val="18"/>
                <w:szCs w:val="18"/>
              </w:rPr>
              <w:t xml:space="preserve">79</w:t>
            </w:r>
          </w:p>
        </w:tc>
        <w:tc>
          <w:tcPr>
            <w:tcW w:w="4860" w:type="dxa"/>
            <w:shd w:val="clear" w:color="auto" w:fill="F8FAFC"/>
          </w:tcPr>
          <w:p>
            <w:pPr>
              <w:jc w:val="left"/>
              <w:spacing w:before="20" w:after="20"/>
            </w:pPr>
            <w:r>
              <w:rPr>
                <w:rFonts w:ascii="Calibri" w:hAnsi="Calibri" w:cs="Calibri"/>
                <w:color w:val="1E293B"/>
                <w:sz w:val="18"/>
                <w:szCs w:val="18"/>
              </w:rPr>
              <w:t xml:space="preserve">Construye el enlace público hacia Vercel con codificación URI segura, lanza el navegador predeterminado y copia el URL al portapapeles (Tkinter + pyperclip).</w:t>
            </w:r>
          </w:p>
        </w:tc>
      </w:tr>
      <w:tr>
        <w:tc>
          <w:tcPr>
            <w:tcW w:w="1900" w:type="dxa"/>
            <w:shd w:val="clear" w:color="auto" w:fill="FFFFFF"/>
          </w:tcPr>
          <w:p>
            <w:pPr>
              <w:jc w:val="left"/>
              <w:spacing w:before="20" w:after="20"/>
            </w:pPr>
            <w:r>
              <w:rPr>
                <w:rFonts w:ascii="Calibri" w:hAnsi="Calibri" w:cs="Calibri"/>
                <w:b/>
                <w:color w:val="0A2540"/>
                <w:sz w:val="18"/>
                <w:szCs w:val="18"/>
              </w:rPr>
              <w:t xml:space="preserve">core/cloud_gateway.py</w:t>
            </w:r>
          </w:p>
        </w:tc>
        <w:tc>
          <w:tcPr>
            <w:tcW w:w="1800" w:type="dxa"/>
            <w:shd w:val="clear" w:color="auto" w:fill="FFFFFF"/>
          </w:tcPr>
          <w:p>
            <w:pPr>
              <w:jc w:val="left"/>
              <w:spacing w:before="20" w:after="20"/>
            </w:pPr>
            <w:r>
              <w:rPr>
                <w:rFonts w:ascii="Calibri" w:hAnsi="Calibri" w:cs="Calibri"/>
                <w:color w:val="1E293B"/>
                <w:sz w:val="18"/>
                <w:szCs w:val="18"/>
              </w:rPr>
              <w:t xml:space="preserve">Persistencia Cloud (DAO)</w:t>
            </w:r>
          </w:p>
        </w:tc>
        <w:tc>
          <w:tcPr>
            <w:tcW w:w="800" w:type="dxa"/>
            <w:shd w:val="clear" w:color="auto" w:fill="FFFFFF"/>
          </w:tcPr>
          <w:p>
            <w:pPr>
              <w:jc w:val="left"/>
              <w:spacing w:before="20" w:after="20"/>
            </w:pPr>
            <w:r>
              <w:rPr>
                <w:rFonts w:ascii="Calibri" w:hAnsi="Calibri" w:cs="Calibri"/>
                <w:color w:val="1E293B"/>
                <w:sz w:val="18"/>
                <w:szCs w:val="18"/>
              </w:rPr>
              <w:t xml:space="preserve">199</w:t>
            </w:r>
          </w:p>
        </w:tc>
        <w:tc>
          <w:tcPr>
            <w:tcW w:w="4860" w:type="dxa"/>
            <w:shd w:val="clear" w:color="auto" w:fill="FFFFFF"/>
          </w:tcPr>
          <w:p>
            <w:pPr>
              <w:jc w:val="left"/>
              <w:spacing w:before="20" w:after="20"/>
            </w:pPr>
            <w:r>
              <w:rPr>
                <w:rFonts w:ascii="Calibri" w:hAnsi="Calibri" w:cs="Calibri"/>
                <w:color w:val="1E293B"/>
                <w:sz w:val="18"/>
                <w:szCs w:val="18"/>
              </w:rPr>
              <w:t xml:space="preserve">Cliente Supabase (supabase-py v2 / PostgREST): gestiona padron_oficial, usuarios_app, reportes_diagnostico y sugerencias_locales con UPSERT idempotente.</w:t>
            </w:r>
          </w:p>
        </w:tc>
      </w:tr>
      <w:tr>
        <w:tc>
          <w:tcPr>
            <w:tcW w:w="1900" w:type="dxa"/>
            <w:shd w:val="clear" w:color="auto" w:fill="F8FAFC"/>
          </w:tcPr>
          <w:p>
            <w:pPr>
              <w:jc w:val="left"/>
              <w:spacing w:before="20" w:after="20"/>
            </w:pPr>
            <w:r>
              <w:rPr>
                <w:rFonts w:ascii="Calibri" w:hAnsi="Calibri" w:cs="Calibri"/>
                <w:b/>
                <w:color w:val="0A2540"/>
                <w:sz w:val="18"/>
                <w:szCs w:val="18"/>
              </w:rPr>
              <w:t xml:space="preserve">test_supabase_insert.py</w:t>
            </w:r>
          </w:p>
        </w:tc>
        <w:tc>
          <w:tcPr>
            <w:tcW w:w="1800" w:type="dxa"/>
            <w:shd w:val="clear" w:color="auto" w:fill="F8FAFC"/>
          </w:tcPr>
          <w:p>
            <w:pPr>
              <w:jc w:val="left"/>
              <w:spacing w:before="20" w:after="20"/>
            </w:pPr>
            <w:r>
              <w:rPr>
                <w:rFonts w:ascii="Calibri" w:hAnsi="Calibri" w:cs="Calibri"/>
                <w:color w:val="1E293B"/>
                <w:sz w:val="18"/>
                <w:szCs w:val="18"/>
              </w:rPr>
              <w:t xml:space="preserve">QA / Integración</w:t>
            </w:r>
          </w:p>
        </w:tc>
        <w:tc>
          <w:tcPr>
            <w:tcW w:w="800" w:type="dxa"/>
            <w:shd w:val="clear" w:color="auto" w:fill="F8FAFC"/>
          </w:tcPr>
          <w:p>
            <w:pPr>
              <w:jc w:val="left"/>
              <w:spacing w:before="20" w:after="20"/>
            </w:pPr>
            <w:r>
              <w:rPr>
                <w:rFonts w:ascii="Calibri" w:hAnsi="Calibri" w:cs="Calibri"/>
                <w:color w:val="1E293B"/>
                <w:sz w:val="18"/>
                <w:szCs w:val="18"/>
              </w:rPr>
              <w:t xml:space="preserve">189</w:t>
            </w:r>
          </w:p>
        </w:tc>
        <w:tc>
          <w:tcPr>
            <w:tcW w:w="4860" w:type="dxa"/>
            <w:shd w:val="clear" w:color="auto" w:fill="F8FAFC"/>
          </w:tcPr>
          <w:p>
            <w:pPr>
              <w:jc w:val="left"/>
              <w:spacing w:before="20" w:after="20"/>
            </w:pPr>
            <w:r>
              <w:rPr>
                <w:rFonts w:ascii="Calibri" w:hAnsi="Calibri" w:cs="Calibri"/>
                <w:color w:val="1E293B"/>
                <w:sz w:val="18"/>
                <w:szCs w:val="18"/>
              </w:rPr>
              <w:t xml:space="preserve">Script autónomo de pruebas para verificar la conectividad e inserción en las tablas reportes_diagnostico y sugerencias_locales de Supabase.</w:t>
            </w:r>
          </w:p>
        </w:tc>
      </w:tr>
    </w:tbl>
    <w:p>
      <w:pPr>
        <w:jc w:val="both"/>
        <w:spacing w:before="0" w:after="80"/>
      </w:pPr>
    </w:p>
    <w:p>
      <w:r>
        <w:br w:type="page"/>
      </w:r>
    </w:p>
    <w:p>
      <w:pPr>
        <w:jc w:val="left"/>
        <w:spacing w:before="240" w:after="100"/>
      </w:pPr>
      <w:r>
        <w:rPr>
          <w:rFonts w:ascii="Calibri" w:hAnsi="Calibri" w:cs="Calibri"/>
          <w:b/>
          <w:color w:val="0A2540"/>
          <w:sz w:val="29"/>
          <w:szCs w:val="29"/>
        </w:rPr>
        <w:t xml:space="preserve">3. ¿QUÉ PUEDE HACER EL EJECUTABLE EN SÍ? (MANUAL FUNCIONAL)</w:t>
      </w:r>
    </w:p>
    <w:p>
      <w:pPr>
        <w:jc w:val="both"/>
        <w:spacing w:before="0" w:after="120"/>
      </w:pPr>
      <w:r>
        <w:rPr>
          <w:rFonts w:ascii="Calibri" w:hAnsi="Calibri" w:cs="Calibri"/>
          <w:color w:val="1E293B"/>
          <w:sz w:val="21"/>
          <w:szCs w:val="21"/>
        </w:rPr>
        <w:t xml:space="preserve">Cuando el ejecutable se inicia en una máquina Windows, proporciona nueve capacidades operativas integradas para el ingeniero de soporte o auditor de sistemas:</w:t>
      </w:r>
    </w:p>
    <w:p>
      <w:pPr>
        <w:jc w:val="left"/>
        <w:spacing w:before="180" w:after="80"/>
      </w:pPr>
      <w:r>
        <w:rPr>
          <w:rFonts w:ascii="Calibri" w:hAnsi="Calibri" w:cs="Calibri"/>
          <w:b/>
          <w:color w:val="1D4ED8"/>
          <w:sz w:val="24"/>
          <w:szCs w:val="24"/>
        </w:rPr>
        <w:t xml:space="preserve">3.1. Autenticación Corporativa y Registro Validado por Padrón Oficial</w:t>
      </w:r>
    </w:p>
    <w:p>
      <w:pPr>
        <w:jc w:val="both"/>
        <w:spacing w:before="0" w:after="120"/>
      </w:pPr>
      <w:r>
        <w:rPr>
          <w:rFonts w:ascii="Calibri" w:hAnsi="Calibri" w:cs="Calibri"/>
          <w:color w:val="1E293B"/>
          <w:sz w:val="21"/>
          <w:szCs w:val="21"/>
        </w:rPr>
        <w:t xml:space="preserve">La pantalla inicial ('Portal de Seguridad') exige DNI, Correo Electrónico y Contraseña, validándolos contra la tabla 'usuarios_app' en Supabase. Si el operador solicita 'Crear Nueva Cuenta', el ejecutable implementa un control de seguridad de doble barrera: primero consulta la tabla 'padron_oficial' en Supabase para verificar si el DNI pertenece a un miembro autorizado de la institución; si no figura en el padrón, deniega el registro. En segundo lugar, verifica que el DNI no posea ya una cuenta previa antes de insertar el nuevo perfil en la nube.</w:t>
      </w:r>
    </w:p>
    <w:p>
      <w:pPr>
        <w:jc w:val="left"/>
        <w:spacing w:before="180" w:after="80"/>
      </w:pPr>
      <w:r>
        <w:rPr>
          <w:rFonts w:ascii="Calibri" w:hAnsi="Calibri" w:cs="Calibri"/>
          <w:b/>
          <w:color w:val="1D4ED8"/>
          <w:sz w:val="24"/>
          <w:szCs w:val="24"/>
        </w:rPr>
        <w:t xml:space="preserve">3.2. Escaneo Asíncrono de Hardware con Splash Screen</w:t>
      </w:r>
    </w:p>
    <w:p>
      <w:pPr>
        <w:jc w:val="both"/>
        <w:spacing w:before="0" w:after="120"/>
      </w:pPr>
      <w:r>
        <w:rPr>
          <w:rFonts w:ascii="Calibri" w:hAnsi="Calibri" w:cs="Calibri"/>
          <w:color w:val="1E293B"/>
          <w:sz w:val="21"/>
          <w:szCs w:val="21"/>
        </w:rPr>
        <w:t xml:space="preserve">Inmediatamente tras iniciar sesión, la aplicación muestra un indicador visual animado ('Escaneando Hardware del Equipo…') con una barra de progreso indeterminada mientras un hilo secundario ejecuta la radiografía completa de la PC sin bloquear la interfaz gráfica:</w:t>
      </w:r>
    </w:p>
    <w:p>
      <w:pPr>
        <w:jc w:val="both"/>
        <w:spacing w:before="40" w:after="90"/>
        <w:ind w:left="360" w:hanging="180"/>
      </w:pPr>
      <w:r>
        <w:rPr>
          <w:rFonts w:ascii="Calibri" w:hAnsi="Calibri"/>
          <w:b/>
          <w:color w:val="0A2540"/>
          <w:sz w:val="21"/>
          <w:szCs w:val="21"/>
        </w:rPr>
        <w:t xml:space="preserve">•  Placa Base y BIOS: </w:t>
      </w:r>
      <w:r>
        <w:rPr>
          <w:rFonts w:ascii="Calibri" w:hAnsi="Calibri"/>
          <w:color w:val="1E293B"/>
          <w:sz w:val="21"/>
          <w:szCs w:val="21"/>
        </w:rPr>
        <w:t xml:space="preserve">Fabricante, modelo exacto de Motherboard, fabricante de BIOS, versión SMBIOS y fecha de publicación decodificada.</w:t>
      </w:r>
    </w:p>
    <w:p>
      <w:pPr>
        <w:jc w:val="both"/>
        <w:spacing w:before="40" w:after="90"/>
        <w:ind w:left="360" w:hanging="180"/>
      </w:pPr>
      <w:r>
        <w:rPr>
          <w:rFonts w:ascii="Calibri" w:hAnsi="Calibri"/>
          <w:b/>
          <w:color w:val="0A2540"/>
          <w:sz w:val="21"/>
          <w:szCs w:val="21"/>
        </w:rPr>
        <w:t xml:space="preserve">•  Procesador (CPU): </w:t>
      </w:r>
      <w:r>
        <w:rPr>
          <w:rFonts w:ascii="Calibri" w:hAnsi="Calibri"/>
          <w:color w:val="1E293B"/>
          <w:sz w:val="21"/>
          <w:szCs w:val="21"/>
        </w:rPr>
        <w:t xml:space="preserve">Nombre comercial completo, conteo de núcleos físicos e hilos lógicos, frecuencia base y actual en GHz, y medición porcentual de carga individual por cada hilo lógico.</w:t>
      </w:r>
    </w:p>
    <w:p>
      <w:pPr>
        <w:jc w:val="both"/>
        <w:spacing w:before="40" w:after="90"/>
        <w:ind w:left="360" w:hanging="180"/>
      </w:pPr>
      <w:r>
        <w:rPr>
          <w:rFonts w:ascii="Calibri" w:hAnsi="Calibri"/>
          <w:b/>
          <w:color w:val="0A2540"/>
          <w:sz w:val="21"/>
          <w:szCs w:val="21"/>
        </w:rPr>
        <w:t xml:space="preserve">•  Memoria RAM Física: </w:t>
      </w:r>
      <w:r>
        <w:rPr>
          <w:rFonts w:ascii="Calibri" w:hAnsi="Calibri"/>
          <w:color w:val="1E293B"/>
          <w:sz w:val="21"/>
          <w:szCs w:val="21"/>
        </w:rPr>
        <w:t xml:space="preserve">Memoria total y libre en MB, porcentaje de uso, tecnología (DDR3, DDR4, DDR5), velocidad en MHz, cantidad de ranuras ocupadas y desglose módulo por módulo (ranura física, banco y capacidad en GB).</w:t>
      </w:r>
    </w:p>
    <w:p>
      <w:pPr>
        <w:jc w:val="both"/>
        <w:spacing w:before="40" w:after="90"/>
        <w:ind w:left="360" w:hanging="180"/>
      </w:pPr>
      <w:r>
        <w:rPr>
          <w:rFonts w:ascii="Calibri" w:hAnsi="Calibri"/>
          <w:b/>
          <w:color w:val="0A2540"/>
          <w:sz w:val="21"/>
          <w:szCs w:val="21"/>
        </w:rPr>
        <w:t xml:space="preserve">•  Adaptadores Gráficos (GPU): </w:t>
      </w:r>
      <w:r>
        <w:rPr>
          <w:rFonts w:ascii="Calibri" w:hAnsi="Calibri"/>
          <w:color w:val="1E293B"/>
          <w:sz w:val="21"/>
          <w:szCs w:val="21"/>
        </w:rPr>
        <w:t xml:space="preserve">Detección de todas las GPUs integradas y dedicadas, procesador de video, VRAM exacta en MB (con corrección de desbordamiento de 32 bits) y versión del driver.</w:t>
      </w:r>
    </w:p>
    <w:p>
      <w:pPr>
        <w:jc w:val="both"/>
        <w:spacing w:before="40" w:after="90"/>
        <w:ind w:left="360" w:hanging="180"/>
      </w:pPr>
      <w:r>
        <w:rPr>
          <w:rFonts w:ascii="Calibri" w:hAnsi="Calibri"/>
          <w:b/>
          <w:color w:val="0A2540"/>
          <w:sz w:val="21"/>
          <w:szCs w:val="21"/>
        </w:rPr>
        <w:t xml:space="preserve">•  Almacenamiento Físico y Lógico: </w:t>
      </w:r>
      <w:r>
        <w:rPr>
          <w:rFonts w:ascii="Calibri" w:hAnsi="Calibri"/>
          <w:color w:val="1E293B"/>
          <w:sz w:val="21"/>
          <w:szCs w:val="21"/>
        </w:rPr>
        <w:t xml:space="preserve">Listado de unidades físicas clasificadas por tecnología (NVMe SSD, SATA SSD, HDD, Externo USB) y auditoría de particiones lógicas (C:\, D:\) con alerta automática de saturación cuando superan el 90%.</w:t>
      </w:r>
    </w:p>
    <w:p>
      <w:pPr>
        <w:jc w:val="both"/>
        <w:spacing w:before="40" w:after="90"/>
        <w:ind w:left="360" w:hanging="180"/>
      </w:pPr>
      <w:r>
        <w:rPr>
          <w:rFonts w:ascii="Calibri" w:hAnsi="Calibri"/>
          <w:b/>
          <w:color w:val="0A2540"/>
          <w:sz w:val="21"/>
          <w:szCs w:val="21"/>
        </w:rPr>
        <w:t xml:space="preserve">•  Conectividad de Red y Sistema Operativo: </w:t>
      </w:r>
      <w:r>
        <w:rPr>
          <w:rFonts w:ascii="Calibri" w:hAnsi="Calibri"/>
          <w:color w:val="1E293B"/>
          <w:sz w:val="21"/>
          <w:szCs w:val="21"/>
        </w:rPr>
        <w:t xml:space="preserve">Edición y compilación (Build) de Windows, tiempo activo continuo (Uptime), adaptador de red activo, dirección IPv4 local y medición de latencia en milisegundos mediante ping ICMP a 8.8.8.8.</w:t>
      </w:r>
    </w:p>
    <w:p>
      <w:pPr>
        <w:jc w:val="left"/>
        <w:spacing w:before="180" w:after="80"/>
      </w:pPr>
      <w:r>
        <w:rPr>
          <w:rFonts w:ascii="Calibri" w:hAnsi="Calibri" w:cs="Calibri"/>
          <w:b/>
          <w:color w:val="1D4ED8"/>
          <w:sz w:val="24"/>
          <w:szCs w:val="24"/>
        </w:rPr>
        <w:t xml:space="preserve">3.3. Consola Central de Operaciones (Dashboard de 5 Pestañas y 6 Herramientas)</w:t>
      </w:r>
    </w:p>
    <w:p>
      <w:pPr>
        <w:jc w:val="both"/>
        <w:spacing w:before="0" w:after="120"/>
      </w:pPr>
      <w:r>
        <w:rPr>
          <w:rFonts w:ascii="Calibri" w:hAnsi="Calibri" w:cs="Calibri"/>
          <w:color w:val="1E293B"/>
          <w:sz w:val="21"/>
          <w:szCs w:val="21"/>
        </w:rPr>
        <w:t xml:space="preserve">El Dashboard organiza la telemetría en 5 pestañas interactivas (General, CPU / RAM, Gráficos, Discos, Red) con gráficos de barras ASCII por núcleo y por partición, y expone 6 módulos de acción:</w:t>
      </w:r>
    </w:p>
    <w:tbl>
      <w:tblPr>
        <w:tblW w:w="0" w:type="auto"/>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80" w:type="dxa"/>
          <w:left w:w="120" w:type="dxa"/>
          <w:bottom w:w="80" w:type="dxa"/>
          <w:right w:w="120" w:type="dxa"/>
        </w:tblCellMar>
      </w:tblPr>
      <w:tblGrid>
        <w:gridCol w:w="2400"/>
        <w:gridCol w:w="6960"/>
      </w:tblGrid>
      <w:tr>
        <w:tc>
          <w:tcPr>
            <w:tcW w:w="2400" w:type="dxa"/>
            <w:shd w:val="clear" w:color="auto" w:fill="0A2540"/>
          </w:tcPr>
          <w:p>
            <w:pPr>
              <w:jc w:val="left"/>
              <w:spacing w:before="20" w:after="20"/>
            </w:pPr>
            <w:r>
              <w:rPr>
                <w:rFonts w:ascii="Calibri" w:hAnsi="Calibri" w:cs="Calibri"/>
                <w:b/>
                <w:color w:val="FFFFFF"/>
                <w:sz w:val="19"/>
                <w:szCs w:val="19"/>
              </w:rPr>
              <w:t xml:space="preserve">Módulo del Dashboard</w:t>
            </w:r>
          </w:p>
        </w:tc>
        <w:tc>
          <w:tcPr>
            <w:tcW w:w="6960" w:type="dxa"/>
            <w:shd w:val="clear" w:color="auto" w:fill="0A2540"/>
          </w:tcPr>
          <w:p>
            <w:pPr>
              <w:jc w:val="left"/>
              <w:spacing w:before="20" w:after="20"/>
            </w:pPr>
            <w:r>
              <w:rPr>
                <w:rFonts w:ascii="Calibri" w:hAnsi="Calibri" w:cs="Calibri"/>
                <w:b/>
                <w:color w:val="FFFFFF"/>
                <w:sz w:val="19"/>
                <w:szCs w:val="19"/>
              </w:rPr>
              <w:t xml:space="preserve">Descripción de lo que realiza el Ejecutable</w:t>
            </w:r>
          </w:p>
        </w:tc>
      </w:tr>
      <w:tr>
        <w:tc>
          <w:tcPr>
            <w:tcW w:w="2400" w:type="dxa"/>
            <w:shd w:val="clear" w:color="auto" w:fill="FFFFFF"/>
          </w:tcPr>
          <w:p>
            <w:pPr>
              <w:jc w:val="left"/>
              <w:spacing w:before="20" w:after="20"/>
            </w:pPr>
            <w:r>
              <w:rPr>
                <w:rFonts w:ascii="Calibri" w:hAnsi="Calibri" w:cs="Calibri"/>
                <w:b/>
                <w:color w:val="0A2540"/>
                <w:sz w:val="18"/>
                <w:szCs w:val="18"/>
              </w:rPr>
              <w:t xml:space="preserve">1. Árbol de Diagnóstico</w:t>
            </w:r>
          </w:p>
        </w:tc>
        <w:tc>
          <w:tcPr>
            <w:tcW w:w="6960" w:type="dxa"/>
            <w:shd w:val="clear" w:color="auto" w:fill="FFFFFF"/>
          </w:tcPr>
          <w:p>
            <w:pPr>
              <w:jc w:val="left"/>
              <w:spacing w:before="20" w:after="20"/>
            </w:pPr>
            <w:r>
              <w:rPr>
                <w:rFonts w:ascii="Calibri" w:hAnsi="Calibri" w:cs="Calibri"/>
                <w:color w:val="1E293B"/>
                <w:sz w:val="18"/>
                <w:szCs w:val="18"/>
              </w:rPr>
              <w:t xml:space="preserve">Asistente experto interactivo paso a paso que guía al operador mediante preguntas SÍ/NO o selección de pitidos POST a través de 7 ramas sintomáticas hasta alcanzar uno de los 19 dictámenes codificados (#101 a #702) con su guía de reparación.</w:t>
            </w:r>
          </w:p>
        </w:tc>
      </w:tr>
      <w:tr>
        <w:tc>
          <w:tcPr>
            <w:tcW w:w="2400" w:type="dxa"/>
            <w:shd w:val="clear" w:color="auto" w:fill="F8FAFC"/>
          </w:tcPr>
          <w:p>
            <w:pPr>
              <w:jc w:val="left"/>
              <w:spacing w:before="20" w:after="20"/>
            </w:pPr>
            <w:r>
              <w:rPr>
                <w:rFonts w:ascii="Calibri" w:hAnsi="Calibri" w:cs="Calibri"/>
                <w:b/>
                <w:color w:val="0A2540"/>
                <w:sz w:val="18"/>
                <w:szCs w:val="18"/>
              </w:rPr>
              <w:t xml:space="preserve">2. Diagnóstico Multisíntoma</w:t>
            </w:r>
          </w:p>
        </w:tc>
        <w:tc>
          <w:tcPr>
            <w:tcW w:w="6960" w:type="dxa"/>
            <w:shd w:val="clear" w:color="auto" w:fill="F8FAFC"/>
          </w:tcPr>
          <w:p>
            <w:pPr>
              <w:jc w:val="left"/>
              <w:spacing w:before="20" w:after="20"/>
            </w:pPr>
            <w:r>
              <w:rPr>
                <w:rFonts w:ascii="Calibri" w:hAnsi="Calibri" w:cs="Calibri"/>
                <w:color w:val="1E293B"/>
                <w:sz w:val="18"/>
                <w:szCs w:val="18"/>
              </w:rPr>
              <w:t xml:space="preserve">Presenta 15 casillas de verificación (checkboxes) de síntomas observables. Al presionar 'Calcular Probabilidades', evalúa la matriz ponderada y muestra un ranking con medallas (🥇, 🥈, 🥉), barras porcentuales y protocolo de acción.</w:t>
            </w:r>
          </w:p>
        </w:tc>
      </w:tr>
      <w:tr>
        <w:tc>
          <w:tcPr>
            <w:tcW w:w="2400" w:type="dxa"/>
            <w:shd w:val="clear" w:color="auto" w:fill="FFFFFF"/>
          </w:tcPr>
          <w:p>
            <w:pPr>
              <w:jc w:val="left"/>
              <w:spacing w:before="20" w:after="20"/>
            </w:pPr>
            <w:r>
              <w:rPr>
                <w:rFonts w:ascii="Calibri" w:hAnsi="Calibri" w:cs="Calibri"/>
                <w:b/>
                <w:color w:val="0A2540"/>
                <w:sz w:val="18"/>
                <w:szCs w:val="18"/>
              </w:rPr>
              <w:t xml:space="preserve">3. Buscador Asistido</w:t>
            </w:r>
          </w:p>
        </w:tc>
        <w:tc>
          <w:tcPr>
            <w:tcW w:w="6960" w:type="dxa"/>
            <w:shd w:val="clear" w:color="auto" w:fill="FFFFFF"/>
          </w:tcPr>
          <w:p>
            <w:pPr>
              <w:jc w:val="left"/>
              <w:spacing w:before="20" w:after="20"/>
            </w:pPr>
            <w:r>
              <w:rPr>
                <w:rFonts w:ascii="Calibri" w:hAnsi="Calibri" w:cs="Calibri"/>
                <w:color w:val="1E293B"/>
                <w:sz w:val="18"/>
                <w:szCs w:val="18"/>
              </w:rPr>
              <w:t xml:space="preserve">Permite escribir libremente el problema en español coloquial. Utiliza coincidencia léxica y difusa para devolver las 5 causas raíz más probables con su porcentaje de confianza y sugiere qué rama exacta del árbol abrir.</w:t>
            </w:r>
          </w:p>
        </w:tc>
      </w:tr>
      <w:tr>
        <w:tc>
          <w:tcPr>
            <w:tcW w:w="2400" w:type="dxa"/>
            <w:shd w:val="clear" w:color="auto" w:fill="F8FAFC"/>
          </w:tcPr>
          <w:p>
            <w:pPr>
              <w:jc w:val="left"/>
              <w:spacing w:before="20" w:after="20"/>
            </w:pPr>
            <w:r>
              <w:rPr>
                <w:rFonts w:ascii="Calibri" w:hAnsi="Calibri" w:cs="Calibri"/>
                <w:b/>
                <w:color w:val="0A2540"/>
                <w:sz w:val="18"/>
                <w:szCs w:val="18"/>
              </w:rPr>
              <w:t xml:space="preserve">4. Micro-Stress Test CPU</w:t>
            </w:r>
          </w:p>
        </w:tc>
        <w:tc>
          <w:tcPr>
            <w:tcW w:w="6960" w:type="dxa"/>
            <w:shd w:val="clear" w:color="auto" w:fill="F8FAFC"/>
          </w:tcPr>
          <w:p>
            <w:pPr>
              <w:jc w:val="left"/>
              <w:spacing w:before="20" w:after="20"/>
            </w:pPr>
            <w:r>
              <w:rPr>
                <w:rFonts w:ascii="Calibri" w:hAnsi="Calibri" w:cs="Calibri"/>
                <w:color w:val="1E293B"/>
                <w:sz w:val="18"/>
                <w:szCs w:val="18"/>
              </w:rPr>
              <w:t xml:space="preserve">Lanza un benchmark matemático multihilo de 10 segundos al 100% de los núcleos lógicos. Muestra en vivo cada 0.5 s la frecuencia en GHz y el uso de CPU, dictaminando al final si existe Thermal Throttling (caída de frecuencia &gt;= 12%).</w:t>
            </w:r>
          </w:p>
        </w:tc>
      </w:tr>
      <w:tr>
        <w:tc>
          <w:tcPr>
            <w:tcW w:w="2400" w:type="dxa"/>
            <w:shd w:val="clear" w:color="auto" w:fill="FFFFFF"/>
          </w:tcPr>
          <w:p>
            <w:pPr>
              <w:jc w:val="left"/>
              <w:spacing w:before="20" w:after="20"/>
            </w:pPr>
            <w:r>
              <w:rPr>
                <w:rFonts w:ascii="Calibri" w:hAnsi="Calibri" w:cs="Calibri"/>
                <w:b/>
                <w:color w:val="0A2540"/>
                <w:sz w:val="18"/>
                <w:szCs w:val="18"/>
              </w:rPr>
              <w:t xml:space="preserve">5. Bitácora Local</w:t>
            </w:r>
          </w:p>
        </w:tc>
        <w:tc>
          <w:tcPr>
            <w:tcW w:w="6960" w:type="dxa"/>
            <w:shd w:val="clear" w:color="auto" w:fill="FFFFFF"/>
          </w:tcPr>
          <w:p>
            <w:pPr>
              <w:jc w:val="left"/>
              <w:spacing w:before="20" w:after="20"/>
            </w:pPr>
            <w:r>
              <w:rPr>
                <w:rFonts w:ascii="Calibri" w:hAnsi="Calibri" w:cs="Calibri"/>
                <w:color w:val="1E293B"/>
                <w:sz w:val="18"/>
                <w:szCs w:val="18"/>
              </w:rPr>
              <w:t xml:space="preserve">Abre una ventana modal que muestra el registro histórico acumulado en 'historial_local.txt' con todos los tickets generados en la estación.</w:t>
            </w:r>
          </w:p>
        </w:tc>
      </w:tr>
      <w:tr>
        <w:tc>
          <w:tcPr>
            <w:tcW w:w="2400" w:type="dxa"/>
            <w:shd w:val="clear" w:color="auto" w:fill="F8FAFC"/>
          </w:tcPr>
          <w:p>
            <w:pPr>
              <w:jc w:val="left"/>
              <w:spacing w:before="20" w:after="20"/>
            </w:pPr>
            <w:r>
              <w:rPr>
                <w:rFonts w:ascii="Calibri" w:hAnsi="Calibri" w:cs="Calibri"/>
                <w:b/>
                <w:color w:val="0A2540"/>
                <w:sz w:val="18"/>
                <w:szCs w:val="18"/>
              </w:rPr>
              <w:t xml:space="preserve">6. Buzón de Sugerencias</w:t>
            </w:r>
          </w:p>
        </w:tc>
        <w:tc>
          <w:tcPr>
            <w:tcW w:w="6960" w:type="dxa"/>
            <w:shd w:val="clear" w:color="auto" w:fill="F8FAFC"/>
          </w:tcPr>
          <w:p>
            <w:pPr>
              <w:jc w:val="left"/>
              <w:spacing w:before="20" w:after="20"/>
            </w:pPr>
            <w:r>
              <w:rPr>
                <w:rFonts w:ascii="Calibri" w:hAnsi="Calibri" w:cs="Calibri"/>
                <w:color w:val="1E293B"/>
                <w:sz w:val="18"/>
                <w:szCs w:val="18"/>
              </w:rPr>
              <w:t xml:space="preserve">Permite registrar observaciones o mejoras (generando tickets SUG-XXXXX), guardándolas en 'sugerencias_locales.txt' y sincronizándolas en segundo plano hacia la tabla 'sugerencias_locales' en Supabase.</w:t>
            </w:r>
          </w:p>
        </w:tc>
      </w:tr>
    </w:tbl>
    <w:p>
      <w:pPr>
        <w:jc w:val="both"/>
        <w:spacing w:before="0" w:after="80"/>
      </w:pPr>
    </w:p>
    <w:p>
      <w:pPr>
        <w:jc w:val="left"/>
        <w:spacing w:before="180" w:after="80"/>
      </w:pPr>
      <w:r>
        <w:rPr>
          <w:rFonts w:ascii="Calibri" w:hAnsi="Calibri" w:cs="Calibri"/>
          <w:b/>
          <w:color w:val="1D4ED8"/>
          <w:sz w:val="24"/>
          <w:szCs w:val="24"/>
        </w:rPr>
        <w:t xml:space="preserve">3.4. Visualización Dual (Mapa 2D + Gemelo Digital 3D) y Exportación de Reportes</w:t>
      </w:r>
    </w:p>
    <w:p>
      <w:pPr>
        <w:jc w:val="both"/>
        <w:spacing w:before="0" w:after="120"/>
      </w:pPr>
      <w:r>
        <w:rPr>
          <w:rFonts w:ascii="Calibri" w:hAnsi="Calibri" w:cs="Calibri"/>
          <w:color w:val="1E293B"/>
          <w:sz w:val="21"/>
          <w:szCs w:val="21"/>
        </w:rPr>
        <w:t xml:space="preserve">Cuando el operador concluye un diagnóstico en el Árbol Inferencial, la pantalla de dictamen habilita tres capacidades de cierre:</w:t>
      </w:r>
    </w:p>
    <w:p>
      <w:pPr>
        <w:jc w:val="both"/>
        <w:spacing w:before="40" w:after="90"/>
        <w:ind w:left="360" w:hanging="180"/>
      </w:pPr>
      <w:r>
        <w:rPr>
          <w:rFonts w:ascii="Calibri" w:hAnsi="Calibri"/>
          <w:b/>
          <w:color w:val="0A2540"/>
          <w:sz w:val="21"/>
          <w:szCs w:val="21"/>
        </w:rPr>
        <w:t xml:space="preserve">•  Mapa de Componentes del Sistema (2D): </w:t>
      </w:r>
      <w:r>
        <w:rPr>
          <w:rFonts w:ascii="Calibri" w:hAnsi="Calibri"/>
          <w:color w:val="1E293B"/>
          <w:sz w:val="21"/>
          <w:szCs w:val="21"/>
        </w:rPr>
        <w:t xml:space="preserve">Abre la vista MotherboardMapView que dibuja la placa base con sus componentes reales, iluminando en rojo crítico con insignias '[!]' la pieza afectada por la falla diagnosticada y mostrando tarjetas emergentes (tooltips) al pasar el mouse sobre cualquier componente.</w:t>
      </w:r>
    </w:p>
    <w:p>
      <w:pPr>
        <w:jc w:val="both"/>
        <w:spacing w:before="40" w:after="90"/>
        <w:ind w:left="360" w:hanging="180"/>
      </w:pPr>
      <w:r>
        <w:rPr>
          <w:rFonts w:ascii="Calibri" w:hAnsi="Calibri"/>
          <w:b/>
          <w:color w:val="0A2540"/>
          <w:sz w:val="21"/>
          <w:szCs w:val="21"/>
        </w:rPr>
        <w:t xml:space="preserve">•  Gemelo Digital 3D en Vercel: </w:t>
      </w:r>
      <w:r>
        <w:rPr>
          <w:rFonts w:ascii="Calibri" w:hAnsi="Calibri"/>
          <w:color w:val="1E293B"/>
          <w:sz w:val="21"/>
          <w:szCs w:val="21"/>
        </w:rPr>
        <w:t xml:space="preserve">Sincroniza el ticket hacia Supabase en segundo plano, copia automáticamente el enlace público al portapapeles del sistema, abre el navegador web predeterminado en 'https://indiserv-web3d.vercel.app/?ticket=&lt;ID&gt;' y despliega una ventana modal de confirmación.</w:t>
      </w:r>
    </w:p>
    <w:p>
      <w:pPr>
        <w:jc w:val="both"/>
        <w:spacing w:before="40" w:after="90"/>
        <w:ind w:left="360" w:hanging="180"/>
      </w:pPr>
      <w:r>
        <w:rPr>
          <w:rFonts w:ascii="Calibri" w:hAnsi="Calibri"/>
          <w:b/>
          <w:color w:val="0A2540"/>
          <w:sz w:val="21"/>
          <w:szCs w:val="21"/>
        </w:rPr>
        <w:t xml:space="preserve">•  Exportación Técnica Dual (TXT + JSON) y Sincronización Cloud: </w:t>
      </w:r>
      <w:r>
        <w:rPr>
          <w:rFonts w:ascii="Calibri" w:hAnsi="Calibri"/>
          <w:color w:val="1E293B"/>
          <w:sz w:val="21"/>
          <w:szCs w:val="21"/>
        </w:rPr>
        <w:t xml:space="preserve">Crea instantáneamente los archivos 'Reporte_Diagnostico_&lt;ID&gt;.txt' y 'Reporte_Diagnostico_&lt;ID&gt;.json' en el directorio local, registra la línea en 'historial_local.txt' y ejecuta un hilo demonio que sincroniza el reporte completo y la solución recomendada en las tablas de Supabase.</w:t>
      </w:r>
    </w:p>
    <w:p>
      <w:r>
        <w:br w:type="page"/>
      </w:r>
    </w:p>
    <w:p>
      <w:pPr>
        <w:jc w:val="left"/>
        <w:spacing w:before="240" w:after="100"/>
      </w:pPr>
      <w:r>
        <w:rPr>
          <w:rFonts w:ascii="Calibri" w:hAnsi="Calibri" w:cs="Calibri"/>
          <w:b/>
          <w:color w:val="0A2540"/>
          <w:sz w:val="29"/>
          <w:szCs w:val="29"/>
        </w:rPr>
        <w:t xml:space="preserve">4. DEFINICIÓN Y EXPLICACIÓN PASO A PASO DEL CÓDIGO FUENTE</w:t>
      </w:r>
    </w:p>
    <w:p>
      <w:pPr>
        <w:jc w:val="left"/>
        <w:spacing w:before="180" w:after="80"/>
      </w:pPr>
      <w:r>
        <w:rPr>
          <w:rFonts w:ascii="Calibri" w:hAnsi="Calibri" w:cs="Calibri"/>
          <w:b/>
          <w:color w:val="1D4ED8"/>
          <w:sz w:val="24"/>
          <w:szCs w:val="24"/>
        </w:rPr>
        <w:t xml:space="preserve">4.1. Módulo core/config.py — Gestión de Variables de Entorno y Seguridad URI</w:t>
      </w:r>
    </w:p>
    <w:p>
      <w:pPr>
        <w:jc w:val="both"/>
        <w:spacing w:before="0" w:after="120"/>
      </w:pPr>
      <w:r>
        <w:rPr>
          <w:rFonts w:ascii="Calibri" w:hAnsi="Calibri" w:cs="Calibri"/>
          <w:color w:val="1E293B"/>
          <w:sz w:val="21"/>
          <w:szCs w:val="21"/>
        </w:rPr>
        <w:t xml:space="preserve">Ubicado en 'core/config.py' (58 líneas), este módulo se ejecuta al importar la configuración global y consta de dos bloques algorítmicos:</w:t>
      </w:r>
    </w:p>
    <w:p>
      <w:pPr>
        <w:jc w:val="both"/>
        <w:spacing w:before="40" w:after="90"/>
        <w:ind w:left="360" w:hanging="180"/>
      </w:pPr>
      <w:r>
        <w:rPr>
          <w:rFonts w:ascii="Calibri" w:hAnsi="Calibri"/>
          <w:b/>
          <w:color w:val="0A2540"/>
          <w:sz w:val="21"/>
          <w:szCs w:val="21"/>
        </w:rPr>
        <w:t xml:space="preserve">•  Paso 1 — Resolución de Ruta y Parser Resiliente de .env (Líneas 19-35): </w:t>
      </w:r>
      <w:r>
        <w:rPr>
          <w:rFonts w:ascii="Calibri" w:hAnsi="Calibri"/>
          <w:color w:val="1E293B"/>
          <w:sz w:val="21"/>
          <w:szCs w:val="21"/>
        </w:rPr>
        <w:t xml:space="preserve">Calcula la ruta del archivo .env mediante Path(__file__).resolve().parent.parent / '.env'. Intenta cargar las variables con 'from dotenv import load_dotenv' usando 'override=False' para respetar variables preexistentes del sistema. Si python-dotenv no está instalado (except ImportError), ejecuta un parser manual que lee el archivo línea por línea, ignora líneas vacías o comentarios ('#'), divide por el primer '=' mediante _line.partition('='), limpia comillas y asigna cada par en os.environ.</w:t>
      </w:r>
    </w:p>
    <w:p>
      <w:pPr>
        <w:jc w:val="both"/>
        <w:spacing w:before="40" w:after="90"/>
        <w:ind w:left="360" w:hanging="180"/>
      </w:pPr>
      <w:r>
        <w:rPr>
          <w:rFonts w:ascii="Calibri" w:hAnsi="Calibri"/>
          <w:b/>
          <w:color w:val="0A2540"/>
          <w:sz w:val="21"/>
          <w:szCs w:val="21"/>
        </w:rPr>
        <w:t xml:space="preserve">•  Paso 2 — Normalización de WEB_VIEWER_URL y Guardia Anti-Localhost (Líneas 42-57): </w:t>
      </w:r>
      <w:r>
        <w:rPr>
          <w:rFonts w:ascii="Calibri" w:hAnsi="Calibri"/>
          <w:color w:val="1E293B"/>
          <w:sz w:val="21"/>
          <w:szCs w:val="21"/>
        </w:rPr>
        <w:t xml:space="preserve">Define la URL de producción por defecto '_DEFAULT_WEB_VIEWER_URL = "https://indiserv-web3d.vercel.app"' y elimina barras diagonales finales con .rstrip('/'). Luego aplica una guardia de seguridad: si la cadena contiene 'localhost' o '127.0.0.1', lanza un warnings.warn y sobrescribe WEB_VIEWER_URL con la URL de producción en Vercel, garantizando que ningún ticket genere enlaces locales inaccesibles.</w:t>
      </w:r>
    </w:p>
    <w:tbl>
      <w:tblPr>
        <w:tblW w:w="9360" w:type="dxa"/>
        <w:tblBorders>
          <w:top w:val="single" w:sz="6" w:space="0" w:color="94A3B8"/>
          <w:left w:val="single" w:sz="18" w:space="0" w:color="1D4ED8"/>
          <w:bottom w:val="single" w:sz="6" w:space="0" w:color="94A3B8"/>
          <w:right w:val="single" w:sz="6" w:space="0" w:color="94A3B8"/>
        </w:tblBorders>
        <w:tblCellMar>
          <w:top w:w="100" w:type="dxa"/>
          <w:left w:w="160" w:type="dxa"/>
          <w:bottom w:w="100" w:type="dxa"/>
          <w:right w:w="160" w:type="dxa"/>
        </w:tblCellMar>
      </w:tblPr>
      <w:tblGrid>
        <w:gridCol w:w="9360"/>
      </w:tblGrid>
      <w:tr>
        <w:tc>
          <w:tcPr>
            <w:tcW w:w="9360" w:type="dxa"/>
            <w:shd w:val="clear" w:color="auto" w:fill="F1F5F9"/>
          </w:tcPr>
          <w:p>
            <w:pPr>
              <w:jc w:val="left"/>
              <w:spacing w:before="10" w:after="10"/>
            </w:pPr>
            <w:r>
              <w:rPr>
                <w:rFonts w:ascii="Consolas" w:hAnsi="Consolas" w:cs="Consolas"/>
                <w:color w:val="0F172A"/>
                <w:sz w:val="17"/>
                <w:szCs w:val="17"/>
              </w:rPr>
              <w:t xml:space="preserve">if "localhost" in WEB_VIEWER_URL or "127.0.0.1" in WEB_VIEWER_URL:</w:t>
              <w:br/>
              <w:t xml:space="preserve">    warnings.warn(f"[config] Se reemplaza por produccion: {_DEFAULT_WEB_VIEWER_URL}")</w:t>
              <w:br/>
              <w:t xml:space="preserve">    WEB_VIEWER_URL = _DEFAULT_WEB_VIEWER_URL</w:t>
            </w:r>
          </w:p>
        </w:tc>
      </w:tr>
    </w:tbl>
    <w:p>
      <w:pPr>
        <w:jc w:val="both"/>
        <w:spacing w:before="0" w:after="80"/>
      </w:pPr>
    </w:p>
    <w:p>
      <w:pPr>
        <w:jc w:val="left"/>
        <w:spacing w:before="180" w:after="80"/>
      </w:pPr>
      <w:r>
        <w:rPr>
          <w:rFonts w:ascii="Calibri" w:hAnsi="Calibri" w:cs="Calibri"/>
          <w:b/>
          <w:color w:val="1D4ED8"/>
          <w:sz w:val="24"/>
          <w:szCs w:val="24"/>
        </w:rPr>
        <w:t xml:space="preserve">4.2. Módulo core/hardware.py — Perfilador de Hardware, Heurísticas y Health Score</w:t>
      </w:r>
    </w:p>
    <w:p>
      <w:pPr>
        <w:jc w:val="both"/>
        <w:spacing w:before="0" w:after="120"/>
      </w:pPr>
      <w:r>
        <w:rPr>
          <w:rFonts w:ascii="Calibri" w:hAnsi="Calibri" w:cs="Calibri"/>
          <w:color w:val="1E293B"/>
          <w:sz w:val="21"/>
          <w:szCs w:val="21"/>
        </w:rPr>
        <w:t xml:space="preserve">Ubicado en 'core/hardware.py' (536 líneas), implementa la recolección de telemetría profunda en 9 pasos:</w:t>
      </w:r>
    </w:p>
    <w:p>
      <w:pPr>
        <w:jc w:val="both"/>
        <w:spacing w:before="40" w:after="90"/>
        <w:ind w:left="360" w:hanging="180"/>
      </w:pPr>
      <w:r>
        <w:rPr>
          <w:rFonts w:ascii="Calibri" w:hAnsi="Calibri"/>
          <w:b/>
          <w:color w:val="0A2540"/>
          <w:sz w:val="21"/>
          <w:szCs w:val="21"/>
        </w:rPr>
        <w:t xml:space="preserve">•  Paso 1 — Consultas WMI vía PowerShell (_wmi_query, Líneas 30-57): </w:t>
      </w:r>
      <w:r>
        <w:rPr>
          <w:rFonts w:ascii="Calibri" w:hAnsi="Calibri"/>
          <w:color w:val="1E293B"/>
          <w:sz w:val="21"/>
          <w:szCs w:val="21"/>
        </w:rPr>
        <w:t xml:space="preserve">Recibe el nombre de una clase WMI (ej. 'Win32_BaseBoard') y una lista de propiedades. Construye el script 'Get-CimInstance -ClassName &lt;clase&gt; | Select-Object &lt;props&gt; | ConvertTo-Json -Depth 2 -Compress' y lo ejecuta en un subproceso oculto de PowerShell con timeout=10 s. Si PowerShell devuelve un único diccionario JSON, lo envuelve en una lista '[data]' para mantener una firma de retorno uniforme list[dict].</w:t>
      </w:r>
    </w:p>
    <w:p>
      <w:pPr>
        <w:jc w:val="both"/>
        <w:spacing w:before="40" w:after="90"/>
        <w:ind w:left="360" w:hanging="180"/>
      </w:pPr>
      <w:r>
        <w:rPr>
          <w:rFonts w:ascii="Calibri" w:hAnsi="Calibri"/>
          <w:b/>
          <w:color w:val="0A2540"/>
          <w:sz w:val="21"/>
          <w:szCs w:val="21"/>
        </w:rPr>
        <w:t xml:space="preserve">•  Paso 2 — Motherboard y Decodificación Dual de Fecha BIOS (_escanear_motherboard_bios, Líneas 64-91): </w:t>
      </w:r>
      <w:r>
        <w:rPr>
          <w:rFonts w:ascii="Calibri" w:hAnsi="Calibri"/>
          <w:color w:val="1E293B"/>
          <w:sz w:val="21"/>
          <w:szCs w:val="21"/>
        </w:rPr>
        <w:t xml:space="preserve">Extrae fabricante y modelo de Win32_BaseBoard y versión/fecha de Win32_BIOS. Para decodificar ReleaseDate soporta dos formatos: si llega como '/Date(1736726400000)/' (CIM moderno), extrae el timestamp en milisegundos con regex, divide entre 1000 y convierte a DD/MM/AAAA con utcfromtimestamp; si llega como '20250113000000.000000+000' (DMTF clásico), formatea los primeros 8 dígitos.</w:t>
      </w:r>
    </w:p>
    <w:p>
      <w:pPr>
        <w:jc w:val="both"/>
        <w:spacing w:before="40" w:after="90"/>
        <w:ind w:left="360" w:hanging="180"/>
      </w:pPr>
      <w:r>
        <w:rPr>
          <w:rFonts w:ascii="Calibri" w:hAnsi="Calibri"/>
          <w:b/>
          <w:color w:val="0A2540"/>
          <w:sz w:val="21"/>
          <w:szCs w:val="21"/>
        </w:rPr>
        <w:t xml:space="preserve">•  Paso 3 — Telemetría de CPU y Uso por Hilo (_escanear_cpu, Líneas 94-121): </w:t>
      </w:r>
      <w:r>
        <w:rPr>
          <w:rFonts w:ascii="Calibri" w:hAnsi="Calibri"/>
          <w:color w:val="1E293B"/>
          <w:sz w:val="21"/>
          <w:szCs w:val="21"/>
        </w:rPr>
        <w:t xml:space="preserve">Consulta Win32_Processor para obtener Name, NumberOfCores y NumberOfLogicalProcessors (con fallback a platform.processor() y psutil.cpu_count()). Obtiene las frecuencias base y actual con psutil.cpu_freq() convertidas a GHz y mide durante 0.5 s el porcentaje de uso de cada núcleo lógico con psutil.cpu_percent(interval=0.5, percpu=True).</w:t>
      </w:r>
    </w:p>
    <w:p>
      <w:pPr>
        <w:jc w:val="both"/>
        <w:spacing w:before="40" w:after="90"/>
        <w:ind w:left="360" w:hanging="180"/>
      </w:pPr>
      <w:r>
        <w:rPr>
          <w:rFonts w:ascii="Calibri" w:hAnsi="Calibri"/>
          <w:b/>
          <w:color w:val="0A2540"/>
          <w:sz w:val="21"/>
          <w:szCs w:val="21"/>
        </w:rPr>
        <w:t xml:space="preserve">•  Paso 4 — Inventario de Módulos RAM (_escanear_ram, Líneas 124-170): </w:t>
      </w:r>
      <w:r>
        <w:rPr>
          <w:rFonts w:ascii="Calibri" w:hAnsi="Calibri"/>
          <w:color w:val="1E293B"/>
          <w:sz w:val="21"/>
          <w:szCs w:val="21"/>
        </w:rPr>
        <w:t xml:space="preserve">Lee el total y disponible desde psutil.virtual_memory() y consulta Win32_PhysicalMemory. Traduce el entero SMBIOSMemoryType mediante tipo_map (20: DDR, 21: DDR2, 24: DDR3, 26: DDR4, 34: DDR5), calculando la capacidad en GB (cap_bytes / 1024**3) de cada ranura ocupada.</w:t>
      </w:r>
    </w:p>
    <w:p>
      <w:pPr>
        <w:jc w:val="both"/>
        <w:spacing w:before="40" w:after="90"/>
        <w:ind w:left="360" w:hanging="180"/>
      </w:pPr>
      <w:r>
        <w:rPr>
          <w:rFonts w:ascii="Calibri" w:hAnsi="Calibri"/>
          <w:b/>
          <w:color w:val="0A2540"/>
          <w:sz w:val="21"/>
          <w:szCs w:val="21"/>
        </w:rPr>
        <w:t xml:space="preserve">•  Paso 5 — Detección de GPU y Corrección de Overflow (_escanear_gpu, Líneas 173-198): </w:t>
      </w:r>
      <w:r>
        <w:rPr>
          <w:rFonts w:ascii="Calibri" w:hAnsi="Calibri"/>
          <w:color w:val="1E293B"/>
          <w:sz w:val="21"/>
          <w:szCs w:val="21"/>
        </w:rPr>
        <w:t xml:space="preserve">Consulta Win32_VideoController. Dado que AdapterRAM es un entero de 32 bits con signo en WMI que desborda a valores negativos en tarjetas con &gt;= 2 GB de VRAM, aplica la corrección 'if vram_bytes &lt; 0: vram_bytes += 2 ** 32' antes de convertir a megabytes.</w:t>
      </w:r>
    </w:p>
    <w:p>
      <w:pPr>
        <w:jc w:val="both"/>
        <w:spacing w:before="40" w:after="90"/>
        <w:ind w:left="360" w:hanging="180"/>
      </w:pPr>
      <w:r>
        <w:rPr>
          <w:rFonts w:ascii="Calibri" w:hAnsi="Calibri"/>
          <w:b/>
          <w:color w:val="0A2540"/>
          <w:sz w:val="21"/>
          <w:szCs w:val="21"/>
        </w:rPr>
        <w:t xml:space="preserve">•  Paso 6 — Clasificación de Discos y Particiones (_escanear_almacenamiento, Líneas 201-251): </w:t>
      </w:r>
      <w:r>
        <w:rPr>
          <w:rFonts w:ascii="Calibri" w:hAnsi="Calibri"/>
          <w:color w:val="1E293B"/>
          <w:sz w:val="21"/>
          <w:szCs w:val="21"/>
        </w:rPr>
        <w:t xml:space="preserve">Clasifica cada unidad de Win32_DiskDrive como 'NVMe SSD' (si 'nvme' figura en modelo o interfaz), 'Externo USB' (interfaz USB/1394), 'SATA SSD' ('ssd' o 'solid' en MediaType) o 'HDD'. Luego recorre psutil.disk_partitions(all=False) y psutil.disk_usage() para registrar capacidad y porcentaje de uso.</w:t>
      </w:r>
    </w:p>
    <w:p>
      <w:pPr>
        <w:jc w:val="both"/>
        <w:spacing w:before="40" w:after="90"/>
        <w:ind w:left="360" w:hanging="180"/>
      </w:pPr>
      <w:r>
        <w:rPr>
          <w:rFonts w:ascii="Calibri" w:hAnsi="Calibri"/>
          <w:b/>
          <w:color w:val="0A2540"/>
          <w:sz w:val="21"/>
          <w:szCs w:val="21"/>
        </w:rPr>
        <w:t xml:space="preserve">•  Paso 7 — Red, Filtrado de IPs y Ping ICMP (_escanear_red_y_so y _ping_latencia, Líneas 254-316): </w:t>
      </w:r>
      <w:r>
        <w:rPr>
          <w:rFonts w:ascii="Calibri" w:hAnsi="Calibri"/>
          <w:color w:val="1E293B"/>
          <w:sz w:val="21"/>
          <w:szCs w:val="21"/>
        </w:rPr>
        <w:t xml:space="preserve">Calcula el Uptime desde psutil.boot_time(), identifica la interfaz activa filtrando direcciones IPv6 (':'), direcciones MAC ('-') y loopback ('127.'), y lanza 'ping -n 1 -w 2000 8.8.8.8' extrayendo los milisegundos con la expresión regular r'(?:tiempo|time)[&lt;=](\d+)\s*ms'.</w:t>
      </w:r>
    </w:p>
    <w:p>
      <w:pPr>
        <w:jc w:val="both"/>
        <w:spacing w:before="40" w:after="90"/>
        <w:ind w:left="360" w:hanging="180"/>
      </w:pPr>
      <w:r>
        <w:rPr>
          <w:rFonts w:ascii="Calibri" w:hAnsi="Calibri"/>
          <w:b/>
          <w:color w:val="0A2540"/>
          <w:sz w:val="21"/>
          <w:szCs w:val="21"/>
        </w:rPr>
        <w:t xml:space="preserve">•  Paso 8 — Fachada LectorHardware.escanear_entorno() (Líneas 323-357): </w:t>
      </w:r>
      <w:r>
        <w:rPr>
          <w:rFonts w:ascii="Calibri" w:hAnsi="Calibri"/>
          <w:color w:val="1E293B"/>
          <w:sz w:val="21"/>
          <w:szCs w:val="21"/>
        </w:rPr>
        <w:t xml:space="preserve">Método estático público que invoca los 6 escáneres privados y unifica sus resultados en un único diccionario plano, garantizando la presencia de las 7 claves legacy (nombre_cpu, nucleos, ram_total_mb, ram_disponible_mb, so, alerta_ram, alerta_cpu).</w:t>
      </w:r>
    </w:p>
    <w:p>
      <w:pPr>
        <w:jc w:val="both"/>
        <w:spacing w:before="40" w:after="90"/>
        <w:ind w:left="360" w:hanging="180"/>
      </w:pPr>
      <w:r>
        <w:rPr>
          <w:rFonts w:ascii="Calibri" w:hAnsi="Calibri"/>
          <w:b/>
          <w:color w:val="0A2540"/>
          <w:sz w:val="21"/>
          <w:szCs w:val="21"/>
        </w:rPr>
        <w:t xml:space="preserve">•  Paso 9 — Algoritmo de Health Score y Serializador BD (Líneas 363-536): </w:t>
      </w:r>
      <w:r>
        <w:rPr>
          <w:rFonts w:ascii="Calibri" w:hAnsi="Calibri"/>
          <w:color w:val="1E293B"/>
          <w:sz w:val="21"/>
          <w:szCs w:val="21"/>
        </w:rPr>
        <w:t xml:space="preserve">La función calcular_health_score(hw) inicia en 100 y aplica penalizaciones: -20 si Disco C: &gt;= 90% (-10 si &gt;= 80%), -15 si RAM &lt; 4096 MB (-10 si &lt; 8192 MB), -15 si latencia &gt;= 200 ms, -10 sin adaptador de red, -10 sin GPU detectada y -5 si frecuencia CPU &lt; 1.5 GHz. Finalmente, construir_resumen_para_bd() infiere el tipo de refrigeración según la familia del procesador (_inferir_refrigeracion) y ensambla el diccionario tipado con el objeto anidado specs_json para Supabase.</w:t>
      </w:r>
    </w:p>
    <w:p>
      <w:pPr>
        <w:jc w:val="left"/>
        <w:spacing w:before="180" w:after="80"/>
      </w:pPr>
      <w:r>
        <w:rPr>
          <w:rFonts w:ascii="Calibri" w:hAnsi="Calibri" w:cs="Calibri"/>
          <w:b/>
          <w:color w:val="1D4ED8"/>
          <w:sz w:val="24"/>
          <w:szCs w:val="24"/>
        </w:rPr>
        <w:t xml:space="preserve">4.3. Módulo core/diagnostico.py — Motores Inferenciales y Benchmark Multihilo</w:t>
      </w:r>
    </w:p>
    <w:p>
      <w:pPr>
        <w:jc w:val="both"/>
        <w:spacing w:before="0" w:after="120"/>
      </w:pPr>
      <w:r>
        <w:rPr>
          <w:rFonts w:ascii="Calibri" w:hAnsi="Calibri" w:cs="Calibri"/>
          <w:color w:val="1E293B"/>
          <w:sz w:val="21"/>
          <w:szCs w:val="21"/>
        </w:rPr>
        <w:t xml:space="preserve">Ubicado en 'core/diagnostico.py' (494 líneas), contiene cuatro clases especializadas:</w:t>
      </w:r>
    </w:p>
    <w:p>
      <w:pPr>
        <w:jc w:val="both"/>
        <w:spacing w:before="40" w:after="90"/>
        <w:ind w:left="360" w:hanging="180"/>
      </w:pPr>
      <w:r>
        <w:rPr>
          <w:rFonts w:ascii="Calibri" w:hAnsi="Calibri"/>
          <w:b/>
          <w:color w:val="0A2540"/>
          <w:sz w:val="21"/>
          <w:szCs w:val="21"/>
        </w:rPr>
        <w:t xml:space="preserve">•  1. Clase MotorDiagnostico (Líneas 31-80): </w:t>
      </w:r>
      <w:r>
        <w:rPr>
          <w:rFonts w:ascii="Calibri" w:hAnsi="Calibri"/>
          <w:color w:val="1E293B"/>
          <w:sz w:val="21"/>
          <w:szCs w:val="21"/>
        </w:rPr>
        <w:t xml:space="preserve">Implementa el método estático evaluar_energia(cable_ok, switch_ok, ventilador_gira, intermitente), que evalúa secuencialmente las condiciones eléctricas para retornar el dictamen exacto entre los códigos #101 y #106.</w:t>
      </w:r>
    </w:p>
    <w:p>
      <w:pPr>
        <w:jc w:val="both"/>
        <w:spacing w:before="40" w:after="90"/>
        <w:ind w:left="360" w:hanging="180"/>
      </w:pPr>
      <w:r>
        <w:rPr>
          <w:rFonts w:ascii="Calibri" w:hAnsi="Calibri"/>
          <w:b/>
          <w:color w:val="0A2540"/>
          <w:sz w:val="21"/>
          <w:szCs w:val="21"/>
        </w:rPr>
        <w:t xml:space="preserve">•  2. Clase MatrizSintomas (Líneas 89-245): </w:t>
      </w:r>
      <w:r>
        <w:rPr>
          <w:rFonts w:ascii="Calibri" w:hAnsi="Calibri"/>
          <w:color w:val="1E293B"/>
          <w:sz w:val="21"/>
          <w:szCs w:val="21"/>
        </w:rPr>
        <w:t xml:space="preserve">Define la lista SINTOMAS_DISPONIBLES (15 síntomas indexados del 0 al 14) y el diccionario _CAUSAS_RAIZ (8 causas con sus pesos de evidencia entre 0.0 y 1.0). El método calcular_probabilidades(indices) calcula el puntaje acumulado de cada causa, lo normaliza respecto a la suma máxima teórica de sus pesos y acota el resultado en 99.9%, ordenando de mayor a menor probabilidad.</w:t>
      </w:r>
    </w:p>
    <w:p>
      <w:pPr>
        <w:jc w:val="both"/>
        <w:spacing w:before="40" w:after="90"/>
        <w:ind w:left="360" w:hanging="180"/>
      </w:pPr>
      <w:r>
        <w:rPr>
          <w:rFonts w:ascii="Calibri" w:hAnsi="Calibri"/>
          <w:b/>
          <w:color w:val="0A2540"/>
          <w:sz w:val="21"/>
          <w:szCs w:val="21"/>
        </w:rPr>
        <w:t xml:space="preserve">•  3. Clase BuscadorAsistido (Líneas 254-351): </w:t>
      </w:r>
      <w:r>
        <w:rPr>
          <w:rFonts w:ascii="Calibri" w:hAnsi="Calibri"/>
          <w:color w:val="1E293B"/>
          <w:sz w:val="21"/>
          <w:szCs w:val="21"/>
        </w:rPr>
        <w:t xml:space="preserve">Define _CORPUS con 23 tuplas (keywords, causa_raiz, rama_id). El método buscar(texto_usuario, top_n=5) normaliza el texto del operador, calcula la proporción de palabras exactas coincidentes (score_overlap) y la similitud de secuencia con difflib.SequenceMatcher (ratio), ponderándolas como 'score = score_overlap * 0.65 + ratio * 0.35'. Filtra puntajes menores a 0.04 y retorna las causas con mayor confianza junto con el identificador de rama del árbol.</w:t>
      </w:r>
    </w:p>
    <w:p>
      <w:pPr>
        <w:jc w:val="both"/>
        <w:spacing w:before="40" w:after="90"/>
        <w:ind w:left="360" w:hanging="180"/>
      </w:pPr>
      <w:r>
        <w:rPr>
          <w:rFonts w:ascii="Calibri" w:hAnsi="Calibri"/>
          <w:b/>
          <w:color w:val="0A2540"/>
          <w:sz w:val="21"/>
          <w:szCs w:val="21"/>
        </w:rPr>
        <w:t xml:space="preserve">•  4. Clase MicroStressTest (Líneas 358-494): </w:t>
      </w:r>
      <w:r>
        <w:rPr>
          <w:rFonts w:ascii="Calibri" w:hAnsi="Calibri"/>
          <w:color w:val="1E293B"/>
          <w:sz w:val="21"/>
          <w:szCs w:val="21"/>
        </w:rPr>
        <w:t xml:space="preserve">Recibe dos callbacks (callback_progreso y callback_resultado). Al llamar a iniciar(), lanza un hilo daemon que abre un ThreadPoolExecutor con n_cores = psutil.cpu_count(logical=True). Cada hilo ejecuta _worker_cpu() durante 10 segundos calculando raíces cuadradas y productos en coma flotante mientras el bucle monitor registra cada 0.5 s la frecuencia de reloj y uso de CPU. Al finalizar, _analizar() calcula 'caida_pct = ((freq_max - freq_min) / freq_max * 100)': si es &gt;= 12.0%, reporta Thermal Throttling y prescribe mantenimiento térmico.</w:t>
      </w:r>
    </w:p>
    <w:p>
      <w:pPr>
        <w:jc w:val="left"/>
        <w:spacing w:before="180" w:after="80"/>
      </w:pPr>
      <w:r>
        <w:rPr>
          <w:rFonts w:ascii="Calibri" w:hAnsi="Calibri" w:cs="Calibri"/>
          <w:b/>
          <w:color w:val="1D4ED8"/>
          <w:sz w:val="24"/>
          <w:szCs w:val="24"/>
        </w:rPr>
        <w:t xml:space="preserve">4.4. Módulo core/cloud_gateway.py — Persistencia Cloud sobre Supabase PostgREST</w:t>
      </w:r>
    </w:p>
    <w:p>
      <w:pPr>
        <w:jc w:val="both"/>
        <w:spacing w:before="0" w:after="120"/>
      </w:pPr>
      <w:r>
        <w:rPr>
          <w:rFonts w:ascii="Calibri" w:hAnsi="Calibri" w:cs="Calibri"/>
          <w:color w:val="1E293B"/>
          <w:sz w:val="21"/>
          <w:szCs w:val="21"/>
        </w:rPr>
        <w:t xml:space="preserve">Ubicado en 'core/cloud_gateway.py' (199 líneas), gestiona la persistencia en 4 tablas de PostgreSQL:</w:t>
      </w:r>
    </w:p>
    <w:tbl>
      <w:tblPr>
        <w:tblW w:w="0" w:type="auto"/>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CellMar>
          <w:top w:w="80" w:type="dxa"/>
          <w:left w:w="120" w:type="dxa"/>
          <w:bottom w:w="80" w:type="dxa"/>
          <w:right w:w="120" w:type="dxa"/>
        </w:tblCellMar>
      </w:tblPr>
      <w:tblGrid>
        <w:gridCol w:w="2300"/>
        <w:gridCol w:w="2100"/>
        <w:gridCol w:w="4960"/>
      </w:tblGrid>
      <w:tr>
        <w:tc>
          <w:tcPr>
            <w:tcW w:w="2300" w:type="dxa"/>
            <w:shd w:val="clear" w:color="auto" w:fill="0A2540"/>
          </w:tcPr>
          <w:p>
            <w:pPr>
              <w:jc w:val="left"/>
              <w:spacing w:before="20" w:after="20"/>
            </w:pPr>
            <w:r>
              <w:rPr>
                <w:rFonts w:ascii="Calibri" w:hAnsi="Calibri" w:cs="Calibri"/>
                <w:b/>
                <w:color w:val="FFFFFF"/>
                <w:sz w:val="19"/>
                <w:szCs w:val="19"/>
              </w:rPr>
              <w:t xml:space="preserve">Método de CloudGateway</w:t>
            </w:r>
          </w:p>
        </w:tc>
        <w:tc>
          <w:tcPr>
            <w:tcW w:w="2100" w:type="dxa"/>
            <w:shd w:val="clear" w:color="auto" w:fill="0A2540"/>
          </w:tcPr>
          <w:p>
            <w:pPr>
              <w:jc w:val="left"/>
              <w:spacing w:before="20" w:after="20"/>
            </w:pPr>
            <w:r>
              <w:rPr>
                <w:rFonts w:ascii="Calibri" w:hAnsi="Calibri" w:cs="Calibri"/>
                <w:b/>
                <w:color w:val="FFFFFF"/>
                <w:sz w:val="19"/>
                <w:szCs w:val="19"/>
              </w:rPr>
              <w:t xml:space="preserve">Tabla en Supabase</w:t>
            </w:r>
          </w:p>
        </w:tc>
        <w:tc>
          <w:tcPr>
            <w:tcW w:w="4960" w:type="dxa"/>
            <w:shd w:val="clear" w:color="auto" w:fill="0A2540"/>
          </w:tcPr>
          <w:p>
            <w:pPr>
              <w:jc w:val="left"/>
              <w:spacing w:before="20" w:after="20"/>
            </w:pPr>
            <w:r>
              <w:rPr>
                <w:rFonts w:ascii="Calibri" w:hAnsi="Calibri" w:cs="Calibri"/>
                <w:b/>
                <w:color w:val="FFFFFF"/>
                <w:sz w:val="19"/>
                <w:szCs w:val="19"/>
              </w:rPr>
              <w:t xml:space="preserve">Operación SQL / PostgREST y Comportamiento</w:t>
            </w:r>
          </w:p>
        </w:tc>
      </w:tr>
      <w:tr>
        <w:tc>
          <w:tcPr>
            <w:tcW w:w="2300" w:type="dxa"/>
            <w:shd w:val="clear" w:color="auto" w:fill="FFFFFF"/>
          </w:tcPr>
          <w:p>
            <w:pPr>
              <w:jc w:val="left"/>
              <w:spacing w:before="20" w:after="20"/>
            </w:pPr>
            <w:r>
              <w:rPr>
                <w:rFonts w:ascii="Calibri" w:hAnsi="Calibri" w:cs="Calibri"/>
                <w:b/>
                <w:color w:val="0A2540"/>
                <w:sz w:val="18"/>
                <w:szCs w:val="18"/>
              </w:rPr>
              <w:t xml:space="preserve">consultar_padron(dni)</w:t>
            </w:r>
          </w:p>
        </w:tc>
        <w:tc>
          <w:tcPr>
            <w:tcW w:w="2100" w:type="dxa"/>
            <w:shd w:val="clear" w:color="auto" w:fill="FFFFFF"/>
          </w:tcPr>
          <w:p>
            <w:pPr>
              <w:jc w:val="left"/>
              <w:spacing w:before="20" w:after="20"/>
            </w:pPr>
            <w:r>
              <w:rPr>
                <w:rFonts w:ascii="Calibri" w:hAnsi="Calibri" w:cs="Calibri"/>
                <w:color w:val="1E293B"/>
                <w:sz w:val="18"/>
                <w:szCs w:val="18"/>
              </w:rPr>
              <w:t xml:space="preserve">padron_oficial</w:t>
            </w:r>
          </w:p>
        </w:tc>
        <w:tc>
          <w:tcPr>
            <w:tcW w:w="4960" w:type="dxa"/>
            <w:shd w:val="clear" w:color="auto" w:fill="FFFFFF"/>
          </w:tcPr>
          <w:p>
            <w:pPr>
              <w:jc w:val="left"/>
              <w:spacing w:before="20" w:after="20"/>
            </w:pPr>
            <w:r>
              <w:rPr>
                <w:rFonts w:ascii="Calibri" w:hAnsi="Calibri" w:cs="Calibri"/>
                <w:color w:val="1E293B"/>
                <w:sz w:val="18"/>
                <w:szCs w:val="18"/>
              </w:rPr>
              <w:t xml:space="preserve">SELECT * WHERE dni = :dni. Verifica si el DNI pertenece a la nómina oficial autorizada y devuelve nombres y carrera.</w:t>
            </w:r>
          </w:p>
        </w:tc>
      </w:tr>
      <w:tr>
        <w:tc>
          <w:tcPr>
            <w:tcW w:w="2300" w:type="dxa"/>
            <w:shd w:val="clear" w:color="auto" w:fill="F8FAFC"/>
          </w:tcPr>
          <w:p>
            <w:pPr>
              <w:jc w:val="left"/>
              <w:spacing w:before="20" w:after="20"/>
            </w:pPr>
            <w:r>
              <w:rPr>
                <w:rFonts w:ascii="Calibri" w:hAnsi="Calibri" w:cs="Calibri"/>
                <w:b/>
                <w:color w:val="0A2540"/>
                <w:sz w:val="18"/>
                <w:szCs w:val="18"/>
              </w:rPr>
              <w:t xml:space="preserve">consultar_usuario(dni)</w:t>
            </w:r>
          </w:p>
        </w:tc>
        <w:tc>
          <w:tcPr>
            <w:tcW w:w="2100" w:type="dxa"/>
            <w:shd w:val="clear" w:color="auto" w:fill="F8FAFC"/>
          </w:tcPr>
          <w:p>
            <w:pPr>
              <w:jc w:val="left"/>
              <w:spacing w:before="20" w:after="20"/>
            </w:pPr>
            <w:r>
              <w:rPr>
                <w:rFonts w:ascii="Calibri" w:hAnsi="Calibri" w:cs="Calibri"/>
                <w:color w:val="1E293B"/>
                <w:sz w:val="18"/>
                <w:szCs w:val="18"/>
              </w:rPr>
              <w:t xml:space="preserve">usuarios_app</w:t>
            </w:r>
          </w:p>
        </w:tc>
        <w:tc>
          <w:tcPr>
            <w:tcW w:w="4960" w:type="dxa"/>
            <w:shd w:val="clear" w:color="auto" w:fill="F8FAFC"/>
          </w:tcPr>
          <w:p>
            <w:pPr>
              <w:jc w:val="left"/>
              <w:spacing w:before="20" w:after="20"/>
            </w:pPr>
            <w:r>
              <w:rPr>
                <w:rFonts w:ascii="Calibri" w:hAnsi="Calibri" w:cs="Calibri"/>
                <w:color w:val="1E293B"/>
                <w:sz w:val="18"/>
                <w:szCs w:val="18"/>
              </w:rPr>
              <w:t xml:space="preserve">SELECT * WHERE dni = :dni. Recupera correo y password_hash para autenticar el login o impedir registros duplicados.</w:t>
            </w:r>
          </w:p>
        </w:tc>
      </w:tr>
      <w:tr>
        <w:tc>
          <w:tcPr>
            <w:tcW w:w="2300" w:type="dxa"/>
            <w:shd w:val="clear" w:color="auto" w:fill="FFFFFF"/>
          </w:tcPr>
          <w:p>
            <w:pPr>
              <w:jc w:val="left"/>
              <w:spacing w:before="20" w:after="20"/>
            </w:pPr>
            <w:r>
              <w:rPr>
                <w:rFonts w:ascii="Calibri" w:hAnsi="Calibri" w:cs="Calibri"/>
                <w:b/>
                <w:color w:val="0A2540"/>
                <w:sz w:val="18"/>
                <w:szCs w:val="18"/>
              </w:rPr>
              <w:t xml:space="preserve">registrar_usuario(...)</w:t>
            </w:r>
          </w:p>
        </w:tc>
        <w:tc>
          <w:tcPr>
            <w:tcW w:w="2100" w:type="dxa"/>
            <w:shd w:val="clear" w:color="auto" w:fill="FFFFFF"/>
          </w:tcPr>
          <w:p>
            <w:pPr>
              <w:jc w:val="left"/>
              <w:spacing w:before="20" w:after="20"/>
            </w:pPr>
            <w:r>
              <w:rPr>
                <w:rFonts w:ascii="Calibri" w:hAnsi="Calibri" w:cs="Calibri"/>
                <w:color w:val="1E293B"/>
                <w:sz w:val="18"/>
                <w:szCs w:val="18"/>
              </w:rPr>
              <w:t xml:space="preserve">usuarios_app</w:t>
            </w:r>
          </w:p>
        </w:tc>
        <w:tc>
          <w:tcPr>
            <w:tcW w:w="4960" w:type="dxa"/>
            <w:shd w:val="clear" w:color="auto" w:fill="FFFFFF"/>
          </w:tcPr>
          <w:p>
            <w:pPr>
              <w:jc w:val="left"/>
              <w:spacing w:before="20" w:after="20"/>
            </w:pPr>
            <w:r>
              <w:rPr>
                <w:rFonts w:ascii="Calibri" w:hAnsi="Calibri" w:cs="Calibri"/>
                <w:color w:val="1E293B"/>
                <w:sz w:val="18"/>
                <w:szCs w:val="18"/>
              </w:rPr>
              <w:t xml:space="preserve">INSERT {dni, correo, password_hash, nickname}. Registra un nuevo operador previamente validado en el padrón.</w:t>
            </w:r>
          </w:p>
        </w:tc>
      </w:tr>
      <w:tr>
        <w:tc>
          <w:tcPr>
            <w:tcW w:w="2300" w:type="dxa"/>
            <w:shd w:val="clear" w:color="auto" w:fill="F8FAFC"/>
          </w:tcPr>
          <w:p>
            <w:pPr>
              <w:jc w:val="left"/>
              <w:spacing w:before="20" w:after="20"/>
            </w:pPr>
            <w:r>
              <w:rPr>
                <w:rFonts w:ascii="Calibri" w:hAnsi="Calibri" w:cs="Calibri"/>
                <w:b/>
                <w:color w:val="0A2540"/>
                <w:sz w:val="18"/>
                <w:szCs w:val="18"/>
              </w:rPr>
              <w:t xml:space="preserve">subir_ticket(...)</w:t>
            </w:r>
          </w:p>
        </w:tc>
        <w:tc>
          <w:tcPr>
            <w:tcW w:w="2100" w:type="dxa"/>
            <w:shd w:val="clear" w:color="auto" w:fill="F8FAFC"/>
          </w:tcPr>
          <w:p>
            <w:pPr>
              <w:jc w:val="left"/>
              <w:spacing w:before="20" w:after="20"/>
            </w:pPr>
            <w:r>
              <w:rPr>
                <w:rFonts w:ascii="Calibri" w:hAnsi="Calibri" w:cs="Calibri"/>
                <w:color w:val="1E293B"/>
                <w:sz w:val="18"/>
                <w:szCs w:val="18"/>
              </w:rPr>
              <w:t xml:space="preserve">reportes_diagnostico</w:t>
            </w:r>
          </w:p>
        </w:tc>
        <w:tc>
          <w:tcPr>
            <w:tcW w:w="4960" w:type="dxa"/>
            <w:shd w:val="clear" w:color="auto" w:fill="F8FAFC"/>
          </w:tcPr>
          <w:p>
            <w:pPr>
              <w:jc w:val="left"/>
              <w:spacing w:before="20" w:after="20"/>
            </w:pPr>
            <w:r>
              <w:rPr>
                <w:rFonts w:ascii="Calibri" w:hAnsi="Calibri" w:cs="Calibri"/>
                <w:color w:val="1E293B"/>
                <w:sz w:val="18"/>
                <w:szCs w:val="18"/>
              </w:rPr>
              <w:t xml:space="preserve">UPSERT (on_conflict='id_ticket'). Construye el resumen + specs_json mediante construir_resumen_para_bd() y sincroniza el ticket sin errores de clave duplicada.</w:t>
            </w:r>
          </w:p>
        </w:tc>
      </w:tr>
      <w:tr>
        <w:tc>
          <w:tcPr>
            <w:tcW w:w="2300" w:type="dxa"/>
            <w:shd w:val="clear" w:color="auto" w:fill="FFFFFF"/>
          </w:tcPr>
          <w:p>
            <w:pPr>
              <w:jc w:val="left"/>
              <w:spacing w:before="20" w:after="20"/>
            </w:pPr>
            <w:r>
              <w:rPr>
                <w:rFonts w:ascii="Calibri" w:hAnsi="Calibri" w:cs="Calibri"/>
                <w:b/>
                <w:color w:val="0A2540"/>
                <w:sz w:val="18"/>
                <w:szCs w:val="18"/>
              </w:rPr>
              <w:t xml:space="preserve">subir_sugerencia(...)</w:t>
            </w:r>
          </w:p>
        </w:tc>
        <w:tc>
          <w:tcPr>
            <w:tcW w:w="2100" w:type="dxa"/>
            <w:shd w:val="clear" w:color="auto" w:fill="FFFFFF"/>
          </w:tcPr>
          <w:p>
            <w:pPr>
              <w:jc w:val="left"/>
              <w:spacing w:before="20" w:after="20"/>
            </w:pPr>
            <w:r>
              <w:rPr>
                <w:rFonts w:ascii="Calibri" w:hAnsi="Calibri" w:cs="Calibri"/>
                <w:color w:val="1E293B"/>
                <w:sz w:val="18"/>
                <w:szCs w:val="18"/>
              </w:rPr>
              <w:t xml:space="preserve">sugerencias_locales</w:t>
            </w:r>
          </w:p>
        </w:tc>
        <w:tc>
          <w:tcPr>
            <w:tcW w:w="4960" w:type="dxa"/>
            <w:shd w:val="clear" w:color="auto" w:fill="FFFFFF"/>
          </w:tcPr>
          <w:p>
            <w:pPr>
              <w:jc w:val="left"/>
              <w:spacing w:before="20" w:after="20"/>
            </w:pPr>
            <w:r>
              <w:rPr>
                <w:rFonts w:ascii="Calibri" w:hAnsi="Calibri" w:cs="Calibri"/>
                <w:color w:val="1E293B"/>
                <w:sz w:val="18"/>
                <w:szCs w:val="18"/>
              </w:rPr>
              <w:t xml:space="preserve">UPSERT (on_conflict='id_ticket'). Envía un payload estricto de 2 columnas {id_ticket, sugerencia} para almacenar recomendaciones o feedback.</w:t>
            </w:r>
          </w:p>
        </w:tc>
      </w:tr>
    </w:tbl>
    <w:p>
      <w:pPr>
        <w:jc w:val="both"/>
        <w:spacing w:before="0" w:after="80"/>
      </w:pPr>
    </w:p>
    <w:p>
      <w:pPr>
        <w:jc w:val="left"/>
        <w:spacing w:before="180" w:after="80"/>
      </w:pPr>
      <w:r>
        <w:rPr>
          <w:rFonts w:ascii="Calibri" w:hAnsi="Calibri" w:cs="Calibri"/>
          <w:b/>
          <w:color w:val="1D4ED8"/>
          <w:sz w:val="24"/>
          <w:szCs w:val="24"/>
        </w:rPr>
        <w:t xml:space="preserve">4.5. Módulo core/hardware_map.py — Motor Gráfico Vectorial 2D (MotherboardMapView)</w:t>
      </w:r>
    </w:p>
    <w:p>
      <w:pPr>
        <w:jc w:val="both"/>
        <w:spacing w:before="0" w:after="120"/>
      </w:pPr>
      <w:r>
        <w:rPr>
          <w:rFonts w:ascii="Calibri" w:hAnsi="Calibri" w:cs="Calibri"/>
          <w:color w:val="1E293B"/>
          <w:sz w:val="21"/>
          <w:szCs w:val="21"/>
        </w:rPr>
        <w:t xml:space="preserve">Ubicado en 'core/hardware_map.py' (1,040 líneas), renderiza el esquema interactivo de la placa base:</w:t>
      </w:r>
    </w:p>
    <w:p>
      <w:pPr>
        <w:jc w:val="both"/>
        <w:spacing w:before="40" w:after="90"/>
        <w:ind w:left="360" w:hanging="180"/>
      </w:pPr>
      <w:r>
        <w:rPr>
          <w:rFonts w:ascii="Calibri" w:hAnsi="Calibri"/>
          <w:b/>
          <w:color w:val="0A2540"/>
          <w:sz w:val="21"/>
          <w:szCs w:val="21"/>
        </w:rPr>
        <w:t xml:space="preserve">•  Paso 1 — Mapeo de Diagnóstico a Componente (Líneas 103-165): </w:t>
      </w:r>
      <w:r>
        <w:rPr>
          <w:rFonts w:ascii="Calibri" w:hAnsi="Calibri"/>
          <w:color w:val="1E293B"/>
          <w:sz w:val="21"/>
          <w:szCs w:val="21"/>
        </w:rPr>
        <w:t xml:space="preserve">El diccionario DIAG_TO_COMP vincula la categoría del dictamen ('Fuente de Poder', 'Memoria RAM', 'Tarjeta Gráfica', 'Almacenamiento', etc.) con la clave interna del componente ('PSU', 'CPU', 'RAM', 'GPU', 'M2', 'IO', 'MB').</w:t>
      </w:r>
    </w:p>
    <w:p>
      <w:pPr>
        <w:jc w:val="both"/>
        <w:spacing w:before="40" w:after="90"/>
        <w:ind w:left="360" w:hanging="180"/>
      </w:pPr>
      <w:r>
        <w:rPr>
          <w:rFonts w:ascii="Calibri" w:hAnsi="Calibri"/>
          <w:b/>
          <w:color w:val="0A2540"/>
          <w:sz w:val="21"/>
          <w:szCs w:val="21"/>
        </w:rPr>
        <w:t xml:space="preserve">•  Paso 2 — Panel Superior de Métricas (_build_summary_panel, Líneas 206-269): </w:t>
      </w:r>
      <w:r>
        <w:rPr>
          <w:rFonts w:ascii="Calibri" w:hAnsi="Calibri"/>
          <w:color w:val="1E293B"/>
          <w:sz w:val="21"/>
          <w:szCs w:val="21"/>
        </w:rPr>
        <w:t xml:space="preserve">Calcula en vivo el Health Score y construye cuatro tarjetas superiores con el nombre de la Placa Base, la Salud Global coloreada por tramo (&gt;=80 Óptimo, &gt;=55 Requiere Atención, &lt;55 Crítico), el Componente en Foco (en rojo si hay falla) y el modelo de CPU.</w:t>
      </w:r>
    </w:p>
    <w:p>
      <w:pPr>
        <w:jc w:val="both"/>
        <w:spacing w:before="40" w:after="90"/>
        <w:ind w:left="360" w:hanging="180"/>
      </w:pPr>
      <w:r>
        <w:rPr>
          <w:rFonts w:ascii="Calibri" w:hAnsi="Calibri"/>
          <w:b/>
          <w:color w:val="0A2540"/>
          <w:sz w:val="21"/>
          <w:szCs w:val="21"/>
        </w:rPr>
        <w:t xml:space="preserve">•  Paso 3 — Renderizado por Capas sobre tk.Canvas (Líneas 301-860): </w:t>
      </w:r>
      <w:r>
        <w:rPr>
          <w:rFonts w:ascii="Calibri" w:hAnsi="Calibri"/>
          <w:color w:val="1E293B"/>
          <w:sz w:val="21"/>
          <w:szCs w:val="21"/>
        </w:rPr>
        <w:t xml:space="preserve">Dibuja secuencialmente el fondo, el PCB con bisel metálico, las pistas de circuito, los 4 tornillos dorados de montaje, el panel I/O trasero, la zona PSU con rejilla y conector de 24 pines, la bahía SATA, el socket CPU con aspas trigonométricas e IHS, las 4 ranuras DIMM (coloreando como ocupadas exactamente la cantidad de módulos detectados en hw['ram_modulos']), el slot M.2 NVMe con disipador y el slot PCIe x16 con la GPU de triple ventilador. El componente afectado recibe borde rojo (#ef4444) e insignia circular de exclamación (_badge_alert).</w:t>
      </w:r>
    </w:p>
    <w:p>
      <w:pPr>
        <w:jc w:val="both"/>
        <w:spacing w:before="40" w:after="90"/>
        <w:ind w:left="360" w:hanging="180"/>
      </w:pPr>
      <w:r>
        <w:rPr>
          <w:rFonts w:ascii="Calibri" w:hAnsi="Calibri"/>
          <w:b/>
          <w:color w:val="0A2540"/>
          <w:sz w:val="21"/>
          <w:szCs w:val="21"/>
        </w:rPr>
        <w:t xml:space="preserve">•  Paso 4 — Hit-Testing Espacial y Tooltips Dinámicos (Líneas 865-1040): </w:t>
      </w:r>
      <w:r>
        <w:rPr>
          <w:rFonts w:ascii="Calibri" w:hAnsi="Calibri"/>
          <w:color w:val="1E293B"/>
          <w:sz w:val="21"/>
          <w:szCs w:val="21"/>
        </w:rPr>
        <w:t xml:space="preserve">El método _hit_test(mx, my) comprueba si el puntero del mouse se encuentra dentro de las cajas delimitadoras (_cpu_bounds, _ram_bounds, _gpu_bounds, _m2_bounds, _io_bounds, _psu_bounds). Al detectar colisión, _show_tooltip() dibuja en el lienzo una tarjeta emergente de 250x130 px con la telemetría específica de ese componente, reubicándola automáticamente si se acerca a los bordes del canvas.</w:t>
      </w:r>
    </w:p>
    <w:p>
      <w:pPr>
        <w:jc w:val="left"/>
        <w:spacing w:before="180" w:after="80"/>
      </w:pPr>
      <w:r>
        <w:rPr>
          <w:rFonts w:ascii="Calibri" w:hAnsi="Calibri" w:cs="Calibri"/>
          <w:b/>
          <w:color w:val="1D4ED8"/>
          <w:sz w:val="24"/>
          <w:szCs w:val="24"/>
        </w:rPr>
        <w:t xml:space="preserve">4.6. Módulos core/gemelo_digital.py y main.py — Integración 3D y Controlador Principal</w:t>
      </w:r>
    </w:p>
    <w:p>
      <w:pPr>
        <w:jc w:val="both"/>
        <w:spacing w:before="40" w:after="90"/>
        <w:ind w:left="360" w:hanging="180"/>
      </w:pPr>
      <w:r>
        <w:rPr>
          <w:rFonts w:ascii="Calibri" w:hAnsi="Calibri"/>
          <w:b/>
          <w:color w:val="0A2540"/>
          <w:sz w:val="21"/>
          <w:szCs w:val="21"/>
        </w:rPr>
        <w:t xml:space="preserve">•  core/gemelo_digital.py (Líneas 1-79): </w:t>
      </w:r>
      <w:r>
        <w:rPr>
          <w:rFonts w:ascii="Calibri" w:hAnsi="Calibri"/>
          <w:color w:val="1E293B"/>
          <w:sz w:val="21"/>
          <w:szCs w:val="21"/>
        </w:rPr>
        <w:t xml:space="preserve">La función abrir_gemelo_digital(id_ticket, root_widget) limpia espacios con .strip(), codifica el ticket con urllib.parse.quote(), ensambla '{WEB_VIEWER_URL}/?ticket={ticket_sanitizado}', abre el navegador con webbrowser.open() y copia el enlace al portapapeles usando el clipboard nativo de Tkinter (clipboard_clear / clipboard_append / update) o pyperclip como respaldo.</w:t>
      </w:r>
    </w:p>
    <w:p>
      <w:pPr>
        <w:jc w:val="both"/>
        <w:spacing w:before="40" w:after="90"/>
        <w:ind w:left="360" w:hanging="180"/>
      </w:pPr>
      <w:r>
        <w:rPr>
          <w:rFonts w:ascii="Calibri" w:hAnsi="Calibri"/>
          <w:b/>
          <w:color w:val="0A2540"/>
          <w:sz w:val="21"/>
          <w:szCs w:val="21"/>
        </w:rPr>
        <w:t xml:space="preserve">•  main.py — Clase AppIndiServ (Líneas 47-1401): </w:t>
      </w:r>
      <w:r>
        <w:rPr>
          <w:rFonts w:ascii="Calibri" w:hAnsi="Calibri"/>
          <w:color w:val="1E293B"/>
          <w:sz w:val="21"/>
          <w:szCs w:val="21"/>
        </w:rPr>
        <w:t xml:space="preserve">Gestiona todas las vistas de usuario mediante limpiar_panel(). Controla el árbol de diagnóstico con las variables de estado arbol_fase (0: selección de síntoma, 1: preguntas de rama, 2: dictamen final), arbol_rama (0 a 6) y arbol_paso. En finalizar_diagnostico() genera el ID único de ticket '{DNI[:4]}-TICKET-{1000..9999}', y en guardar_reporte_final() escribe los archivos .txt y .json locales antes de lanzar el hilo daemon tarea_nube() que sincroniza el reporte y la sugerencia en Supabase.</w:t>
      </w:r>
    </w:p>
    <w:p>
      <w:pPr>
        <w:jc w:val="left"/>
        <w:spacing w:before="240" w:after="100"/>
      </w:pPr>
      <w:r>
        <w:rPr>
          <w:rFonts w:ascii="Calibri" w:hAnsi="Calibri" w:cs="Calibri"/>
          <w:b/>
          <w:color w:val="0A2540"/>
          <w:sz w:val="29"/>
          <w:szCs w:val="29"/>
        </w:rPr>
        <w:t xml:space="preserve">5. EVALUACIÓN DE CALIDAD DE SOFTWARE Y RECOMENDACIONES</w:t>
      </w:r>
    </w:p>
    <w:p>
      <w:pPr>
        <w:jc w:val="both"/>
        <w:spacing w:before="0" w:after="120"/>
      </w:pPr>
      <w:r>
        <w:rPr>
          <w:rFonts w:ascii="Calibri" w:hAnsi="Calibri" w:cs="Calibri"/>
          <w:color w:val="1E293B"/>
          <w:sz w:val="21"/>
          <w:szCs w:val="21"/>
        </w:rPr>
        <w:t xml:space="preserve">IndiServ Analytica destaca por su arquitectura robusta 100% Python (sin dependencias C++ frágiles), su modelo de concurrencia no bloqueante mediante hilos demonios y colas de eventos thread-safe (self.after), su retrocompatibilidad estricta de contratos de datos y su integración fluida entre escritorio, nube (Supabase) y visualización web 3D (Vercel).</w:t>
      </w:r>
    </w:p>
    <w:p>
      <w:pPr>
        <w:jc w:val="both"/>
        <w:spacing w:before="0" w:after="120"/>
      </w:pPr>
      <w:r>
        <w:rPr>
          <w:rFonts w:ascii="Calibri" w:hAnsi="Calibri" w:cs="Calibri"/>
          <w:color w:val="1E293B"/>
          <w:sz w:val="21"/>
          <w:szCs w:val="21"/>
        </w:rPr>
        <w:t xml:space="preserve">Como recomendaciones estratégicas de evolución empresarial y académica se proponen:</w:t>
      </w:r>
    </w:p>
    <w:p>
      <w:pPr>
        <w:jc w:val="both"/>
        <w:spacing w:before="40" w:after="90"/>
        <w:ind w:left="360" w:hanging="180"/>
      </w:pPr>
      <w:r>
        <w:rPr>
          <w:rFonts w:ascii="Calibri" w:hAnsi="Calibri"/>
          <w:b/>
          <w:color w:val="0A2540"/>
          <w:sz w:val="21"/>
          <w:szCs w:val="21"/>
        </w:rPr>
        <w:t xml:space="preserve">•  1. Centralización de Credenciales en Variables de Entorno: </w:t>
      </w:r>
      <w:r>
        <w:rPr>
          <w:rFonts w:ascii="Calibri" w:hAnsi="Calibri"/>
          <w:color w:val="1E293B"/>
          <w:sz w:val="21"/>
          <w:szCs w:val="21"/>
        </w:rPr>
        <w:t xml:space="preserve">Importar SUPABASE_URL y SUPABASE_KEY en core/cloud_gateway.py directamente desde core/config.py leyéndolas del archivo .env para eliminar constantes literales en el código fuente.</w:t>
      </w:r>
    </w:p>
    <w:p>
      <w:pPr>
        <w:jc w:val="both"/>
        <w:spacing w:before="40" w:after="90"/>
        <w:ind w:left="360" w:hanging="180"/>
      </w:pPr>
      <w:r>
        <w:rPr>
          <w:rFonts w:ascii="Calibri" w:hAnsi="Calibri"/>
          <w:b/>
          <w:color w:val="0A2540"/>
          <w:sz w:val="21"/>
          <w:szCs w:val="21"/>
        </w:rPr>
        <w:t xml:space="preserve">•  2. Hashing Criptográfico de Contraseñas: </w:t>
      </w:r>
      <w:r>
        <w:rPr>
          <w:rFonts w:ascii="Calibri" w:hAnsi="Calibri"/>
          <w:color w:val="1E293B"/>
          <w:sz w:val="21"/>
          <w:szCs w:val="21"/>
        </w:rPr>
        <w:t xml:space="preserve">Aplicar hashlib.sha256 con salt o bcrypt sobre la contraseña del operador antes de enviarla o compararla con el campo password_hash de la tabla usuarios_app.</w:t>
      </w:r>
    </w:p>
    <w:p>
      <w:pPr>
        <w:jc w:val="both"/>
        <w:spacing w:before="40" w:after="90"/>
        <w:ind w:left="360" w:hanging="180"/>
      </w:pPr>
      <w:r>
        <w:rPr>
          <w:rFonts w:ascii="Calibri" w:hAnsi="Calibri"/>
          <w:b/>
          <w:color w:val="0A2540"/>
          <w:sz w:val="21"/>
          <w:szCs w:val="21"/>
        </w:rPr>
        <w:t xml:space="preserve">•  3. Polimorfismo Formal mediante Clases Abstractas (abc.ABC): </w:t>
      </w:r>
      <w:r>
        <w:rPr>
          <w:rFonts w:ascii="Calibri" w:hAnsi="Calibri"/>
          <w:color w:val="1E293B"/>
          <w:sz w:val="21"/>
          <w:szCs w:val="21"/>
        </w:rPr>
        <w:t xml:space="preserve">Para fortalecer aún más la sustentación académica en el curso de Programación Orientada a Objetos 1, los escáneres modulares de core/hardware.py pueden modelarse como subclases (EscaneadorCPU, EscaneadorRAM, EscaneadorGPU, EscaneadorAlmacenamiento) que hereden de una clase abstracta ComponenteHardware(ABC) con métodos polimórficos escanear() y evaluar_salud().</w:t>
      </w:r>
    </w:p>
    <w:sectPr>
      <w:pgSz w:w="12240" w:h="15840"/>
      <w:pgMar w:top="1296" w:right="1368" w:bottom="1296" w:left="1368" w:header="720" w:footer="720" w:gutter="0"/>
    </w:sectPr>
  </w:body>
</w:document>
</file>

<file path=word/styles.xml><?xml version="1.0" encoding="utf-8"?>
<w:styles xmlns:w="http://schemas.openxmlformats.org/wordprocessingml/2006/main">
  <w:docDefaults>
    <w:rPrDefault>
      <w:rPr>
        <w:rFonts w:ascii="Calibri" w:hAnsi="Calibri" w:cs="Calibri"/>
        <w:sz w:val="21"/>
        <w:szCs w:val="21"/>
        <w:lang w:val="es-PE" w:eastAsia="es-PE" w:bidi="ar-SA"/>
      </w:rPr>
    </w:rPrDefault>
    <w:pPrDefault>
      <w:pPr>
        <w:spacing w:after="120" w:line="276"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