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7E22" w14:textId="317FD1E0" w:rsidR="00AD5385" w:rsidRPr="00AD5385" w:rsidRDefault="00AD5385" w:rsidP="00AD5385">
      <w:pPr>
        <w:pStyle w:val="ListParagraph"/>
        <w:numPr>
          <w:ilvl w:val="0"/>
          <w:numId w:val="5"/>
        </w:numPr>
        <w:spacing w:line="360" w:lineRule="auto"/>
        <w:ind w:left="720" w:hanging="270"/>
        <w:rPr>
          <w:rFonts w:ascii="Times New Roman" w:hAnsi="Times New Roman" w:cs="Times New Roman"/>
          <w:b/>
          <w:bCs/>
          <w:sz w:val="26"/>
          <w:szCs w:val="26"/>
        </w:rPr>
      </w:pPr>
      <w:r>
        <w:rPr>
          <w:rFonts w:ascii="Times New Roman" w:hAnsi="Times New Roman" w:cs="Times New Roman"/>
          <w:b/>
          <w:bCs/>
          <w:sz w:val="26"/>
          <w:szCs w:val="26"/>
        </w:rPr>
        <w:t>P</w:t>
      </w:r>
      <w:r w:rsidRPr="00AD5385">
        <w:rPr>
          <w:rFonts w:ascii="Times New Roman" w:hAnsi="Times New Roman" w:cs="Times New Roman"/>
          <w:b/>
          <w:bCs/>
          <w:sz w:val="26"/>
          <w:szCs w:val="26"/>
        </w:rPr>
        <w:t>hân tích sơ bộ tình hình kinh doanh và phân tích các tỷ số tài chính của Tổng Công ty cổ phần Đầu tư Phát triển Xây dựng - TẬP ĐOÀN DIC (DIC GROUP). Mã chứng khoán: DIG</w:t>
      </w:r>
    </w:p>
    <w:p w14:paraId="50DC14B4" w14:textId="21D4B890" w:rsidR="00286B92" w:rsidRPr="00C34532" w:rsidRDefault="00A53FCC" w:rsidP="00C34532">
      <w:pPr>
        <w:pStyle w:val="ListParagraph"/>
        <w:numPr>
          <w:ilvl w:val="0"/>
          <w:numId w:val="3"/>
        </w:numPr>
        <w:spacing w:line="360" w:lineRule="auto"/>
        <w:rPr>
          <w:rFonts w:ascii="Times New Roman" w:hAnsi="Times New Roman" w:cs="Times New Roman"/>
          <w:b/>
          <w:bCs/>
          <w:sz w:val="26"/>
          <w:szCs w:val="26"/>
        </w:rPr>
      </w:pPr>
      <w:r w:rsidRPr="00C34532">
        <w:rPr>
          <w:rFonts w:ascii="Times New Roman" w:hAnsi="Times New Roman" w:cs="Times New Roman"/>
          <w:b/>
          <w:bCs/>
          <w:sz w:val="26"/>
          <w:szCs w:val="26"/>
        </w:rPr>
        <w:t>Đánh giá khái quát t</w:t>
      </w:r>
      <w:r w:rsidR="00286B92" w:rsidRPr="00C34532">
        <w:rPr>
          <w:rFonts w:ascii="Times New Roman" w:hAnsi="Times New Roman" w:cs="Times New Roman"/>
          <w:b/>
          <w:bCs/>
          <w:sz w:val="26"/>
          <w:szCs w:val="26"/>
        </w:rPr>
        <w:t>ình hình hoạt động</w:t>
      </w:r>
      <w:r w:rsidRPr="00C34532">
        <w:rPr>
          <w:rFonts w:ascii="Times New Roman" w:hAnsi="Times New Roman" w:cs="Times New Roman"/>
          <w:b/>
          <w:bCs/>
          <w:sz w:val="26"/>
          <w:szCs w:val="26"/>
        </w:rPr>
        <w:t xml:space="preserve"> tài chính</w:t>
      </w:r>
    </w:p>
    <w:p w14:paraId="770F1BC8" w14:textId="31C4A6D5" w:rsidR="00A53FCC" w:rsidRPr="00C34532" w:rsidRDefault="00A53FCC" w:rsidP="00C34532">
      <w:pPr>
        <w:pStyle w:val="ListParagraph"/>
        <w:spacing w:line="276" w:lineRule="auto"/>
        <w:ind w:left="450"/>
        <w:rPr>
          <w:rFonts w:ascii="Times New Roman" w:hAnsi="Times New Roman" w:cs="Times New Roman"/>
          <w:sz w:val="26"/>
          <w:szCs w:val="26"/>
        </w:rPr>
      </w:pPr>
      <w:r w:rsidRPr="00C34532">
        <w:rPr>
          <w:rFonts w:ascii="Times New Roman" w:hAnsi="Times New Roman" w:cs="Times New Roman"/>
          <w:sz w:val="26"/>
          <w:szCs w:val="26"/>
        </w:rPr>
        <w:t>Đánh giá khái quát tình hình tài chính của DIC Group thông qua:</w:t>
      </w:r>
    </w:p>
    <w:p w14:paraId="6598D36A" w14:textId="6040FC37" w:rsidR="00A53FCC" w:rsidRPr="00C34532" w:rsidRDefault="00A53FCC" w:rsidP="00C34532">
      <w:pPr>
        <w:pStyle w:val="ListParagraph"/>
        <w:spacing w:line="276" w:lineRule="auto"/>
        <w:ind w:left="450"/>
        <w:rPr>
          <w:rFonts w:ascii="Times New Roman" w:hAnsi="Times New Roman" w:cs="Times New Roman"/>
          <w:sz w:val="26"/>
          <w:szCs w:val="26"/>
        </w:rPr>
      </w:pPr>
      <w:r w:rsidRPr="00C34532">
        <w:rPr>
          <w:rFonts w:ascii="Times New Roman" w:hAnsi="Times New Roman" w:cs="Times New Roman"/>
          <w:sz w:val="26"/>
          <w:szCs w:val="26"/>
        </w:rPr>
        <w:t>- Đánh giá khái quát tình hình huy động vốn của doanh nghiệp.</w:t>
      </w:r>
    </w:p>
    <w:p w14:paraId="1F3D2D80" w14:textId="3818A4B8" w:rsidR="00A53FCC" w:rsidRPr="00C34532" w:rsidRDefault="00A53FCC" w:rsidP="00C34532">
      <w:pPr>
        <w:pStyle w:val="ListParagraph"/>
        <w:spacing w:line="276" w:lineRule="auto"/>
        <w:ind w:left="450"/>
        <w:rPr>
          <w:rFonts w:ascii="Times New Roman" w:hAnsi="Times New Roman" w:cs="Times New Roman"/>
          <w:sz w:val="26"/>
          <w:szCs w:val="26"/>
        </w:rPr>
      </w:pPr>
      <w:r w:rsidRPr="00C34532">
        <w:rPr>
          <w:rFonts w:ascii="Times New Roman" w:hAnsi="Times New Roman" w:cs="Times New Roman"/>
          <w:sz w:val="26"/>
          <w:szCs w:val="26"/>
        </w:rPr>
        <w:t>- Đánh giá khái quát mức độ độc lập tài chính.</w:t>
      </w:r>
    </w:p>
    <w:p w14:paraId="7A0045DA" w14:textId="77777777" w:rsidR="00A53FCC" w:rsidRPr="00C34532" w:rsidRDefault="00A53FCC" w:rsidP="00C34532">
      <w:pPr>
        <w:pStyle w:val="ListParagraph"/>
        <w:spacing w:line="276" w:lineRule="auto"/>
        <w:ind w:left="450"/>
        <w:rPr>
          <w:rFonts w:ascii="Times New Roman" w:hAnsi="Times New Roman" w:cs="Times New Roman"/>
          <w:sz w:val="26"/>
          <w:szCs w:val="26"/>
        </w:rPr>
      </w:pPr>
      <w:r w:rsidRPr="00C34532">
        <w:rPr>
          <w:rFonts w:ascii="Times New Roman" w:hAnsi="Times New Roman" w:cs="Times New Roman"/>
          <w:sz w:val="26"/>
          <w:szCs w:val="26"/>
        </w:rPr>
        <w:t>- Đánh giá khái quát khả năng thanh toán.</w:t>
      </w:r>
    </w:p>
    <w:p w14:paraId="3DEC720E" w14:textId="2473FF69" w:rsidR="00A53FCC" w:rsidRPr="00C34532" w:rsidRDefault="00A53FCC" w:rsidP="00C34532">
      <w:pPr>
        <w:pStyle w:val="ListParagraph"/>
        <w:spacing w:line="276" w:lineRule="auto"/>
        <w:ind w:left="450"/>
        <w:rPr>
          <w:rFonts w:ascii="Times New Roman" w:hAnsi="Times New Roman" w:cs="Times New Roman"/>
          <w:sz w:val="26"/>
          <w:szCs w:val="26"/>
        </w:rPr>
      </w:pPr>
      <w:r w:rsidRPr="00C34532">
        <w:rPr>
          <w:rFonts w:ascii="Times New Roman" w:hAnsi="Times New Roman" w:cs="Times New Roman"/>
          <w:sz w:val="26"/>
          <w:szCs w:val="26"/>
        </w:rPr>
        <w:t>- Đánh giá khái quát khả năng sinh lời.</w:t>
      </w:r>
    </w:p>
    <w:p w14:paraId="0DC3585F" w14:textId="00A09CEC" w:rsidR="00286B92" w:rsidRPr="00C34532" w:rsidRDefault="00A53FCC" w:rsidP="00C34532">
      <w:pPr>
        <w:pStyle w:val="ListParagraph"/>
        <w:spacing w:line="276" w:lineRule="auto"/>
        <w:ind w:left="450"/>
        <w:rPr>
          <w:rFonts w:ascii="Times New Roman" w:hAnsi="Times New Roman" w:cs="Times New Roman"/>
          <w:sz w:val="26"/>
          <w:szCs w:val="26"/>
        </w:rPr>
      </w:pPr>
      <w:r w:rsidRPr="00C34532">
        <w:rPr>
          <w:rFonts w:ascii="Times New Roman" w:hAnsi="Times New Roman" w:cs="Times New Roman"/>
          <w:sz w:val="26"/>
          <w:szCs w:val="26"/>
        </w:rPr>
        <w:t>Để đánh giá khái quát tình hình huy động vốn của doanh nghiệp là sự biến động của tổng vốn chủ sở hữu giai đoạn 2020-2022 là tương đối ít, hơn nữa cũng thể hiện đầy đủ tình hình tài chính của doanh nghiệp. Đánh giá khái quát mức độ độc lập tài chính của doanh nghiệp: Các chỉ tiêu đánh giá khái quát mức độ độc lập về mặt tài chính của doanh nghiệp được tổng kết trên bảng 1.1 như sau:</w:t>
      </w:r>
    </w:p>
    <w:p w14:paraId="12913B37" w14:textId="60D2FD01" w:rsidR="00A53FCC" w:rsidRPr="00C34532" w:rsidRDefault="00A53FCC" w:rsidP="00C34532">
      <w:pPr>
        <w:pStyle w:val="ListParagraph"/>
        <w:spacing w:line="276" w:lineRule="auto"/>
        <w:ind w:left="450"/>
        <w:jc w:val="center"/>
        <w:rPr>
          <w:rFonts w:ascii="Times New Roman" w:hAnsi="Times New Roman" w:cs="Times New Roman"/>
          <w:b/>
          <w:bCs/>
          <w:sz w:val="26"/>
          <w:szCs w:val="26"/>
        </w:rPr>
      </w:pPr>
      <w:r w:rsidRPr="00C34532">
        <w:rPr>
          <w:rFonts w:ascii="Times New Roman" w:hAnsi="Times New Roman" w:cs="Times New Roman"/>
          <w:b/>
          <w:bCs/>
          <w:sz w:val="26"/>
          <w:szCs w:val="26"/>
        </w:rPr>
        <w:t xml:space="preserve">Bảng </w:t>
      </w:r>
      <w:r w:rsidR="009C769D" w:rsidRPr="00C34532">
        <w:rPr>
          <w:rFonts w:ascii="Times New Roman" w:hAnsi="Times New Roman" w:cs="Times New Roman"/>
          <w:b/>
          <w:bCs/>
          <w:sz w:val="26"/>
          <w:szCs w:val="26"/>
        </w:rPr>
        <w:t>1</w:t>
      </w:r>
      <w:r w:rsidRPr="00C34532">
        <w:rPr>
          <w:rFonts w:ascii="Times New Roman" w:hAnsi="Times New Roman" w:cs="Times New Roman"/>
          <w:b/>
          <w:bCs/>
          <w:sz w:val="26"/>
          <w:szCs w:val="26"/>
        </w:rPr>
        <w:t>.</w:t>
      </w:r>
      <w:r w:rsidR="009C769D" w:rsidRPr="00C34532">
        <w:rPr>
          <w:rFonts w:ascii="Times New Roman" w:hAnsi="Times New Roman" w:cs="Times New Roman"/>
          <w:b/>
          <w:bCs/>
          <w:sz w:val="26"/>
          <w:szCs w:val="26"/>
        </w:rPr>
        <w:t>1</w:t>
      </w:r>
      <w:r w:rsidRPr="00C34532">
        <w:rPr>
          <w:rFonts w:ascii="Times New Roman" w:hAnsi="Times New Roman" w:cs="Times New Roman"/>
          <w:b/>
          <w:bCs/>
          <w:sz w:val="26"/>
          <w:szCs w:val="26"/>
        </w:rPr>
        <w:t>: Đánh giá khái quát mức độ độc lập tài chính của công ty DIC Group</w:t>
      </w:r>
    </w:p>
    <w:p w14:paraId="642310C2" w14:textId="111A2D73" w:rsidR="00A53FCC" w:rsidRPr="00C34532" w:rsidRDefault="00A53FCC" w:rsidP="00C34532">
      <w:pPr>
        <w:pStyle w:val="ListParagraph"/>
        <w:spacing w:line="276" w:lineRule="auto"/>
        <w:ind w:left="8640" w:firstLine="720"/>
        <w:rPr>
          <w:rFonts w:ascii="Times New Roman" w:hAnsi="Times New Roman" w:cs="Times New Roman"/>
          <w:i/>
          <w:iCs/>
          <w:sz w:val="26"/>
          <w:szCs w:val="26"/>
        </w:rPr>
      </w:pPr>
      <w:r w:rsidRPr="00C34532">
        <w:rPr>
          <w:rFonts w:ascii="Times New Roman" w:hAnsi="Times New Roman" w:cs="Times New Roman"/>
          <w:i/>
          <w:iCs/>
          <w:sz w:val="26"/>
          <w:szCs w:val="26"/>
        </w:rPr>
        <w:t>Đơn vị tính: Việt Nam đồng</w:t>
      </w:r>
    </w:p>
    <w:tbl>
      <w:tblPr>
        <w:tblW w:w="10637" w:type="dxa"/>
        <w:tblInd w:w="1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7"/>
        <w:gridCol w:w="2260"/>
        <w:gridCol w:w="2260"/>
        <w:gridCol w:w="2260"/>
      </w:tblGrid>
      <w:tr w:rsidR="00F531D6" w:rsidRPr="00C34532" w14:paraId="2D1523DC" w14:textId="75309AE6" w:rsidTr="004377BB">
        <w:trPr>
          <w:trHeight w:val="300"/>
        </w:trPr>
        <w:tc>
          <w:tcPr>
            <w:tcW w:w="3857" w:type="dxa"/>
            <w:shd w:val="clear" w:color="auto" w:fill="auto"/>
            <w:vAlign w:val="center"/>
            <w:hideMark/>
          </w:tcPr>
          <w:p w14:paraId="5F8F845E" w14:textId="77777777" w:rsidR="00F531D6" w:rsidRPr="00A53FCC" w:rsidRDefault="00F531D6" w:rsidP="00C34532">
            <w:pPr>
              <w:spacing w:after="0" w:line="240" w:lineRule="auto"/>
              <w:rPr>
                <w:rFonts w:ascii="Times New Roman" w:hAnsi="Times New Roman" w:cs="Times New Roman"/>
                <w:b/>
                <w:bCs/>
                <w:sz w:val="26"/>
                <w:szCs w:val="26"/>
              </w:rPr>
            </w:pPr>
            <w:r w:rsidRPr="00A53FCC">
              <w:rPr>
                <w:rFonts w:ascii="Times New Roman" w:hAnsi="Times New Roman" w:cs="Times New Roman"/>
                <w:b/>
                <w:bCs/>
                <w:sz w:val="26"/>
                <w:szCs w:val="26"/>
              </w:rPr>
              <w:t>Chỉ tiêu</w:t>
            </w:r>
          </w:p>
        </w:tc>
        <w:tc>
          <w:tcPr>
            <w:tcW w:w="2260" w:type="dxa"/>
            <w:vAlign w:val="center"/>
          </w:tcPr>
          <w:p w14:paraId="18EA348E" w14:textId="23D1765E" w:rsidR="00F531D6" w:rsidRPr="00C34532" w:rsidRDefault="00F531D6" w:rsidP="00C34532">
            <w:pPr>
              <w:spacing w:after="0" w:line="240" w:lineRule="auto"/>
              <w:rPr>
                <w:rFonts w:ascii="Times New Roman" w:hAnsi="Times New Roman" w:cs="Times New Roman"/>
                <w:b/>
                <w:bCs/>
                <w:sz w:val="26"/>
                <w:szCs w:val="26"/>
              </w:rPr>
            </w:pPr>
            <w:r w:rsidRPr="00A53FCC">
              <w:rPr>
                <w:rFonts w:ascii="Times New Roman" w:hAnsi="Times New Roman" w:cs="Times New Roman"/>
                <w:b/>
                <w:bCs/>
                <w:sz w:val="26"/>
                <w:szCs w:val="26"/>
              </w:rPr>
              <w:t>2020</w:t>
            </w:r>
          </w:p>
        </w:tc>
        <w:tc>
          <w:tcPr>
            <w:tcW w:w="2260" w:type="dxa"/>
            <w:shd w:val="clear" w:color="auto" w:fill="auto"/>
            <w:vAlign w:val="center"/>
            <w:hideMark/>
          </w:tcPr>
          <w:p w14:paraId="6FD101F4" w14:textId="203E8111" w:rsidR="00F531D6" w:rsidRPr="00A53FCC" w:rsidRDefault="00F531D6" w:rsidP="00C34532">
            <w:pPr>
              <w:spacing w:after="0" w:line="240" w:lineRule="auto"/>
              <w:rPr>
                <w:rFonts w:ascii="Times New Roman" w:hAnsi="Times New Roman" w:cs="Times New Roman"/>
                <w:b/>
                <w:bCs/>
                <w:sz w:val="26"/>
                <w:szCs w:val="26"/>
              </w:rPr>
            </w:pPr>
            <w:r w:rsidRPr="00A53FCC">
              <w:rPr>
                <w:rFonts w:ascii="Times New Roman" w:hAnsi="Times New Roman" w:cs="Times New Roman"/>
                <w:b/>
                <w:bCs/>
                <w:sz w:val="26"/>
                <w:szCs w:val="26"/>
              </w:rPr>
              <w:t>2021</w:t>
            </w:r>
          </w:p>
        </w:tc>
        <w:tc>
          <w:tcPr>
            <w:tcW w:w="2260" w:type="dxa"/>
            <w:vAlign w:val="center"/>
          </w:tcPr>
          <w:p w14:paraId="64B36FE6" w14:textId="437CCD70" w:rsidR="00F531D6" w:rsidRPr="00C34532" w:rsidRDefault="00F531D6" w:rsidP="00C34532">
            <w:pPr>
              <w:spacing w:after="0" w:line="240" w:lineRule="auto"/>
              <w:rPr>
                <w:rFonts w:ascii="Times New Roman" w:hAnsi="Times New Roman" w:cs="Times New Roman"/>
                <w:b/>
                <w:bCs/>
                <w:sz w:val="26"/>
                <w:szCs w:val="26"/>
              </w:rPr>
            </w:pPr>
            <w:r w:rsidRPr="00A53FCC">
              <w:rPr>
                <w:rFonts w:ascii="Times New Roman" w:hAnsi="Times New Roman" w:cs="Times New Roman"/>
                <w:b/>
                <w:bCs/>
                <w:sz w:val="26"/>
                <w:szCs w:val="26"/>
              </w:rPr>
              <w:t>2022</w:t>
            </w:r>
          </w:p>
        </w:tc>
      </w:tr>
      <w:tr w:rsidR="00F531D6" w:rsidRPr="00C34532" w14:paraId="62B9656D" w14:textId="52D8BE9E" w:rsidTr="004377BB">
        <w:trPr>
          <w:trHeight w:val="300"/>
        </w:trPr>
        <w:tc>
          <w:tcPr>
            <w:tcW w:w="3857" w:type="dxa"/>
            <w:shd w:val="clear" w:color="auto" w:fill="auto"/>
            <w:vAlign w:val="center"/>
            <w:hideMark/>
          </w:tcPr>
          <w:p w14:paraId="1F0D6DDD"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1. Vốn chủ sở hữu</w:t>
            </w:r>
          </w:p>
        </w:tc>
        <w:tc>
          <w:tcPr>
            <w:tcW w:w="2260" w:type="dxa"/>
            <w:vAlign w:val="center"/>
          </w:tcPr>
          <w:p w14:paraId="4A234A1E" w14:textId="35B6C632"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4,790,129,230,371</w:t>
            </w:r>
          </w:p>
        </w:tc>
        <w:tc>
          <w:tcPr>
            <w:tcW w:w="2260" w:type="dxa"/>
            <w:shd w:val="clear" w:color="auto" w:fill="auto"/>
            <w:vAlign w:val="center"/>
            <w:hideMark/>
          </w:tcPr>
          <w:p w14:paraId="692B663B" w14:textId="6BEEFB15"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7,671,482,939,435</w:t>
            </w:r>
          </w:p>
        </w:tc>
        <w:tc>
          <w:tcPr>
            <w:tcW w:w="2260" w:type="dxa"/>
            <w:vAlign w:val="center"/>
          </w:tcPr>
          <w:p w14:paraId="60159B19" w14:textId="25E214C9"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7,794,735,007,082</w:t>
            </w:r>
          </w:p>
        </w:tc>
      </w:tr>
      <w:tr w:rsidR="00F531D6" w:rsidRPr="00C34532" w14:paraId="51DFF926" w14:textId="37EBF6E8" w:rsidTr="004377BB">
        <w:trPr>
          <w:trHeight w:val="300"/>
        </w:trPr>
        <w:tc>
          <w:tcPr>
            <w:tcW w:w="3857" w:type="dxa"/>
            <w:shd w:val="clear" w:color="auto" w:fill="auto"/>
            <w:vAlign w:val="center"/>
            <w:hideMark/>
          </w:tcPr>
          <w:p w14:paraId="7D74F21E"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2. Tổng nguồn vốn</w:t>
            </w:r>
          </w:p>
        </w:tc>
        <w:tc>
          <w:tcPr>
            <w:tcW w:w="2260" w:type="dxa"/>
            <w:vAlign w:val="center"/>
          </w:tcPr>
          <w:p w14:paraId="7BC942BE" w14:textId="3FDE4208"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11,826,163,041,713</w:t>
            </w:r>
          </w:p>
        </w:tc>
        <w:tc>
          <w:tcPr>
            <w:tcW w:w="2260" w:type="dxa"/>
            <w:shd w:val="clear" w:color="auto" w:fill="auto"/>
            <w:vAlign w:val="center"/>
            <w:hideMark/>
          </w:tcPr>
          <w:p w14:paraId="6CC51328" w14:textId="46DF338B"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16,846,904,640,870</w:t>
            </w:r>
          </w:p>
        </w:tc>
        <w:tc>
          <w:tcPr>
            <w:tcW w:w="2260" w:type="dxa"/>
            <w:vAlign w:val="center"/>
          </w:tcPr>
          <w:p w14:paraId="726C008A" w14:textId="6D44275A"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14,747,796,227,885</w:t>
            </w:r>
          </w:p>
        </w:tc>
      </w:tr>
      <w:tr w:rsidR="00F531D6" w:rsidRPr="00C34532" w14:paraId="73CECB37" w14:textId="345D9B4E" w:rsidTr="004377BB">
        <w:trPr>
          <w:trHeight w:val="300"/>
        </w:trPr>
        <w:tc>
          <w:tcPr>
            <w:tcW w:w="3857" w:type="dxa"/>
            <w:shd w:val="clear" w:color="auto" w:fill="auto"/>
            <w:vAlign w:val="center"/>
            <w:hideMark/>
          </w:tcPr>
          <w:p w14:paraId="18660AC3"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3. Tài sản dài hạn</w:t>
            </w:r>
          </w:p>
        </w:tc>
        <w:tc>
          <w:tcPr>
            <w:tcW w:w="2260" w:type="dxa"/>
            <w:vAlign w:val="center"/>
          </w:tcPr>
          <w:p w14:paraId="2795F5E7" w14:textId="4C980CE4"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4,527,010,691,862</w:t>
            </w:r>
          </w:p>
        </w:tc>
        <w:tc>
          <w:tcPr>
            <w:tcW w:w="2260" w:type="dxa"/>
            <w:shd w:val="clear" w:color="auto" w:fill="auto"/>
            <w:vAlign w:val="center"/>
            <w:hideMark/>
          </w:tcPr>
          <w:p w14:paraId="27A1B6AA" w14:textId="73127EC3"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5,632,288,008,979</w:t>
            </w:r>
          </w:p>
        </w:tc>
        <w:tc>
          <w:tcPr>
            <w:tcW w:w="2260" w:type="dxa"/>
            <w:vAlign w:val="center"/>
          </w:tcPr>
          <w:p w14:paraId="061BCBD7" w14:textId="6AA69AB5"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3,870,776,854,827</w:t>
            </w:r>
          </w:p>
        </w:tc>
      </w:tr>
      <w:tr w:rsidR="00F531D6" w:rsidRPr="00C34532" w14:paraId="45929FAC" w14:textId="7367BC09" w:rsidTr="004377BB">
        <w:trPr>
          <w:trHeight w:val="300"/>
        </w:trPr>
        <w:tc>
          <w:tcPr>
            <w:tcW w:w="3857" w:type="dxa"/>
            <w:shd w:val="clear" w:color="auto" w:fill="auto"/>
            <w:vAlign w:val="center"/>
            <w:hideMark/>
          </w:tcPr>
          <w:p w14:paraId="5F570221"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4. TSCĐ</w:t>
            </w:r>
          </w:p>
        </w:tc>
        <w:tc>
          <w:tcPr>
            <w:tcW w:w="2260" w:type="dxa"/>
            <w:vAlign w:val="center"/>
          </w:tcPr>
          <w:p w14:paraId="1A8E54B9" w14:textId="00335475"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764,345,204,814</w:t>
            </w:r>
          </w:p>
        </w:tc>
        <w:tc>
          <w:tcPr>
            <w:tcW w:w="2260" w:type="dxa"/>
            <w:shd w:val="clear" w:color="auto" w:fill="auto"/>
            <w:vAlign w:val="center"/>
            <w:hideMark/>
          </w:tcPr>
          <w:p w14:paraId="2CB7CEDC" w14:textId="3F076A85"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724,974,218,266</w:t>
            </w:r>
          </w:p>
        </w:tc>
        <w:tc>
          <w:tcPr>
            <w:tcW w:w="2260" w:type="dxa"/>
            <w:vAlign w:val="center"/>
          </w:tcPr>
          <w:p w14:paraId="6DA5A9AA" w14:textId="148A0B11"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717,459,864,599</w:t>
            </w:r>
          </w:p>
        </w:tc>
      </w:tr>
      <w:tr w:rsidR="00F531D6" w:rsidRPr="00C34532" w14:paraId="134327F0" w14:textId="076ADD77" w:rsidTr="004377BB">
        <w:trPr>
          <w:trHeight w:val="300"/>
        </w:trPr>
        <w:tc>
          <w:tcPr>
            <w:tcW w:w="3857" w:type="dxa"/>
            <w:shd w:val="clear" w:color="auto" w:fill="auto"/>
            <w:vAlign w:val="center"/>
            <w:hideMark/>
          </w:tcPr>
          <w:p w14:paraId="250463A0"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5. Hệ số tài trợ = (1)/(2) (lần)</w:t>
            </w:r>
          </w:p>
        </w:tc>
        <w:tc>
          <w:tcPr>
            <w:tcW w:w="2260" w:type="dxa"/>
            <w:vAlign w:val="center"/>
          </w:tcPr>
          <w:p w14:paraId="14ECA0DE" w14:textId="4C3BC6DF"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0.4050</w:t>
            </w:r>
          </w:p>
        </w:tc>
        <w:tc>
          <w:tcPr>
            <w:tcW w:w="2260" w:type="dxa"/>
            <w:shd w:val="clear" w:color="auto" w:fill="auto"/>
            <w:vAlign w:val="center"/>
            <w:hideMark/>
          </w:tcPr>
          <w:p w14:paraId="16A1779B" w14:textId="6154FFF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0.4554</w:t>
            </w:r>
          </w:p>
        </w:tc>
        <w:tc>
          <w:tcPr>
            <w:tcW w:w="2260" w:type="dxa"/>
            <w:vAlign w:val="center"/>
          </w:tcPr>
          <w:p w14:paraId="29BED7B4" w14:textId="0ED74194"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0.5285</w:t>
            </w:r>
          </w:p>
        </w:tc>
      </w:tr>
      <w:tr w:rsidR="00F531D6" w:rsidRPr="00C34532" w14:paraId="297C4E1B" w14:textId="1965D415" w:rsidTr="004377BB">
        <w:trPr>
          <w:trHeight w:val="600"/>
        </w:trPr>
        <w:tc>
          <w:tcPr>
            <w:tcW w:w="3857" w:type="dxa"/>
            <w:shd w:val="clear" w:color="auto" w:fill="auto"/>
            <w:vAlign w:val="center"/>
            <w:hideMark/>
          </w:tcPr>
          <w:p w14:paraId="125FE879"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6. Hệ số tự tài trợ TSDH = (1)/(3) (lần)</w:t>
            </w:r>
          </w:p>
        </w:tc>
        <w:tc>
          <w:tcPr>
            <w:tcW w:w="2260" w:type="dxa"/>
            <w:vAlign w:val="center"/>
          </w:tcPr>
          <w:p w14:paraId="4DEB9062" w14:textId="2C4945F6"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1.0581</w:t>
            </w:r>
          </w:p>
        </w:tc>
        <w:tc>
          <w:tcPr>
            <w:tcW w:w="2260" w:type="dxa"/>
            <w:shd w:val="clear" w:color="auto" w:fill="auto"/>
            <w:vAlign w:val="center"/>
            <w:hideMark/>
          </w:tcPr>
          <w:p w14:paraId="5EB1A3E8" w14:textId="54E41AF8"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1.3621</w:t>
            </w:r>
          </w:p>
        </w:tc>
        <w:tc>
          <w:tcPr>
            <w:tcW w:w="2260" w:type="dxa"/>
            <w:vAlign w:val="center"/>
          </w:tcPr>
          <w:p w14:paraId="7285EC3D" w14:textId="72FB794B"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2.0137</w:t>
            </w:r>
          </w:p>
        </w:tc>
      </w:tr>
      <w:tr w:rsidR="00F531D6" w:rsidRPr="00C34532" w14:paraId="7E18F3E1" w14:textId="16C4CC5C" w:rsidTr="004377BB">
        <w:trPr>
          <w:trHeight w:val="600"/>
        </w:trPr>
        <w:tc>
          <w:tcPr>
            <w:tcW w:w="3857" w:type="dxa"/>
            <w:shd w:val="clear" w:color="auto" w:fill="auto"/>
            <w:vAlign w:val="center"/>
            <w:hideMark/>
          </w:tcPr>
          <w:p w14:paraId="20CD34E8" w14:textId="77777777"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7. Hệ số tự tài trợ TSCĐ = (1)/(4) (lần)</w:t>
            </w:r>
          </w:p>
        </w:tc>
        <w:tc>
          <w:tcPr>
            <w:tcW w:w="2260" w:type="dxa"/>
            <w:vAlign w:val="center"/>
          </w:tcPr>
          <w:p w14:paraId="112E9BEF" w14:textId="120DB447"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6.2670</w:t>
            </w:r>
          </w:p>
        </w:tc>
        <w:tc>
          <w:tcPr>
            <w:tcW w:w="2260" w:type="dxa"/>
            <w:shd w:val="clear" w:color="auto" w:fill="auto"/>
            <w:vAlign w:val="center"/>
            <w:hideMark/>
          </w:tcPr>
          <w:p w14:paraId="161AB60E" w14:textId="610ED5D8" w:rsidR="00F531D6" w:rsidRPr="00A53FCC" w:rsidRDefault="00F531D6" w:rsidP="00C34532">
            <w:pPr>
              <w:spacing w:after="0" w:line="240" w:lineRule="auto"/>
              <w:rPr>
                <w:rFonts w:ascii="Times New Roman" w:hAnsi="Times New Roman" w:cs="Times New Roman"/>
              </w:rPr>
            </w:pPr>
            <w:r w:rsidRPr="00A53FCC">
              <w:rPr>
                <w:rFonts w:ascii="Times New Roman" w:hAnsi="Times New Roman" w:cs="Times New Roman"/>
              </w:rPr>
              <w:t>10.5817</w:t>
            </w:r>
          </w:p>
        </w:tc>
        <w:tc>
          <w:tcPr>
            <w:tcW w:w="2260" w:type="dxa"/>
            <w:vAlign w:val="center"/>
          </w:tcPr>
          <w:p w14:paraId="16E0A3FD" w14:textId="34692ABB" w:rsidR="00F531D6" w:rsidRPr="00C34532" w:rsidRDefault="00F531D6" w:rsidP="00C34532">
            <w:pPr>
              <w:spacing w:after="0" w:line="240" w:lineRule="auto"/>
              <w:rPr>
                <w:rFonts w:ascii="Times New Roman" w:hAnsi="Times New Roman" w:cs="Times New Roman"/>
              </w:rPr>
            </w:pPr>
            <w:r w:rsidRPr="00A53FCC">
              <w:rPr>
                <w:rFonts w:ascii="Times New Roman" w:hAnsi="Times New Roman" w:cs="Times New Roman"/>
              </w:rPr>
              <w:t>10.8643</w:t>
            </w:r>
          </w:p>
        </w:tc>
      </w:tr>
    </w:tbl>
    <w:p w14:paraId="7E2A53D8" w14:textId="5FB8D264" w:rsidR="00F531D6" w:rsidRPr="00C34532" w:rsidRDefault="00F531D6" w:rsidP="00C34532">
      <w:pPr>
        <w:pStyle w:val="ListParagraph"/>
        <w:spacing w:line="276" w:lineRule="auto"/>
        <w:ind w:left="450" w:firstLine="270"/>
        <w:rPr>
          <w:rFonts w:ascii="Times New Roman" w:hAnsi="Times New Roman" w:cs="Times New Roman"/>
          <w:sz w:val="26"/>
          <w:szCs w:val="26"/>
        </w:rPr>
      </w:pPr>
      <w:r w:rsidRPr="00C34532">
        <w:rPr>
          <w:rFonts w:ascii="Times New Roman" w:hAnsi="Times New Roman" w:cs="Times New Roman"/>
          <w:sz w:val="26"/>
          <w:szCs w:val="26"/>
        </w:rPr>
        <w:lastRenderedPageBreak/>
        <w:t>Bảng 1.1 cho thấy một xu hướng tích cực về mức độ độc lập tài chính của Công ty qua các năm 2020, 2021 và 2022. Cụ thể, hệ số tự tài trợ của công ty đã tăng từ 0.4050 (năm 2020) lên đến 0.5285 (năm 2022). Điều này phản ánh khả năng của công ty tự bảo đảm về mặt tài chính và mức độ độc lập tài chính.</w:t>
      </w:r>
    </w:p>
    <w:p w14:paraId="6FF8A1BF" w14:textId="0A3EF5F9" w:rsidR="00F531D6" w:rsidRPr="00C34532" w:rsidRDefault="00F531D6" w:rsidP="00C34532">
      <w:pPr>
        <w:pStyle w:val="ListParagraph"/>
        <w:spacing w:line="276" w:lineRule="auto"/>
        <w:ind w:left="450" w:firstLine="270"/>
        <w:rPr>
          <w:rFonts w:ascii="Times New Roman" w:hAnsi="Times New Roman" w:cs="Times New Roman"/>
          <w:sz w:val="26"/>
          <w:szCs w:val="26"/>
        </w:rPr>
      </w:pPr>
      <w:r w:rsidRPr="00C34532">
        <w:rPr>
          <w:rFonts w:ascii="Times New Roman" w:hAnsi="Times New Roman" w:cs="Times New Roman"/>
          <w:sz w:val="26"/>
          <w:szCs w:val="26"/>
        </w:rPr>
        <w:t>Hệ số tự tài trợ TSDH cũng tăng đáng kể từ 1.0581 (năm 2020) lên đến 2.0137 (năm 2022). Điều này có nghĩa là vốn chủ sở hữu của công ty đã tăng và có thể đáp ứng tốt hơn đối với tài sản dài hạn, góp phần vào khả năng tự bảo đảm tài chính.</w:t>
      </w:r>
    </w:p>
    <w:p w14:paraId="30620F54" w14:textId="77777777" w:rsidR="00F531D6" w:rsidRPr="00C34532" w:rsidRDefault="00F531D6" w:rsidP="00C34532">
      <w:pPr>
        <w:pStyle w:val="ListParagraph"/>
        <w:spacing w:line="276" w:lineRule="auto"/>
        <w:ind w:left="450" w:firstLine="270"/>
        <w:rPr>
          <w:rFonts w:ascii="Times New Roman" w:hAnsi="Times New Roman" w:cs="Times New Roman"/>
          <w:sz w:val="26"/>
          <w:szCs w:val="26"/>
        </w:rPr>
      </w:pPr>
      <w:r w:rsidRPr="00C34532">
        <w:rPr>
          <w:rFonts w:ascii="Times New Roman" w:hAnsi="Times New Roman" w:cs="Times New Roman"/>
          <w:sz w:val="26"/>
          <w:szCs w:val="26"/>
        </w:rPr>
        <w:t>Tương tự, hệ số tự tài trợ TSCĐ cũng có sự tăng trưởng đáng kể từ 6.2670 (năm 2020) lên đến 10.8643 (năm 2022), cho thấy khả năng của công ty đáp ứng nhu cầu về tài sản cố định bằng vốn chủ sở hữu.</w:t>
      </w:r>
    </w:p>
    <w:p w14:paraId="44512996" w14:textId="550AEBA1" w:rsidR="00F531D6" w:rsidRPr="00C34532" w:rsidRDefault="00F531D6" w:rsidP="00C34532">
      <w:pPr>
        <w:pStyle w:val="ListParagraph"/>
        <w:spacing w:line="276" w:lineRule="auto"/>
        <w:ind w:left="450" w:firstLine="270"/>
        <w:rPr>
          <w:rFonts w:ascii="Times New Roman" w:hAnsi="Times New Roman" w:cs="Times New Roman"/>
          <w:sz w:val="26"/>
          <w:szCs w:val="26"/>
        </w:rPr>
      </w:pPr>
      <w:r w:rsidRPr="00C34532">
        <w:rPr>
          <w:rFonts w:ascii="Times New Roman" w:hAnsi="Times New Roman" w:cs="Times New Roman"/>
          <w:sz w:val="26"/>
          <w:szCs w:val="26"/>
        </w:rPr>
        <w:t>Những sự tăng trưởng trong các chỉ tiêu tài chính cho thấy công ty đang có sự cải thiện trong khả năng tự đảm bảo về mặt tài chính và tăng cường mức độ độc lập về tài chính, tạo điều kiện thuận lợi để vượt qua các thách thức và bảo đảm tài chính trong tương lai.</w:t>
      </w:r>
    </w:p>
    <w:p w14:paraId="21BAFA67" w14:textId="77777777" w:rsidR="00F531D6" w:rsidRPr="00C34532" w:rsidRDefault="00F531D6" w:rsidP="00C34532">
      <w:pPr>
        <w:pStyle w:val="ListParagraph"/>
        <w:spacing w:line="276" w:lineRule="auto"/>
        <w:ind w:left="450"/>
        <w:rPr>
          <w:rFonts w:ascii="Times New Roman" w:hAnsi="Times New Roman" w:cs="Times New Roman"/>
          <w:sz w:val="26"/>
          <w:szCs w:val="26"/>
        </w:rPr>
      </w:pPr>
    </w:p>
    <w:p w14:paraId="2E5AE0C9" w14:textId="7E7E68AB" w:rsidR="00F531D6" w:rsidRPr="00C34532" w:rsidRDefault="00F531D6" w:rsidP="00C34532">
      <w:pPr>
        <w:pStyle w:val="ListParagraph"/>
        <w:numPr>
          <w:ilvl w:val="0"/>
          <w:numId w:val="3"/>
        </w:numPr>
        <w:spacing w:line="360" w:lineRule="auto"/>
        <w:rPr>
          <w:rFonts w:ascii="Times New Roman" w:hAnsi="Times New Roman" w:cs="Times New Roman"/>
          <w:b/>
          <w:bCs/>
          <w:sz w:val="26"/>
          <w:szCs w:val="26"/>
        </w:rPr>
      </w:pPr>
      <w:r w:rsidRPr="00C34532">
        <w:rPr>
          <w:rFonts w:ascii="Times New Roman" w:hAnsi="Times New Roman" w:cs="Times New Roman"/>
          <w:b/>
          <w:bCs/>
          <w:sz w:val="26"/>
          <w:szCs w:val="26"/>
        </w:rPr>
        <w:t>Phân tích cấu trúc tài chính và tình hình bảo đảm nguồn vốn cho hoạt động kinh doanh</w:t>
      </w:r>
    </w:p>
    <w:p w14:paraId="0B52034E" w14:textId="629B7381" w:rsidR="00F531D6" w:rsidRPr="00C34532" w:rsidRDefault="00F531D6" w:rsidP="00C34532">
      <w:pPr>
        <w:pStyle w:val="ListParagraph"/>
        <w:numPr>
          <w:ilvl w:val="1"/>
          <w:numId w:val="3"/>
        </w:numPr>
        <w:spacing w:line="360" w:lineRule="auto"/>
        <w:rPr>
          <w:rFonts w:ascii="Times New Roman" w:hAnsi="Times New Roman" w:cs="Times New Roman"/>
          <w:sz w:val="26"/>
          <w:szCs w:val="26"/>
        </w:rPr>
      </w:pPr>
      <w:r w:rsidRPr="00C34532">
        <w:rPr>
          <w:rFonts w:ascii="Times New Roman" w:hAnsi="Times New Roman" w:cs="Times New Roman"/>
          <w:sz w:val="26"/>
          <w:szCs w:val="26"/>
        </w:rPr>
        <w:t>Phân tích cơ cấu tài sản</w:t>
      </w:r>
    </w:p>
    <w:p w14:paraId="25A3F4C1" w14:textId="7A58F7D9" w:rsidR="009C769D" w:rsidRPr="00C34532" w:rsidRDefault="009C769D" w:rsidP="00C34532">
      <w:pPr>
        <w:pStyle w:val="ListParagraph"/>
        <w:spacing w:line="360" w:lineRule="auto"/>
        <w:ind w:left="450"/>
        <w:rPr>
          <w:rFonts w:ascii="Times New Roman" w:hAnsi="Times New Roman" w:cs="Times New Roman"/>
          <w:sz w:val="26"/>
          <w:szCs w:val="26"/>
        </w:rPr>
      </w:pPr>
      <w:r w:rsidRPr="00C34532">
        <w:rPr>
          <w:rFonts w:ascii="Times New Roman" w:hAnsi="Times New Roman" w:cs="Times New Roman"/>
          <w:sz w:val="26"/>
          <w:szCs w:val="26"/>
        </w:rPr>
        <w:t>Từ số liệu BCTC của Tổng Công ty cổ phần Đầu tư Phát triển Xây dựng -  DIC GROUP các năm 2020, 2021 và 2022, tổng hợp trên bảng số 1.2 dưới đây:</w:t>
      </w:r>
    </w:p>
    <w:p w14:paraId="6D55BDFF" w14:textId="77777777" w:rsidR="009C769D" w:rsidRPr="00C34532" w:rsidRDefault="009C769D" w:rsidP="00C34532">
      <w:pPr>
        <w:pStyle w:val="ListParagraph"/>
        <w:spacing w:line="360" w:lineRule="auto"/>
        <w:ind w:left="450"/>
        <w:jc w:val="center"/>
        <w:rPr>
          <w:rFonts w:ascii="Times New Roman" w:hAnsi="Times New Roman" w:cs="Times New Roman"/>
          <w:sz w:val="26"/>
          <w:szCs w:val="26"/>
        </w:rPr>
      </w:pPr>
    </w:p>
    <w:p w14:paraId="00230C1F" w14:textId="77777777" w:rsidR="00C34532" w:rsidRDefault="00C34532" w:rsidP="00C34532">
      <w:pPr>
        <w:pStyle w:val="ListParagraph"/>
        <w:spacing w:line="360" w:lineRule="auto"/>
        <w:ind w:left="450"/>
        <w:jc w:val="center"/>
        <w:rPr>
          <w:rFonts w:ascii="Times New Roman" w:hAnsi="Times New Roman" w:cs="Times New Roman"/>
          <w:sz w:val="26"/>
          <w:szCs w:val="26"/>
        </w:rPr>
      </w:pPr>
    </w:p>
    <w:p w14:paraId="70057FBB" w14:textId="77777777" w:rsidR="00C34532" w:rsidRDefault="00C34532" w:rsidP="00C34532">
      <w:pPr>
        <w:pStyle w:val="ListParagraph"/>
        <w:spacing w:line="360" w:lineRule="auto"/>
        <w:ind w:left="450"/>
        <w:jc w:val="center"/>
        <w:rPr>
          <w:rFonts w:ascii="Times New Roman" w:hAnsi="Times New Roman" w:cs="Times New Roman"/>
          <w:sz w:val="26"/>
          <w:szCs w:val="26"/>
        </w:rPr>
      </w:pPr>
    </w:p>
    <w:p w14:paraId="53CE7703" w14:textId="77777777" w:rsidR="00C34532" w:rsidRDefault="00C34532" w:rsidP="00C34532">
      <w:pPr>
        <w:pStyle w:val="ListParagraph"/>
        <w:spacing w:line="360" w:lineRule="auto"/>
        <w:ind w:left="450"/>
        <w:jc w:val="center"/>
        <w:rPr>
          <w:rFonts w:ascii="Times New Roman" w:hAnsi="Times New Roman" w:cs="Times New Roman"/>
          <w:sz w:val="26"/>
          <w:szCs w:val="26"/>
        </w:rPr>
      </w:pPr>
    </w:p>
    <w:p w14:paraId="6EE708BD" w14:textId="77777777" w:rsidR="00C34532" w:rsidRDefault="00C34532" w:rsidP="00C34532">
      <w:pPr>
        <w:pStyle w:val="ListParagraph"/>
        <w:spacing w:line="360" w:lineRule="auto"/>
        <w:ind w:left="450"/>
        <w:jc w:val="center"/>
        <w:rPr>
          <w:rFonts w:ascii="Times New Roman" w:hAnsi="Times New Roman" w:cs="Times New Roman"/>
          <w:sz w:val="26"/>
          <w:szCs w:val="26"/>
        </w:rPr>
      </w:pPr>
    </w:p>
    <w:p w14:paraId="363172E6" w14:textId="77777777" w:rsidR="00C34532" w:rsidRPr="00C34532" w:rsidRDefault="00C34532" w:rsidP="00C34532">
      <w:pPr>
        <w:pStyle w:val="ListParagraph"/>
        <w:spacing w:line="360" w:lineRule="auto"/>
        <w:ind w:left="450"/>
        <w:jc w:val="center"/>
        <w:rPr>
          <w:rFonts w:ascii="Times New Roman" w:hAnsi="Times New Roman" w:cs="Times New Roman"/>
          <w:sz w:val="26"/>
          <w:szCs w:val="26"/>
        </w:rPr>
      </w:pPr>
    </w:p>
    <w:p w14:paraId="5EB132E0" w14:textId="4EF99F07" w:rsidR="00C34532" w:rsidRDefault="00C34532" w:rsidP="00C34532">
      <w:pPr>
        <w:jc w:val="center"/>
        <w:rPr>
          <w:rFonts w:ascii="Times New Roman" w:hAnsi="Times New Roman" w:cs="Times New Roman"/>
        </w:rPr>
      </w:pPr>
      <w:r w:rsidRPr="00C34532">
        <w:rPr>
          <w:rFonts w:ascii="Times New Roman" w:hAnsi="Times New Roman" w:cs="Times New Roman"/>
        </w:rPr>
        <w:br w:type="page"/>
      </w:r>
    </w:p>
    <w:p w14:paraId="26D269B7" w14:textId="11A39D87" w:rsidR="00C34532" w:rsidRPr="00C34532" w:rsidRDefault="00C34532" w:rsidP="00C34532">
      <w:pPr>
        <w:pStyle w:val="ListParagraph"/>
        <w:spacing w:line="276" w:lineRule="auto"/>
        <w:ind w:left="450"/>
        <w:jc w:val="center"/>
        <w:rPr>
          <w:rFonts w:ascii="Times New Roman" w:hAnsi="Times New Roman" w:cs="Times New Roman"/>
          <w:b/>
          <w:bCs/>
          <w:sz w:val="26"/>
          <w:szCs w:val="26"/>
        </w:rPr>
      </w:pPr>
      <w:r w:rsidRPr="00C34532">
        <w:rPr>
          <w:rFonts w:ascii="Times New Roman" w:hAnsi="Times New Roman" w:cs="Times New Roman"/>
          <w:b/>
          <w:bCs/>
          <w:sz w:val="26"/>
          <w:szCs w:val="26"/>
        </w:rPr>
        <w:lastRenderedPageBreak/>
        <w:t xml:space="preserve">Bảng </w:t>
      </w:r>
      <w:r>
        <w:rPr>
          <w:rFonts w:ascii="Times New Roman" w:hAnsi="Times New Roman" w:cs="Times New Roman"/>
          <w:b/>
          <w:bCs/>
          <w:sz w:val="26"/>
          <w:szCs w:val="26"/>
        </w:rPr>
        <w:t>1.2</w:t>
      </w:r>
      <w:r w:rsidRPr="00C34532">
        <w:rPr>
          <w:rFonts w:ascii="Times New Roman" w:hAnsi="Times New Roman" w:cs="Times New Roman"/>
          <w:b/>
          <w:bCs/>
          <w:sz w:val="26"/>
          <w:szCs w:val="26"/>
        </w:rPr>
        <w:t xml:space="preserve">. Phân tích cơ cấu tài sản của </w:t>
      </w:r>
      <w:r w:rsidR="005E3BFB">
        <w:rPr>
          <w:rFonts w:ascii="Times New Roman" w:hAnsi="Times New Roman" w:cs="Times New Roman"/>
          <w:b/>
          <w:bCs/>
          <w:sz w:val="26"/>
          <w:szCs w:val="26"/>
        </w:rPr>
        <w:t>Tập đoàn DIC Group</w:t>
      </w:r>
      <w:r w:rsidRPr="00C34532">
        <w:rPr>
          <w:rFonts w:ascii="Times New Roman" w:hAnsi="Times New Roman" w:cs="Times New Roman"/>
          <w:b/>
          <w:bCs/>
          <w:sz w:val="26"/>
          <w:szCs w:val="26"/>
        </w:rPr>
        <w:t xml:space="preserve"> giai đoạn 20</w:t>
      </w:r>
      <w:r w:rsidR="004C2405">
        <w:rPr>
          <w:rFonts w:ascii="Times New Roman" w:hAnsi="Times New Roman" w:cs="Times New Roman"/>
          <w:b/>
          <w:bCs/>
          <w:sz w:val="26"/>
          <w:szCs w:val="26"/>
        </w:rPr>
        <w:t>20</w:t>
      </w:r>
      <w:r w:rsidRPr="00C34532">
        <w:rPr>
          <w:rFonts w:ascii="Times New Roman" w:hAnsi="Times New Roman" w:cs="Times New Roman"/>
          <w:b/>
          <w:bCs/>
          <w:sz w:val="26"/>
          <w:szCs w:val="26"/>
        </w:rPr>
        <w:t>-20</w:t>
      </w:r>
      <w:r w:rsidR="004C2405">
        <w:rPr>
          <w:rFonts w:ascii="Times New Roman" w:hAnsi="Times New Roman" w:cs="Times New Roman"/>
          <w:b/>
          <w:bCs/>
          <w:sz w:val="26"/>
          <w:szCs w:val="26"/>
        </w:rPr>
        <w:t>22</w:t>
      </w:r>
    </w:p>
    <w:tbl>
      <w:tblPr>
        <w:tblW w:w="16189" w:type="dxa"/>
        <w:jc w:val="center"/>
        <w:tblLayout w:type="fixed"/>
        <w:tblLook w:val="04A0" w:firstRow="1" w:lastRow="0" w:firstColumn="1" w:lastColumn="0" w:noHBand="0" w:noVBand="1"/>
      </w:tblPr>
      <w:tblGrid>
        <w:gridCol w:w="2335"/>
        <w:gridCol w:w="1710"/>
        <w:gridCol w:w="990"/>
        <w:gridCol w:w="1850"/>
        <w:gridCol w:w="967"/>
        <w:gridCol w:w="1976"/>
        <w:gridCol w:w="931"/>
        <w:gridCol w:w="1893"/>
        <w:gridCol w:w="725"/>
        <w:gridCol w:w="2013"/>
        <w:gridCol w:w="789"/>
        <w:gridCol w:w="10"/>
      </w:tblGrid>
      <w:tr w:rsidR="00307842" w:rsidRPr="00C34532" w14:paraId="4EAC5F51" w14:textId="77777777" w:rsidTr="00307842">
        <w:trPr>
          <w:gridAfter w:val="1"/>
          <w:wAfter w:w="10" w:type="dxa"/>
          <w:trHeight w:val="300"/>
          <w:jc w:val="center"/>
        </w:trPr>
        <w:tc>
          <w:tcPr>
            <w:tcW w:w="23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97DC35"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Chỉ tiêu</w:t>
            </w:r>
          </w:p>
        </w:tc>
        <w:tc>
          <w:tcPr>
            <w:tcW w:w="27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7918D" w14:textId="54AC249C"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202</w:t>
            </w:r>
            <w:r>
              <w:rPr>
                <w:rFonts w:ascii="Times New Roman" w:eastAsia="Times New Roman" w:hAnsi="Times New Roman" w:cs="Times New Roman"/>
                <w:b/>
                <w:bCs/>
                <w:color w:val="000000"/>
                <w:kern w:val="0"/>
                <w:sz w:val="24"/>
                <w:szCs w:val="24"/>
                <w:lang w:bidi="th-TH"/>
                <w14:ligatures w14:val="none"/>
              </w:rPr>
              <w:t>0</w:t>
            </w:r>
          </w:p>
        </w:tc>
        <w:tc>
          <w:tcPr>
            <w:tcW w:w="28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C7C62F"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2021</w:t>
            </w:r>
          </w:p>
        </w:tc>
        <w:tc>
          <w:tcPr>
            <w:tcW w:w="29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ACB92" w14:textId="4798D2A1"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202</w:t>
            </w:r>
            <w:r>
              <w:rPr>
                <w:rFonts w:ascii="Times New Roman" w:eastAsia="Times New Roman" w:hAnsi="Times New Roman" w:cs="Times New Roman"/>
                <w:b/>
                <w:bCs/>
                <w:color w:val="000000"/>
                <w:kern w:val="0"/>
                <w:sz w:val="24"/>
                <w:szCs w:val="24"/>
                <w:lang w:bidi="th-TH"/>
                <w14:ligatures w14:val="none"/>
              </w:rPr>
              <w:t>2</w:t>
            </w:r>
          </w:p>
        </w:tc>
        <w:tc>
          <w:tcPr>
            <w:tcW w:w="54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030795B" w14:textId="344E4123"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Cuối năm 2022 so với các năm</w:t>
            </w:r>
          </w:p>
        </w:tc>
      </w:tr>
      <w:tr w:rsidR="00307842" w:rsidRPr="00C34532" w14:paraId="170BFA59" w14:textId="77777777" w:rsidTr="00307842">
        <w:trPr>
          <w:gridAfter w:val="1"/>
          <w:wAfter w:w="10" w:type="dxa"/>
          <w:trHeight w:val="300"/>
          <w:jc w:val="center"/>
        </w:trPr>
        <w:tc>
          <w:tcPr>
            <w:tcW w:w="2335" w:type="dxa"/>
            <w:vMerge/>
            <w:tcBorders>
              <w:top w:val="single" w:sz="4" w:space="0" w:color="auto"/>
              <w:left w:val="single" w:sz="4" w:space="0" w:color="auto"/>
              <w:bottom w:val="single" w:sz="4" w:space="0" w:color="auto"/>
              <w:right w:val="single" w:sz="4" w:space="0" w:color="auto"/>
            </w:tcBorders>
            <w:vAlign w:val="center"/>
            <w:hideMark/>
          </w:tcPr>
          <w:p w14:paraId="45D1764D"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p>
        </w:tc>
        <w:tc>
          <w:tcPr>
            <w:tcW w:w="2700" w:type="dxa"/>
            <w:gridSpan w:val="2"/>
            <w:vMerge/>
            <w:tcBorders>
              <w:top w:val="single" w:sz="4" w:space="0" w:color="auto"/>
              <w:left w:val="single" w:sz="4" w:space="0" w:color="auto"/>
              <w:bottom w:val="single" w:sz="4" w:space="0" w:color="auto"/>
              <w:right w:val="single" w:sz="4" w:space="0" w:color="auto"/>
            </w:tcBorders>
            <w:vAlign w:val="center"/>
            <w:hideMark/>
          </w:tcPr>
          <w:p w14:paraId="0FB43394" w14:textId="09BD9CCE"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p>
        </w:tc>
        <w:tc>
          <w:tcPr>
            <w:tcW w:w="2817" w:type="dxa"/>
            <w:gridSpan w:val="2"/>
            <w:vMerge/>
            <w:tcBorders>
              <w:top w:val="single" w:sz="4" w:space="0" w:color="auto"/>
              <w:left w:val="single" w:sz="4" w:space="0" w:color="auto"/>
              <w:bottom w:val="single" w:sz="4" w:space="0" w:color="auto"/>
              <w:right w:val="single" w:sz="4" w:space="0" w:color="auto"/>
            </w:tcBorders>
            <w:vAlign w:val="center"/>
            <w:hideMark/>
          </w:tcPr>
          <w:p w14:paraId="0F2B72CF"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p>
        </w:tc>
        <w:tc>
          <w:tcPr>
            <w:tcW w:w="2907" w:type="dxa"/>
            <w:gridSpan w:val="2"/>
            <w:vMerge/>
            <w:tcBorders>
              <w:top w:val="single" w:sz="4" w:space="0" w:color="auto"/>
              <w:left w:val="single" w:sz="4" w:space="0" w:color="auto"/>
              <w:bottom w:val="single" w:sz="4" w:space="0" w:color="auto"/>
              <w:right w:val="single" w:sz="4" w:space="0" w:color="auto"/>
            </w:tcBorders>
            <w:vAlign w:val="center"/>
            <w:hideMark/>
          </w:tcPr>
          <w:p w14:paraId="10E031F7"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p>
        </w:tc>
        <w:tc>
          <w:tcPr>
            <w:tcW w:w="261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E97E24"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2020</w:t>
            </w:r>
          </w:p>
        </w:tc>
        <w:tc>
          <w:tcPr>
            <w:tcW w:w="28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8E167" w14:textId="77777777" w:rsidR="00307842" w:rsidRPr="00C34532" w:rsidRDefault="00307842" w:rsidP="00C3453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2021</w:t>
            </w:r>
          </w:p>
        </w:tc>
      </w:tr>
      <w:tr w:rsidR="00307842" w:rsidRPr="00C34532" w14:paraId="0F4185C9" w14:textId="77777777" w:rsidTr="00307842">
        <w:trPr>
          <w:trHeight w:val="300"/>
          <w:jc w:val="center"/>
        </w:trPr>
        <w:tc>
          <w:tcPr>
            <w:tcW w:w="2335" w:type="dxa"/>
            <w:vMerge/>
            <w:tcBorders>
              <w:top w:val="single" w:sz="4" w:space="0" w:color="auto"/>
              <w:left w:val="single" w:sz="4" w:space="0" w:color="auto"/>
              <w:bottom w:val="single" w:sz="4" w:space="0" w:color="auto"/>
              <w:right w:val="single" w:sz="4" w:space="0" w:color="auto"/>
            </w:tcBorders>
            <w:vAlign w:val="center"/>
            <w:hideMark/>
          </w:tcPr>
          <w:p w14:paraId="418FD836"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p>
        </w:tc>
        <w:tc>
          <w:tcPr>
            <w:tcW w:w="1710" w:type="dxa"/>
            <w:tcBorders>
              <w:top w:val="nil"/>
              <w:left w:val="nil"/>
              <w:bottom w:val="single" w:sz="4" w:space="0" w:color="auto"/>
              <w:right w:val="single" w:sz="4" w:space="0" w:color="auto"/>
            </w:tcBorders>
            <w:shd w:val="clear" w:color="auto" w:fill="auto"/>
            <w:noWrap/>
            <w:vAlign w:val="center"/>
          </w:tcPr>
          <w:p w14:paraId="46666C14" w14:textId="5641488B"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Giá trị</w:t>
            </w:r>
          </w:p>
        </w:tc>
        <w:tc>
          <w:tcPr>
            <w:tcW w:w="990" w:type="dxa"/>
            <w:tcBorders>
              <w:top w:val="nil"/>
              <w:left w:val="nil"/>
              <w:bottom w:val="single" w:sz="4" w:space="0" w:color="auto"/>
              <w:right w:val="single" w:sz="4" w:space="0" w:color="auto"/>
            </w:tcBorders>
            <w:shd w:val="clear" w:color="auto" w:fill="auto"/>
            <w:vAlign w:val="center"/>
            <w:hideMark/>
          </w:tcPr>
          <w:p w14:paraId="624D1AA6" w14:textId="2F1DB386"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c>
          <w:tcPr>
            <w:tcW w:w="1850" w:type="dxa"/>
            <w:tcBorders>
              <w:top w:val="nil"/>
              <w:left w:val="nil"/>
              <w:bottom w:val="single" w:sz="4" w:space="0" w:color="auto"/>
              <w:right w:val="single" w:sz="4" w:space="0" w:color="auto"/>
            </w:tcBorders>
            <w:shd w:val="clear" w:color="auto" w:fill="auto"/>
            <w:noWrap/>
            <w:vAlign w:val="center"/>
            <w:hideMark/>
          </w:tcPr>
          <w:p w14:paraId="430434E9" w14:textId="0622A0F1"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Giá trị</w:t>
            </w:r>
          </w:p>
        </w:tc>
        <w:tc>
          <w:tcPr>
            <w:tcW w:w="967" w:type="dxa"/>
            <w:tcBorders>
              <w:top w:val="nil"/>
              <w:left w:val="nil"/>
              <w:bottom w:val="single" w:sz="4" w:space="0" w:color="auto"/>
              <w:right w:val="single" w:sz="4" w:space="0" w:color="auto"/>
            </w:tcBorders>
            <w:shd w:val="clear" w:color="auto" w:fill="auto"/>
            <w:vAlign w:val="center"/>
            <w:hideMark/>
          </w:tcPr>
          <w:p w14:paraId="136EA9FC"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c>
          <w:tcPr>
            <w:tcW w:w="1976" w:type="dxa"/>
            <w:tcBorders>
              <w:top w:val="nil"/>
              <w:left w:val="nil"/>
              <w:bottom w:val="single" w:sz="4" w:space="0" w:color="auto"/>
              <w:right w:val="single" w:sz="4" w:space="0" w:color="auto"/>
            </w:tcBorders>
            <w:shd w:val="clear" w:color="auto" w:fill="auto"/>
            <w:noWrap/>
            <w:vAlign w:val="center"/>
            <w:hideMark/>
          </w:tcPr>
          <w:p w14:paraId="177BEC23" w14:textId="329D3A3D"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Giá trị</w:t>
            </w:r>
          </w:p>
        </w:tc>
        <w:tc>
          <w:tcPr>
            <w:tcW w:w="931" w:type="dxa"/>
            <w:tcBorders>
              <w:top w:val="nil"/>
              <w:left w:val="nil"/>
              <w:bottom w:val="single" w:sz="4" w:space="0" w:color="auto"/>
              <w:right w:val="single" w:sz="4" w:space="0" w:color="auto"/>
            </w:tcBorders>
            <w:shd w:val="clear" w:color="auto" w:fill="auto"/>
            <w:vAlign w:val="center"/>
            <w:hideMark/>
          </w:tcPr>
          <w:p w14:paraId="081EA80D" w14:textId="2FB45211"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c>
          <w:tcPr>
            <w:tcW w:w="1893" w:type="dxa"/>
            <w:tcBorders>
              <w:top w:val="nil"/>
              <w:left w:val="nil"/>
              <w:bottom w:val="single" w:sz="4" w:space="0" w:color="auto"/>
              <w:right w:val="single" w:sz="4" w:space="0" w:color="auto"/>
            </w:tcBorders>
            <w:shd w:val="clear" w:color="auto" w:fill="auto"/>
            <w:noWrap/>
            <w:vAlign w:val="center"/>
            <w:hideMark/>
          </w:tcPr>
          <w:p w14:paraId="1B21AA14"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c>
          <w:tcPr>
            <w:tcW w:w="725" w:type="dxa"/>
            <w:tcBorders>
              <w:top w:val="nil"/>
              <w:left w:val="nil"/>
              <w:bottom w:val="single" w:sz="4" w:space="0" w:color="auto"/>
              <w:right w:val="single" w:sz="4" w:space="0" w:color="auto"/>
            </w:tcBorders>
            <w:shd w:val="clear" w:color="auto" w:fill="auto"/>
            <w:vAlign w:val="center"/>
            <w:hideMark/>
          </w:tcPr>
          <w:p w14:paraId="7586934F" w14:textId="71A455F8"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c>
          <w:tcPr>
            <w:tcW w:w="2013" w:type="dxa"/>
            <w:tcBorders>
              <w:top w:val="nil"/>
              <w:left w:val="nil"/>
              <w:bottom w:val="single" w:sz="4" w:space="0" w:color="auto"/>
              <w:right w:val="single" w:sz="4" w:space="0" w:color="auto"/>
            </w:tcBorders>
            <w:shd w:val="clear" w:color="auto" w:fill="auto"/>
            <w:noWrap/>
            <w:vAlign w:val="center"/>
            <w:hideMark/>
          </w:tcPr>
          <w:p w14:paraId="46CE39EE"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c>
          <w:tcPr>
            <w:tcW w:w="799" w:type="dxa"/>
            <w:gridSpan w:val="2"/>
            <w:tcBorders>
              <w:top w:val="nil"/>
              <w:left w:val="nil"/>
              <w:bottom w:val="single" w:sz="4" w:space="0" w:color="auto"/>
              <w:right w:val="single" w:sz="4" w:space="0" w:color="auto"/>
            </w:tcBorders>
            <w:shd w:val="clear" w:color="auto" w:fill="auto"/>
            <w:vAlign w:val="center"/>
            <w:hideMark/>
          </w:tcPr>
          <w:p w14:paraId="70913F97" w14:textId="48830CB8" w:rsidR="00307842" w:rsidRPr="00C34532" w:rsidRDefault="00307842" w:rsidP="00307842">
            <w:pPr>
              <w:spacing w:after="0" w:line="240" w:lineRule="auto"/>
              <w:jc w:val="center"/>
              <w:rPr>
                <w:rFonts w:ascii="Times New Roman" w:eastAsia="Times New Roman" w:hAnsi="Times New Roman" w:cs="Times New Roman"/>
                <w:b/>
                <w:bCs/>
                <w:color w:val="000000"/>
                <w:kern w:val="0"/>
                <w:sz w:val="24"/>
                <w:szCs w:val="24"/>
                <w:lang w:bidi="th-TH"/>
                <w14:ligatures w14:val="none"/>
              </w:rPr>
            </w:pPr>
            <w:r w:rsidRPr="00C34532">
              <w:rPr>
                <w:rFonts w:ascii="Times New Roman" w:eastAsia="Times New Roman" w:hAnsi="Times New Roman" w:cs="Times New Roman"/>
                <w:b/>
                <w:bCs/>
                <w:color w:val="000000"/>
                <w:kern w:val="0"/>
                <w:sz w:val="24"/>
                <w:szCs w:val="24"/>
                <w:lang w:bidi="th-TH"/>
                <w14:ligatures w14:val="none"/>
              </w:rPr>
              <w:t>%</w:t>
            </w:r>
          </w:p>
        </w:tc>
      </w:tr>
      <w:tr w:rsidR="00307842" w:rsidRPr="00C34532" w14:paraId="3A17A985" w14:textId="77777777" w:rsidTr="00307842">
        <w:trPr>
          <w:trHeight w:val="3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FB6224B"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A- TÀI SẢN NGẮN HẠN</w:t>
            </w:r>
          </w:p>
        </w:tc>
        <w:tc>
          <w:tcPr>
            <w:tcW w:w="1710" w:type="dxa"/>
            <w:tcBorders>
              <w:top w:val="nil"/>
              <w:left w:val="nil"/>
              <w:bottom w:val="single" w:sz="4" w:space="0" w:color="auto"/>
              <w:right w:val="single" w:sz="4" w:space="0" w:color="auto"/>
            </w:tcBorders>
            <w:shd w:val="clear" w:color="auto" w:fill="auto"/>
            <w:noWrap/>
            <w:vAlign w:val="center"/>
          </w:tcPr>
          <w:p w14:paraId="694E92E0" w14:textId="2188E5FF"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7,299,152,349,851</w:t>
            </w:r>
          </w:p>
        </w:tc>
        <w:tc>
          <w:tcPr>
            <w:tcW w:w="990" w:type="dxa"/>
            <w:tcBorders>
              <w:top w:val="nil"/>
              <w:left w:val="nil"/>
              <w:bottom w:val="single" w:sz="4" w:space="0" w:color="auto"/>
              <w:right w:val="single" w:sz="4" w:space="0" w:color="auto"/>
            </w:tcBorders>
            <w:shd w:val="clear" w:color="auto" w:fill="auto"/>
            <w:vAlign w:val="center"/>
            <w:hideMark/>
          </w:tcPr>
          <w:p w14:paraId="06659058" w14:textId="51DE1840"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61.72%</w:t>
            </w:r>
          </w:p>
        </w:tc>
        <w:tc>
          <w:tcPr>
            <w:tcW w:w="1850" w:type="dxa"/>
            <w:tcBorders>
              <w:top w:val="nil"/>
              <w:left w:val="nil"/>
              <w:bottom w:val="single" w:sz="4" w:space="0" w:color="auto"/>
              <w:right w:val="single" w:sz="4" w:space="0" w:color="auto"/>
            </w:tcBorders>
            <w:shd w:val="clear" w:color="auto" w:fill="auto"/>
            <w:noWrap/>
            <w:vAlign w:val="center"/>
            <w:hideMark/>
          </w:tcPr>
          <w:p w14:paraId="015F21D7" w14:textId="40E4B82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11,214,616,631,891</w:t>
            </w:r>
          </w:p>
        </w:tc>
        <w:tc>
          <w:tcPr>
            <w:tcW w:w="967" w:type="dxa"/>
            <w:tcBorders>
              <w:top w:val="nil"/>
              <w:left w:val="nil"/>
              <w:bottom w:val="single" w:sz="4" w:space="0" w:color="auto"/>
              <w:right w:val="single" w:sz="4" w:space="0" w:color="auto"/>
            </w:tcBorders>
            <w:shd w:val="clear" w:color="auto" w:fill="auto"/>
            <w:vAlign w:val="center"/>
            <w:hideMark/>
          </w:tcPr>
          <w:p w14:paraId="39A1EC7A"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66.57%</w:t>
            </w:r>
          </w:p>
        </w:tc>
        <w:tc>
          <w:tcPr>
            <w:tcW w:w="1976" w:type="dxa"/>
            <w:tcBorders>
              <w:top w:val="nil"/>
              <w:left w:val="nil"/>
              <w:bottom w:val="single" w:sz="4" w:space="0" w:color="auto"/>
              <w:right w:val="single" w:sz="4" w:space="0" w:color="auto"/>
            </w:tcBorders>
            <w:shd w:val="clear" w:color="auto" w:fill="auto"/>
            <w:noWrap/>
            <w:vAlign w:val="center"/>
            <w:hideMark/>
          </w:tcPr>
          <w:p w14:paraId="13F9E714" w14:textId="4C98467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10,877,019,373,058</w:t>
            </w:r>
          </w:p>
        </w:tc>
        <w:tc>
          <w:tcPr>
            <w:tcW w:w="931" w:type="dxa"/>
            <w:tcBorders>
              <w:top w:val="nil"/>
              <w:left w:val="nil"/>
              <w:bottom w:val="single" w:sz="4" w:space="0" w:color="auto"/>
              <w:right w:val="single" w:sz="4" w:space="0" w:color="auto"/>
            </w:tcBorders>
            <w:shd w:val="clear" w:color="auto" w:fill="auto"/>
            <w:vAlign w:val="center"/>
            <w:hideMark/>
          </w:tcPr>
          <w:p w14:paraId="7522B8A3" w14:textId="7AEDC65F"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73.75%</w:t>
            </w:r>
          </w:p>
        </w:tc>
        <w:tc>
          <w:tcPr>
            <w:tcW w:w="1893" w:type="dxa"/>
            <w:tcBorders>
              <w:top w:val="nil"/>
              <w:left w:val="nil"/>
              <w:bottom w:val="single" w:sz="4" w:space="0" w:color="auto"/>
              <w:right w:val="single" w:sz="4" w:space="0" w:color="auto"/>
            </w:tcBorders>
            <w:shd w:val="clear" w:color="auto" w:fill="auto"/>
            <w:noWrap/>
            <w:vAlign w:val="center"/>
            <w:hideMark/>
          </w:tcPr>
          <w:p w14:paraId="50124544" w14:textId="206D673A"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3,577,867,023,207</w:t>
            </w:r>
          </w:p>
        </w:tc>
        <w:tc>
          <w:tcPr>
            <w:tcW w:w="725" w:type="dxa"/>
            <w:tcBorders>
              <w:top w:val="nil"/>
              <w:left w:val="nil"/>
              <w:bottom w:val="single" w:sz="4" w:space="0" w:color="auto"/>
              <w:right w:val="single" w:sz="4" w:space="0" w:color="auto"/>
            </w:tcBorders>
            <w:shd w:val="clear" w:color="auto" w:fill="auto"/>
            <w:noWrap/>
            <w:vAlign w:val="center"/>
            <w:hideMark/>
          </w:tcPr>
          <w:p w14:paraId="67F82BE0"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49%</w:t>
            </w:r>
          </w:p>
        </w:tc>
        <w:tc>
          <w:tcPr>
            <w:tcW w:w="2013" w:type="dxa"/>
            <w:tcBorders>
              <w:top w:val="nil"/>
              <w:left w:val="nil"/>
              <w:bottom w:val="single" w:sz="4" w:space="0" w:color="auto"/>
              <w:right w:val="single" w:sz="4" w:space="0" w:color="auto"/>
            </w:tcBorders>
            <w:shd w:val="clear" w:color="auto" w:fill="auto"/>
            <w:noWrap/>
            <w:vAlign w:val="center"/>
            <w:hideMark/>
          </w:tcPr>
          <w:p w14:paraId="36B818FA" w14:textId="201DF16A"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(337,597,258,833)</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4FA2F82D"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w:t>
            </w:r>
          </w:p>
        </w:tc>
      </w:tr>
      <w:tr w:rsidR="00307842" w:rsidRPr="00C34532" w14:paraId="31389862"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8CF1E9F"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 Tiền và các khoản tương đương tiền</w:t>
            </w:r>
          </w:p>
        </w:tc>
        <w:tc>
          <w:tcPr>
            <w:tcW w:w="1710" w:type="dxa"/>
            <w:tcBorders>
              <w:top w:val="nil"/>
              <w:left w:val="nil"/>
              <w:bottom w:val="single" w:sz="4" w:space="0" w:color="auto"/>
              <w:right w:val="single" w:sz="4" w:space="0" w:color="auto"/>
            </w:tcBorders>
            <w:shd w:val="clear" w:color="auto" w:fill="auto"/>
            <w:noWrap/>
            <w:vAlign w:val="center"/>
          </w:tcPr>
          <w:p w14:paraId="7CD6824A" w14:textId="1BEC37E3"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402,938,011,038</w:t>
            </w:r>
          </w:p>
        </w:tc>
        <w:tc>
          <w:tcPr>
            <w:tcW w:w="990" w:type="dxa"/>
            <w:tcBorders>
              <w:top w:val="nil"/>
              <w:left w:val="nil"/>
              <w:bottom w:val="single" w:sz="4" w:space="0" w:color="auto"/>
              <w:right w:val="single" w:sz="4" w:space="0" w:color="auto"/>
            </w:tcBorders>
            <w:shd w:val="clear" w:color="auto" w:fill="auto"/>
            <w:vAlign w:val="center"/>
            <w:hideMark/>
          </w:tcPr>
          <w:p w14:paraId="4C514A7E" w14:textId="6DE54B3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3.41%</w:t>
            </w:r>
          </w:p>
        </w:tc>
        <w:tc>
          <w:tcPr>
            <w:tcW w:w="1850" w:type="dxa"/>
            <w:tcBorders>
              <w:top w:val="nil"/>
              <w:left w:val="nil"/>
              <w:bottom w:val="single" w:sz="4" w:space="0" w:color="auto"/>
              <w:right w:val="single" w:sz="4" w:space="0" w:color="auto"/>
            </w:tcBorders>
            <w:shd w:val="clear" w:color="auto" w:fill="auto"/>
            <w:noWrap/>
            <w:vAlign w:val="center"/>
            <w:hideMark/>
          </w:tcPr>
          <w:p w14:paraId="65A3961E" w14:textId="62A856C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1,000,254,949,868</w:t>
            </w:r>
          </w:p>
        </w:tc>
        <w:tc>
          <w:tcPr>
            <w:tcW w:w="967" w:type="dxa"/>
            <w:tcBorders>
              <w:top w:val="nil"/>
              <w:left w:val="nil"/>
              <w:bottom w:val="single" w:sz="4" w:space="0" w:color="auto"/>
              <w:right w:val="single" w:sz="4" w:space="0" w:color="auto"/>
            </w:tcBorders>
            <w:shd w:val="clear" w:color="auto" w:fill="auto"/>
            <w:vAlign w:val="center"/>
            <w:hideMark/>
          </w:tcPr>
          <w:p w14:paraId="4FC2EEA4"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5.94%</w:t>
            </w:r>
          </w:p>
        </w:tc>
        <w:tc>
          <w:tcPr>
            <w:tcW w:w="1976" w:type="dxa"/>
            <w:tcBorders>
              <w:top w:val="nil"/>
              <w:left w:val="nil"/>
              <w:bottom w:val="single" w:sz="4" w:space="0" w:color="auto"/>
              <w:right w:val="single" w:sz="4" w:space="0" w:color="auto"/>
            </w:tcBorders>
            <w:shd w:val="clear" w:color="auto" w:fill="auto"/>
            <w:noWrap/>
            <w:vAlign w:val="center"/>
            <w:hideMark/>
          </w:tcPr>
          <w:p w14:paraId="0449D915" w14:textId="40B5F41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245,914,234,531</w:t>
            </w:r>
          </w:p>
        </w:tc>
        <w:tc>
          <w:tcPr>
            <w:tcW w:w="931" w:type="dxa"/>
            <w:tcBorders>
              <w:top w:val="nil"/>
              <w:left w:val="nil"/>
              <w:bottom w:val="single" w:sz="4" w:space="0" w:color="auto"/>
              <w:right w:val="single" w:sz="4" w:space="0" w:color="auto"/>
            </w:tcBorders>
            <w:shd w:val="clear" w:color="auto" w:fill="auto"/>
            <w:vAlign w:val="center"/>
            <w:hideMark/>
          </w:tcPr>
          <w:p w14:paraId="2019A364" w14:textId="4ABF0A30"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1.67%</w:t>
            </w:r>
          </w:p>
        </w:tc>
        <w:tc>
          <w:tcPr>
            <w:tcW w:w="1893" w:type="dxa"/>
            <w:tcBorders>
              <w:top w:val="nil"/>
              <w:left w:val="nil"/>
              <w:bottom w:val="single" w:sz="4" w:space="0" w:color="auto"/>
              <w:right w:val="single" w:sz="4" w:space="0" w:color="auto"/>
            </w:tcBorders>
            <w:shd w:val="clear" w:color="auto" w:fill="auto"/>
            <w:noWrap/>
            <w:vAlign w:val="center"/>
            <w:hideMark/>
          </w:tcPr>
          <w:p w14:paraId="129E05FA" w14:textId="691BB93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(157,023,776,507)</w:t>
            </w:r>
          </w:p>
        </w:tc>
        <w:tc>
          <w:tcPr>
            <w:tcW w:w="725" w:type="dxa"/>
            <w:tcBorders>
              <w:top w:val="nil"/>
              <w:left w:val="nil"/>
              <w:bottom w:val="single" w:sz="4" w:space="0" w:color="auto"/>
              <w:right w:val="single" w:sz="4" w:space="0" w:color="auto"/>
            </w:tcBorders>
            <w:shd w:val="clear" w:color="auto" w:fill="auto"/>
            <w:noWrap/>
            <w:vAlign w:val="center"/>
            <w:hideMark/>
          </w:tcPr>
          <w:p w14:paraId="535808B5"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-39%</w:t>
            </w:r>
          </w:p>
        </w:tc>
        <w:tc>
          <w:tcPr>
            <w:tcW w:w="2013" w:type="dxa"/>
            <w:tcBorders>
              <w:top w:val="nil"/>
              <w:left w:val="nil"/>
              <w:bottom w:val="single" w:sz="4" w:space="0" w:color="auto"/>
              <w:right w:val="single" w:sz="4" w:space="0" w:color="auto"/>
            </w:tcBorders>
            <w:shd w:val="clear" w:color="auto" w:fill="auto"/>
            <w:noWrap/>
            <w:vAlign w:val="center"/>
            <w:hideMark/>
          </w:tcPr>
          <w:p w14:paraId="7352ED21" w14:textId="679D07F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(754,340,715,337)</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4F6001F9"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-75%</w:t>
            </w:r>
          </w:p>
        </w:tc>
      </w:tr>
      <w:tr w:rsidR="00307842" w:rsidRPr="00C34532" w14:paraId="7AE75D95"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633AA2CB"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II. Các khoản đầu tư tài chính ngắn hạn</w:t>
            </w:r>
          </w:p>
        </w:tc>
        <w:tc>
          <w:tcPr>
            <w:tcW w:w="1710" w:type="dxa"/>
            <w:tcBorders>
              <w:top w:val="nil"/>
              <w:left w:val="nil"/>
              <w:bottom w:val="single" w:sz="4" w:space="0" w:color="auto"/>
              <w:right w:val="single" w:sz="4" w:space="0" w:color="auto"/>
            </w:tcBorders>
            <w:shd w:val="clear" w:color="auto" w:fill="auto"/>
            <w:noWrap/>
            <w:vAlign w:val="center"/>
          </w:tcPr>
          <w:p w14:paraId="5B84329E" w14:textId="5028C78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137,000,000,000</w:t>
            </w:r>
          </w:p>
        </w:tc>
        <w:tc>
          <w:tcPr>
            <w:tcW w:w="990" w:type="dxa"/>
            <w:tcBorders>
              <w:top w:val="nil"/>
              <w:left w:val="nil"/>
              <w:bottom w:val="single" w:sz="4" w:space="0" w:color="auto"/>
              <w:right w:val="single" w:sz="4" w:space="0" w:color="auto"/>
            </w:tcBorders>
            <w:shd w:val="clear" w:color="auto" w:fill="auto"/>
            <w:vAlign w:val="center"/>
            <w:hideMark/>
          </w:tcPr>
          <w:p w14:paraId="7996AE50" w14:textId="29D4AD9B"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1.16%</w:t>
            </w:r>
          </w:p>
        </w:tc>
        <w:tc>
          <w:tcPr>
            <w:tcW w:w="1850" w:type="dxa"/>
            <w:tcBorders>
              <w:top w:val="nil"/>
              <w:left w:val="nil"/>
              <w:bottom w:val="single" w:sz="4" w:space="0" w:color="auto"/>
              <w:right w:val="single" w:sz="4" w:space="0" w:color="auto"/>
            </w:tcBorders>
            <w:shd w:val="clear" w:color="auto" w:fill="auto"/>
            <w:noWrap/>
            <w:vAlign w:val="center"/>
            <w:hideMark/>
          </w:tcPr>
          <w:p w14:paraId="24AA27E1" w14:textId="6983600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2,737,903,082,422</w:t>
            </w:r>
          </w:p>
        </w:tc>
        <w:tc>
          <w:tcPr>
            <w:tcW w:w="967" w:type="dxa"/>
            <w:tcBorders>
              <w:top w:val="nil"/>
              <w:left w:val="nil"/>
              <w:bottom w:val="single" w:sz="4" w:space="0" w:color="auto"/>
              <w:right w:val="single" w:sz="4" w:space="0" w:color="auto"/>
            </w:tcBorders>
            <w:shd w:val="clear" w:color="auto" w:fill="auto"/>
            <w:vAlign w:val="center"/>
            <w:hideMark/>
          </w:tcPr>
          <w:p w14:paraId="2EC89D1C"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16.25%</w:t>
            </w:r>
          </w:p>
        </w:tc>
        <w:tc>
          <w:tcPr>
            <w:tcW w:w="1976" w:type="dxa"/>
            <w:tcBorders>
              <w:top w:val="nil"/>
              <w:left w:val="nil"/>
              <w:bottom w:val="single" w:sz="4" w:space="0" w:color="auto"/>
              <w:right w:val="single" w:sz="4" w:space="0" w:color="auto"/>
            </w:tcBorders>
            <w:shd w:val="clear" w:color="auto" w:fill="auto"/>
            <w:noWrap/>
            <w:vAlign w:val="center"/>
            <w:hideMark/>
          </w:tcPr>
          <w:p w14:paraId="614001C1" w14:textId="16F31978"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176,857,553,417</w:t>
            </w:r>
          </w:p>
        </w:tc>
        <w:tc>
          <w:tcPr>
            <w:tcW w:w="931" w:type="dxa"/>
            <w:tcBorders>
              <w:top w:val="nil"/>
              <w:left w:val="nil"/>
              <w:bottom w:val="single" w:sz="4" w:space="0" w:color="auto"/>
              <w:right w:val="single" w:sz="4" w:space="0" w:color="auto"/>
            </w:tcBorders>
            <w:shd w:val="clear" w:color="auto" w:fill="auto"/>
            <w:vAlign w:val="center"/>
            <w:hideMark/>
          </w:tcPr>
          <w:p w14:paraId="6F9026FF" w14:textId="1B486FA2"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1.20%</w:t>
            </w:r>
          </w:p>
        </w:tc>
        <w:tc>
          <w:tcPr>
            <w:tcW w:w="1893" w:type="dxa"/>
            <w:tcBorders>
              <w:top w:val="nil"/>
              <w:left w:val="nil"/>
              <w:bottom w:val="single" w:sz="4" w:space="0" w:color="auto"/>
              <w:right w:val="single" w:sz="4" w:space="0" w:color="auto"/>
            </w:tcBorders>
            <w:shd w:val="clear" w:color="auto" w:fill="auto"/>
            <w:noWrap/>
            <w:vAlign w:val="center"/>
            <w:hideMark/>
          </w:tcPr>
          <w:p w14:paraId="0834F555" w14:textId="7E541408"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39,857,553,417</w:t>
            </w:r>
          </w:p>
        </w:tc>
        <w:tc>
          <w:tcPr>
            <w:tcW w:w="725" w:type="dxa"/>
            <w:tcBorders>
              <w:top w:val="nil"/>
              <w:left w:val="nil"/>
              <w:bottom w:val="single" w:sz="4" w:space="0" w:color="auto"/>
              <w:right w:val="single" w:sz="4" w:space="0" w:color="auto"/>
            </w:tcBorders>
            <w:shd w:val="clear" w:color="auto" w:fill="auto"/>
            <w:noWrap/>
            <w:vAlign w:val="center"/>
            <w:hideMark/>
          </w:tcPr>
          <w:p w14:paraId="72B4788C"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29%</w:t>
            </w:r>
          </w:p>
        </w:tc>
        <w:tc>
          <w:tcPr>
            <w:tcW w:w="2013" w:type="dxa"/>
            <w:tcBorders>
              <w:top w:val="nil"/>
              <w:left w:val="nil"/>
              <w:bottom w:val="single" w:sz="4" w:space="0" w:color="auto"/>
              <w:right w:val="single" w:sz="4" w:space="0" w:color="auto"/>
            </w:tcBorders>
            <w:shd w:val="clear" w:color="auto" w:fill="auto"/>
            <w:noWrap/>
            <w:vAlign w:val="center"/>
            <w:hideMark/>
          </w:tcPr>
          <w:p w14:paraId="10817552" w14:textId="7A91692B"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(2,561,045,529,005)</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517E71FA"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-94%</w:t>
            </w:r>
          </w:p>
        </w:tc>
      </w:tr>
      <w:tr w:rsidR="00307842" w:rsidRPr="00C34532" w14:paraId="3A05BE8E"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8FE0E33"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III. Các khoản phải thu ngắn hạn</w:t>
            </w:r>
          </w:p>
        </w:tc>
        <w:tc>
          <w:tcPr>
            <w:tcW w:w="1710" w:type="dxa"/>
            <w:tcBorders>
              <w:top w:val="nil"/>
              <w:left w:val="nil"/>
              <w:bottom w:val="single" w:sz="4" w:space="0" w:color="auto"/>
              <w:right w:val="single" w:sz="4" w:space="0" w:color="auto"/>
            </w:tcBorders>
            <w:shd w:val="clear" w:color="auto" w:fill="auto"/>
            <w:noWrap/>
            <w:vAlign w:val="center"/>
          </w:tcPr>
          <w:p w14:paraId="657371BF" w14:textId="477C15A8"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2,255,191,037,837</w:t>
            </w:r>
          </w:p>
        </w:tc>
        <w:tc>
          <w:tcPr>
            <w:tcW w:w="990" w:type="dxa"/>
            <w:tcBorders>
              <w:top w:val="nil"/>
              <w:left w:val="nil"/>
              <w:bottom w:val="single" w:sz="4" w:space="0" w:color="auto"/>
              <w:right w:val="single" w:sz="4" w:space="0" w:color="auto"/>
            </w:tcBorders>
            <w:shd w:val="clear" w:color="auto" w:fill="auto"/>
            <w:vAlign w:val="center"/>
            <w:hideMark/>
          </w:tcPr>
          <w:p w14:paraId="18DFA792" w14:textId="3C3771E3"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19.07%</w:t>
            </w:r>
          </w:p>
        </w:tc>
        <w:tc>
          <w:tcPr>
            <w:tcW w:w="1850" w:type="dxa"/>
            <w:tcBorders>
              <w:top w:val="nil"/>
              <w:left w:val="nil"/>
              <w:bottom w:val="single" w:sz="4" w:space="0" w:color="auto"/>
              <w:right w:val="single" w:sz="4" w:space="0" w:color="auto"/>
            </w:tcBorders>
            <w:shd w:val="clear" w:color="auto" w:fill="auto"/>
            <w:noWrap/>
            <w:vAlign w:val="center"/>
            <w:hideMark/>
          </w:tcPr>
          <w:p w14:paraId="572C5731" w14:textId="6A391004"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3,433,980,916,361</w:t>
            </w:r>
          </w:p>
        </w:tc>
        <w:tc>
          <w:tcPr>
            <w:tcW w:w="967" w:type="dxa"/>
            <w:tcBorders>
              <w:top w:val="nil"/>
              <w:left w:val="nil"/>
              <w:bottom w:val="single" w:sz="4" w:space="0" w:color="auto"/>
              <w:right w:val="single" w:sz="4" w:space="0" w:color="auto"/>
            </w:tcBorders>
            <w:shd w:val="clear" w:color="auto" w:fill="auto"/>
            <w:vAlign w:val="center"/>
            <w:hideMark/>
          </w:tcPr>
          <w:p w14:paraId="5B19D3C2"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20.38%</w:t>
            </w:r>
          </w:p>
        </w:tc>
        <w:tc>
          <w:tcPr>
            <w:tcW w:w="1976" w:type="dxa"/>
            <w:tcBorders>
              <w:top w:val="nil"/>
              <w:left w:val="nil"/>
              <w:bottom w:val="single" w:sz="4" w:space="0" w:color="auto"/>
              <w:right w:val="single" w:sz="4" w:space="0" w:color="auto"/>
            </w:tcBorders>
            <w:shd w:val="clear" w:color="auto" w:fill="auto"/>
            <w:noWrap/>
            <w:vAlign w:val="center"/>
            <w:hideMark/>
          </w:tcPr>
          <w:p w14:paraId="08DD94F8" w14:textId="2AAD7F41"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4,336,772,938,536</w:t>
            </w:r>
          </w:p>
        </w:tc>
        <w:tc>
          <w:tcPr>
            <w:tcW w:w="931" w:type="dxa"/>
            <w:tcBorders>
              <w:top w:val="nil"/>
              <w:left w:val="nil"/>
              <w:bottom w:val="single" w:sz="4" w:space="0" w:color="auto"/>
              <w:right w:val="single" w:sz="4" w:space="0" w:color="auto"/>
            </w:tcBorders>
            <w:shd w:val="clear" w:color="auto" w:fill="auto"/>
            <w:vAlign w:val="center"/>
            <w:hideMark/>
          </w:tcPr>
          <w:p w14:paraId="37A89941" w14:textId="2B34442A"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29.41%</w:t>
            </w:r>
          </w:p>
        </w:tc>
        <w:tc>
          <w:tcPr>
            <w:tcW w:w="1893" w:type="dxa"/>
            <w:tcBorders>
              <w:top w:val="nil"/>
              <w:left w:val="nil"/>
              <w:bottom w:val="single" w:sz="4" w:space="0" w:color="auto"/>
              <w:right w:val="single" w:sz="4" w:space="0" w:color="auto"/>
            </w:tcBorders>
            <w:shd w:val="clear" w:color="auto" w:fill="auto"/>
            <w:noWrap/>
            <w:vAlign w:val="center"/>
            <w:hideMark/>
          </w:tcPr>
          <w:p w14:paraId="5A0C1E11" w14:textId="1F67C3B8"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2,081,581,900,699</w:t>
            </w:r>
          </w:p>
        </w:tc>
        <w:tc>
          <w:tcPr>
            <w:tcW w:w="725" w:type="dxa"/>
            <w:tcBorders>
              <w:top w:val="nil"/>
              <w:left w:val="nil"/>
              <w:bottom w:val="single" w:sz="4" w:space="0" w:color="auto"/>
              <w:right w:val="single" w:sz="4" w:space="0" w:color="auto"/>
            </w:tcBorders>
            <w:shd w:val="clear" w:color="auto" w:fill="auto"/>
            <w:noWrap/>
            <w:vAlign w:val="center"/>
            <w:hideMark/>
          </w:tcPr>
          <w:p w14:paraId="1DEA48A5"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92%</w:t>
            </w:r>
          </w:p>
        </w:tc>
        <w:tc>
          <w:tcPr>
            <w:tcW w:w="2013" w:type="dxa"/>
            <w:tcBorders>
              <w:top w:val="nil"/>
              <w:left w:val="nil"/>
              <w:bottom w:val="single" w:sz="4" w:space="0" w:color="auto"/>
              <w:right w:val="single" w:sz="4" w:space="0" w:color="auto"/>
            </w:tcBorders>
            <w:shd w:val="clear" w:color="auto" w:fill="auto"/>
            <w:noWrap/>
            <w:vAlign w:val="center"/>
            <w:hideMark/>
          </w:tcPr>
          <w:p w14:paraId="3FF1ACF2" w14:textId="33E6C074"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902,792,022,175</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358492F0"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26%</w:t>
            </w:r>
          </w:p>
        </w:tc>
      </w:tr>
      <w:tr w:rsidR="00307842" w:rsidRPr="00C34532" w14:paraId="5D43E9BD"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96C1E5D"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IV. Hàng tồn kho</w:t>
            </w:r>
          </w:p>
        </w:tc>
        <w:tc>
          <w:tcPr>
            <w:tcW w:w="1710" w:type="dxa"/>
            <w:tcBorders>
              <w:top w:val="nil"/>
              <w:left w:val="nil"/>
              <w:bottom w:val="single" w:sz="4" w:space="0" w:color="auto"/>
              <w:right w:val="single" w:sz="4" w:space="0" w:color="auto"/>
            </w:tcBorders>
            <w:shd w:val="clear" w:color="auto" w:fill="auto"/>
            <w:noWrap/>
            <w:vAlign w:val="center"/>
          </w:tcPr>
          <w:p w14:paraId="13D581EC" w14:textId="7E57B90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4,395,131,702,337</w:t>
            </w:r>
          </w:p>
        </w:tc>
        <w:tc>
          <w:tcPr>
            <w:tcW w:w="990" w:type="dxa"/>
            <w:tcBorders>
              <w:top w:val="nil"/>
              <w:left w:val="nil"/>
              <w:bottom w:val="single" w:sz="4" w:space="0" w:color="auto"/>
              <w:right w:val="single" w:sz="4" w:space="0" w:color="auto"/>
            </w:tcBorders>
            <w:shd w:val="clear" w:color="auto" w:fill="auto"/>
            <w:vAlign w:val="center"/>
            <w:hideMark/>
          </w:tcPr>
          <w:p w14:paraId="00E5EDB1" w14:textId="7710299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37.16%</w:t>
            </w:r>
          </w:p>
        </w:tc>
        <w:tc>
          <w:tcPr>
            <w:tcW w:w="1850" w:type="dxa"/>
            <w:tcBorders>
              <w:top w:val="nil"/>
              <w:left w:val="nil"/>
              <w:bottom w:val="single" w:sz="4" w:space="0" w:color="auto"/>
              <w:right w:val="single" w:sz="4" w:space="0" w:color="auto"/>
            </w:tcBorders>
            <w:shd w:val="clear" w:color="auto" w:fill="auto"/>
            <w:noWrap/>
            <w:vAlign w:val="center"/>
            <w:hideMark/>
          </w:tcPr>
          <w:p w14:paraId="0FDC4033" w14:textId="2945BC3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3,844,295,963,880</w:t>
            </w:r>
          </w:p>
        </w:tc>
        <w:tc>
          <w:tcPr>
            <w:tcW w:w="967" w:type="dxa"/>
            <w:tcBorders>
              <w:top w:val="nil"/>
              <w:left w:val="nil"/>
              <w:bottom w:val="single" w:sz="4" w:space="0" w:color="auto"/>
              <w:right w:val="single" w:sz="4" w:space="0" w:color="auto"/>
            </w:tcBorders>
            <w:shd w:val="clear" w:color="auto" w:fill="auto"/>
            <w:vAlign w:val="center"/>
            <w:hideMark/>
          </w:tcPr>
          <w:p w14:paraId="0F978E0B"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22.82%</w:t>
            </w:r>
          </w:p>
        </w:tc>
        <w:tc>
          <w:tcPr>
            <w:tcW w:w="1976" w:type="dxa"/>
            <w:tcBorders>
              <w:top w:val="nil"/>
              <w:left w:val="nil"/>
              <w:bottom w:val="single" w:sz="4" w:space="0" w:color="auto"/>
              <w:right w:val="single" w:sz="4" w:space="0" w:color="auto"/>
            </w:tcBorders>
            <w:shd w:val="clear" w:color="auto" w:fill="auto"/>
            <w:noWrap/>
            <w:vAlign w:val="center"/>
            <w:hideMark/>
          </w:tcPr>
          <w:p w14:paraId="4430ECBD" w14:textId="2271971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5,923,303,752,238</w:t>
            </w:r>
          </w:p>
        </w:tc>
        <w:tc>
          <w:tcPr>
            <w:tcW w:w="931" w:type="dxa"/>
            <w:tcBorders>
              <w:top w:val="nil"/>
              <w:left w:val="nil"/>
              <w:bottom w:val="single" w:sz="4" w:space="0" w:color="auto"/>
              <w:right w:val="single" w:sz="4" w:space="0" w:color="auto"/>
            </w:tcBorders>
            <w:shd w:val="clear" w:color="auto" w:fill="auto"/>
            <w:vAlign w:val="center"/>
            <w:hideMark/>
          </w:tcPr>
          <w:p w14:paraId="23F6DB5A" w14:textId="03A4299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40.16%</w:t>
            </w:r>
          </w:p>
        </w:tc>
        <w:tc>
          <w:tcPr>
            <w:tcW w:w="1893" w:type="dxa"/>
            <w:tcBorders>
              <w:top w:val="nil"/>
              <w:left w:val="nil"/>
              <w:bottom w:val="single" w:sz="4" w:space="0" w:color="auto"/>
              <w:right w:val="single" w:sz="4" w:space="0" w:color="auto"/>
            </w:tcBorders>
            <w:shd w:val="clear" w:color="auto" w:fill="auto"/>
            <w:noWrap/>
            <w:vAlign w:val="center"/>
            <w:hideMark/>
          </w:tcPr>
          <w:p w14:paraId="5049CED5" w14:textId="29E4C561"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1,528,172,049,901</w:t>
            </w:r>
          </w:p>
        </w:tc>
        <w:tc>
          <w:tcPr>
            <w:tcW w:w="725" w:type="dxa"/>
            <w:tcBorders>
              <w:top w:val="nil"/>
              <w:left w:val="nil"/>
              <w:bottom w:val="single" w:sz="4" w:space="0" w:color="auto"/>
              <w:right w:val="single" w:sz="4" w:space="0" w:color="auto"/>
            </w:tcBorders>
            <w:shd w:val="clear" w:color="auto" w:fill="auto"/>
            <w:noWrap/>
            <w:vAlign w:val="center"/>
            <w:hideMark/>
          </w:tcPr>
          <w:p w14:paraId="3A9091A1"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35%</w:t>
            </w:r>
          </w:p>
        </w:tc>
        <w:tc>
          <w:tcPr>
            <w:tcW w:w="2013" w:type="dxa"/>
            <w:tcBorders>
              <w:top w:val="nil"/>
              <w:left w:val="nil"/>
              <w:bottom w:val="single" w:sz="4" w:space="0" w:color="auto"/>
              <w:right w:val="single" w:sz="4" w:space="0" w:color="auto"/>
            </w:tcBorders>
            <w:shd w:val="clear" w:color="auto" w:fill="auto"/>
            <w:noWrap/>
            <w:vAlign w:val="center"/>
            <w:hideMark/>
          </w:tcPr>
          <w:p w14:paraId="572F9591" w14:textId="45076B83"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2,079,007,788,358</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5789D1D6"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54%</w:t>
            </w:r>
          </w:p>
        </w:tc>
      </w:tr>
      <w:tr w:rsidR="00307842" w:rsidRPr="00C34532" w14:paraId="774C26CB"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16AE030"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V.Tài sản ngắn hạn khác</w:t>
            </w:r>
          </w:p>
        </w:tc>
        <w:tc>
          <w:tcPr>
            <w:tcW w:w="1710" w:type="dxa"/>
            <w:tcBorders>
              <w:top w:val="nil"/>
              <w:left w:val="nil"/>
              <w:bottom w:val="single" w:sz="4" w:space="0" w:color="auto"/>
              <w:right w:val="single" w:sz="4" w:space="0" w:color="auto"/>
            </w:tcBorders>
            <w:shd w:val="clear" w:color="auto" w:fill="auto"/>
            <w:noWrap/>
            <w:vAlign w:val="center"/>
          </w:tcPr>
          <w:p w14:paraId="4C2753D3" w14:textId="06622A12"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108,891,598,639</w:t>
            </w:r>
          </w:p>
        </w:tc>
        <w:tc>
          <w:tcPr>
            <w:tcW w:w="990" w:type="dxa"/>
            <w:tcBorders>
              <w:top w:val="nil"/>
              <w:left w:val="nil"/>
              <w:bottom w:val="single" w:sz="4" w:space="0" w:color="auto"/>
              <w:right w:val="single" w:sz="4" w:space="0" w:color="auto"/>
            </w:tcBorders>
            <w:shd w:val="clear" w:color="auto" w:fill="auto"/>
            <w:vAlign w:val="center"/>
            <w:hideMark/>
          </w:tcPr>
          <w:p w14:paraId="1BC79CF2" w14:textId="4ABD78F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0.92%</w:t>
            </w:r>
          </w:p>
        </w:tc>
        <w:tc>
          <w:tcPr>
            <w:tcW w:w="1850" w:type="dxa"/>
            <w:tcBorders>
              <w:top w:val="nil"/>
              <w:left w:val="nil"/>
              <w:bottom w:val="single" w:sz="4" w:space="0" w:color="auto"/>
              <w:right w:val="single" w:sz="4" w:space="0" w:color="auto"/>
            </w:tcBorders>
            <w:shd w:val="clear" w:color="auto" w:fill="auto"/>
            <w:noWrap/>
            <w:vAlign w:val="center"/>
            <w:hideMark/>
          </w:tcPr>
          <w:p w14:paraId="53DCBAD7" w14:textId="75E65100"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198,181,719,360</w:t>
            </w:r>
          </w:p>
        </w:tc>
        <w:tc>
          <w:tcPr>
            <w:tcW w:w="967" w:type="dxa"/>
            <w:tcBorders>
              <w:top w:val="nil"/>
              <w:left w:val="nil"/>
              <w:bottom w:val="single" w:sz="4" w:space="0" w:color="auto"/>
              <w:right w:val="single" w:sz="4" w:space="0" w:color="auto"/>
            </w:tcBorders>
            <w:shd w:val="clear" w:color="auto" w:fill="auto"/>
            <w:vAlign w:val="center"/>
            <w:hideMark/>
          </w:tcPr>
          <w:p w14:paraId="55F8BC85"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1.18%</w:t>
            </w:r>
          </w:p>
        </w:tc>
        <w:tc>
          <w:tcPr>
            <w:tcW w:w="1976" w:type="dxa"/>
            <w:tcBorders>
              <w:top w:val="nil"/>
              <w:left w:val="nil"/>
              <w:bottom w:val="single" w:sz="4" w:space="0" w:color="auto"/>
              <w:right w:val="single" w:sz="4" w:space="0" w:color="auto"/>
            </w:tcBorders>
            <w:shd w:val="clear" w:color="auto" w:fill="auto"/>
            <w:noWrap/>
            <w:vAlign w:val="center"/>
            <w:hideMark/>
          </w:tcPr>
          <w:p w14:paraId="4265222B" w14:textId="65B7229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194,170,894,336</w:t>
            </w:r>
          </w:p>
        </w:tc>
        <w:tc>
          <w:tcPr>
            <w:tcW w:w="931" w:type="dxa"/>
            <w:tcBorders>
              <w:top w:val="nil"/>
              <w:left w:val="nil"/>
              <w:bottom w:val="single" w:sz="4" w:space="0" w:color="auto"/>
              <w:right w:val="single" w:sz="4" w:space="0" w:color="auto"/>
            </w:tcBorders>
            <w:shd w:val="clear" w:color="auto" w:fill="auto"/>
            <w:vAlign w:val="center"/>
            <w:hideMark/>
          </w:tcPr>
          <w:p w14:paraId="3CDC9C05" w14:textId="4D9838E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1.32%</w:t>
            </w:r>
          </w:p>
        </w:tc>
        <w:tc>
          <w:tcPr>
            <w:tcW w:w="1893" w:type="dxa"/>
            <w:tcBorders>
              <w:top w:val="nil"/>
              <w:left w:val="nil"/>
              <w:bottom w:val="single" w:sz="4" w:space="0" w:color="auto"/>
              <w:right w:val="single" w:sz="4" w:space="0" w:color="auto"/>
            </w:tcBorders>
            <w:shd w:val="clear" w:color="auto" w:fill="auto"/>
            <w:noWrap/>
            <w:vAlign w:val="center"/>
            <w:hideMark/>
          </w:tcPr>
          <w:p w14:paraId="765A41D5" w14:textId="51F4BBB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85,279,295,697</w:t>
            </w:r>
          </w:p>
        </w:tc>
        <w:tc>
          <w:tcPr>
            <w:tcW w:w="725" w:type="dxa"/>
            <w:tcBorders>
              <w:top w:val="nil"/>
              <w:left w:val="nil"/>
              <w:bottom w:val="single" w:sz="4" w:space="0" w:color="auto"/>
              <w:right w:val="single" w:sz="4" w:space="0" w:color="auto"/>
            </w:tcBorders>
            <w:shd w:val="clear" w:color="auto" w:fill="auto"/>
            <w:noWrap/>
            <w:vAlign w:val="center"/>
            <w:hideMark/>
          </w:tcPr>
          <w:p w14:paraId="7F9C764C"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78%</w:t>
            </w:r>
          </w:p>
        </w:tc>
        <w:tc>
          <w:tcPr>
            <w:tcW w:w="2013" w:type="dxa"/>
            <w:tcBorders>
              <w:top w:val="nil"/>
              <w:left w:val="nil"/>
              <w:bottom w:val="single" w:sz="4" w:space="0" w:color="auto"/>
              <w:right w:val="single" w:sz="4" w:space="0" w:color="auto"/>
            </w:tcBorders>
            <w:shd w:val="clear" w:color="auto" w:fill="auto"/>
            <w:noWrap/>
            <w:vAlign w:val="center"/>
            <w:hideMark/>
          </w:tcPr>
          <w:p w14:paraId="30732D6F" w14:textId="34D1FAA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(4,010,825,024)</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4DA2BD7C"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w:t>
            </w:r>
          </w:p>
        </w:tc>
      </w:tr>
      <w:tr w:rsidR="00307842" w:rsidRPr="00C34532" w14:paraId="1B614844" w14:textId="77777777" w:rsidTr="00307842">
        <w:trPr>
          <w:trHeight w:val="3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793767"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lang w:bidi="th-TH"/>
                <w14:ligatures w14:val="none"/>
              </w:rPr>
            </w:pPr>
            <w:r w:rsidRPr="00C34532">
              <w:rPr>
                <w:rFonts w:ascii="Times New Roman" w:eastAsia="Times New Roman" w:hAnsi="Times New Roman" w:cs="Times New Roman"/>
                <w:b/>
                <w:bCs/>
                <w:color w:val="000000"/>
                <w:kern w:val="0"/>
                <w:lang w:bidi="th-TH"/>
                <w14:ligatures w14:val="none"/>
              </w:rPr>
              <w:t>B. TÀI SẢN DÀI HẠN</w:t>
            </w:r>
          </w:p>
        </w:tc>
        <w:tc>
          <w:tcPr>
            <w:tcW w:w="1710" w:type="dxa"/>
            <w:tcBorders>
              <w:top w:val="nil"/>
              <w:left w:val="nil"/>
              <w:bottom w:val="single" w:sz="4" w:space="0" w:color="auto"/>
              <w:right w:val="single" w:sz="4" w:space="0" w:color="auto"/>
            </w:tcBorders>
            <w:shd w:val="clear" w:color="auto" w:fill="auto"/>
            <w:noWrap/>
            <w:vAlign w:val="center"/>
          </w:tcPr>
          <w:p w14:paraId="284F356C" w14:textId="7EF4B6FF"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4,527,010,691,862</w:t>
            </w:r>
          </w:p>
        </w:tc>
        <w:tc>
          <w:tcPr>
            <w:tcW w:w="990" w:type="dxa"/>
            <w:tcBorders>
              <w:top w:val="nil"/>
              <w:left w:val="nil"/>
              <w:bottom w:val="single" w:sz="4" w:space="0" w:color="auto"/>
              <w:right w:val="single" w:sz="4" w:space="0" w:color="auto"/>
            </w:tcBorders>
            <w:shd w:val="clear" w:color="auto" w:fill="auto"/>
            <w:vAlign w:val="center"/>
            <w:hideMark/>
          </w:tcPr>
          <w:p w14:paraId="01C14342" w14:textId="09193611"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38.28%</w:t>
            </w:r>
          </w:p>
        </w:tc>
        <w:tc>
          <w:tcPr>
            <w:tcW w:w="1850" w:type="dxa"/>
            <w:tcBorders>
              <w:top w:val="nil"/>
              <w:left w:val="nil"/>
              <w:bottom w:val="single" w:sz="4" w:space="0" w:color="auto"/>
              <w:right w:val="single" w:sz="4" w:space="0" w:color="auto"/>
            </w:tcBorders>
            <w:shd w:val="clear" w:color="auto" w:fill="auto"/>
            <w:noWrap/>
            <w:vAlign w:val="center"/>
            <w:hideMark/>
          </w:tcPr>
          <w:p w14:paraId="6E3DF857" w14:textId="10B8DA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5,632,288,008,979</w:t>
            </w:r>
          </w:p>
        </w:tc>
        <w:tc>
          <w:tcPr>
            <w:tcW w:w="967" w:type="dxa"/>
            <w:tcBorders>
              <w:top w:val="nil"/>
              <w:left w:val="nil"/>
              <w:bottom w:val="single" w:sz="4" w:space="0" w:color="auto"/>
              <w:right w:val="single" w:sz="4" w:space="0" w:color="auto"/>
            </w:tcBorders>
            <w:shd w:val="clear" w:color="auto" w:fill="auto"/>
            <w:vAlign w:val="center"/>
            <w:hideMark/>
          </w:tcPr>
          <w:p w14:paraId="5A6D18BE"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33.43%</w:t>
            </w:r>
          </w:p>
        </w:tc>
        <w:tc>
          <w:tcPr>
            <w:tcW w:w="1976" w:type="dxa"/>
            <w:tcBorders>
              <w:top w:val="nil"/>
              <w:left w:val="nil"/>
              <w:bottom w:val="single" w:sz="4" w:space="0" w:color="auto"/>
              <w:right w:val="single" w:sz="4" w:space="0" w:color="auto"/>
            </w:tcBorders>
            <w:shd w:val="clear" w:color="auto" w:fill="auto"/>
            <w:noWrap/>
            <w:vAlign w:val="center"/>
            <w:hideMark/>
          </w:tcPr>
          <w:p w14:paraId="265B1A99" w14:textId="4A4A0EE9"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3,870,776,854,827</w:t>
            </w:r>
          </w:p>
        </w:tc>
        <w:tc>
          <w:tcPr>
            <w:tcW w:w="931" w:type="dxa"/>
            <w:tcBorders>
              <w:top w:val="nil"/>
              <w:left w:val="nil"/>
              <w:bottom w:val="single" w:sz="4" w:space="0" w:color="auto"/>
              <w:right w:val="single" w:sz="4" w:space="0" w:color="auto"/>
            </w:tcBorders>
            <w:shd w:val="clear" w:color="auto" w:fill="auto"/>
            <w:vAlign w:val="center"/>
            <w:hideMark/>
          </w:tcPr>
          <w:p w14:paraId="101836CD" w14:textId="3A05E811"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26.25%</w:t>
            </w:r>
          </w:p>
        </w:tc>
        <w:tc>
          <w:tcPr>
            <w:tcW w:w="1893" w:type="dxa"/>
            <w:tcBorders>
              <w:top w:val="nil"/>
              <w:left w:val="nil"/>
              <w:bottom w:val="single" w:sz="4" w:space="0" w:color="auto"/>
              <w:right w:val="single" w:sz="4" w:space="0" w:color="auto"/>
            </w:tcBorders>
            <w:shd w:val="clear" w:color="auto" w:fill="auto"/>
            <w:noWrap/>
            <w:vAlign w:val="center"/>
            <w:hideMark/>
          </w:tcPr>
          <w:p w14:paraId="0BFB1A70" w14:textId="50F2A314"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(656,233,837,035)</w:t>
            </w:r>
          </w:p>
        </w:tc>
        <w:tc>
          <w:tcPr>
            <w:tcW w:w="725" w:type="dxa"/>
            <w:tcBorders>
              <w:top w:val="nil"/>
              <w:left w:val="nil"/>
              <w:bottom w:val="single" w:sz="4" w:space="0" w:color="auto"/>
              <w:right w:val="single" w:sz="4" w:space="0" w:color="auto"/>
            </w:tcBorders>
            <w:shd w:val="clear" w:color="auto" w:fill="auto"/>
            <w:noWrap/>
            <w:vAlign w:val="center"/>
            <w:hideMark/>
          </w:tcPr>
          <w:p w14:paraId="3B31E480"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-14%</w:t>
            </w:r>
          </w:p>
        </w:tc>
        <w:tc>
          <w:tcPr>
            <w:tcW w:w="2013" w:type="dxa"/>
            <w:tcBorders>
              <w:top w:val="nil"/>
              <w:left w:val="nil"/>
              <w:bottom w:val="single" w:sz="4" w:space="0" w:color="auto"/>
              <w:right w:val="single" w:sz="4" w:space="0" w:color="auto"/>
            </w:tcBorders>
            <w:shd w:val="clear" w:color="auto" w:fill="auto"/>
            <w:noWrap/>
            <w:vAlign w:val="center"/>
            <w:hideMark/>
          </w:tcPr>
          <w:p w14:paraId="0417C39E" w14:textId="0767271D"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(1,761,511,154,152)</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1EB831F5"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-31%</w:t>
            </w:r>
          </w:p>
        </w:tc>
      </w:tr>
      <w:tr w:rsidR="00307842" w:rsidRPr="00C34532" w14:paraId="18665D78"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1E1E62"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 Các khoản phải thu dài hạn</w:t>
            </w:r>
          </w:p>
        </w:tc>
        <w:tc>
          <w:tcPr>
            <w:tcW w:w="1710" w:type="dxa"/>
            <w:tcBorders>
              <w:top w:val="nil"/>
              <w:left w:val="nil"/>
              <w:bottom w:val="single" w:sz="4" w:space="0" w:color="auto"/>
              <w:right w:val="single" w:sz="4" w:space="0" w:color="auto"/>
            </w:tcBorders>
            <w:shd w:val="clear" w:color="auto" w:fill="auto"/>
            <w:noWrap/>
            <w:vAlign w:val="center"/>
          </w:tcPr>
          <w:p w14:paraId="648092F4" w14:textId="0D1D5943"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3,111,277,967,009</w:t>
            </w:r>
          </w:p>
        </w:tc>
        <w:tc>
          <w:tcPr>
            <w:tcW w:w="990" w:type="dxa"/>
            <w:tcBorders>
              <w:top w:val="nil"/>
              <w:left w:val="nil"/>
              <w:bottom w:val="single" w:sz="4" w:space="0" w:color="auto"/>
              <w:right w:val="single" w:sz="4" w:space="0" w:color="auto"/>
            </w:tcBorders>
            <w:shd w:val="clear" w:color="auto" w:fill="auto"/>
            <w:vAlign w:val="center"/>
            <w:hideMark/>
          </w:tcPr>
          <w:p w14:paraId="33929680" w14:textId="3EEF7EA0"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26.31%</w:t>
            </w:r>
          </w:p>
        </w:tc>
        <w:tc>
          <w:tcPr>
            <w:tcW w:w="1850" w:type="dxa"/>
            <w:tcBorders>
              <w:top w:val="nil"/>
              <w:left w:val="nil"/>
              <w:bottom w:val="single" w:sz="4" w:space="0" w:color="auto"/>
              <w:right w:val="single" w:sz="4" w:space="0" w:color="auto"/>
            </w:tcBorders>
            <w:shd w:val="clear" w:color="auto" w:fill="auto"/>
            <w:noWrap/>
            <w:vAlign w:val="center"/>
            <w:hideMark/>
          </w:tcPr>
          <w:p w14:paraId="19A469A5" w14:textId="2EB5980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4,110,287,408,009</w:t>
            </w:r>
          </w:p>
        </w:tc>
        <w:tc>
          <w:tcPr>
            <w:tcW w:w="967" w:type="dxa"/>
            <w:tcBorders>
              <w:top w:val="nil"/>
              <w:left w:val="nil"/>
              <w:bottom w:val="single" w:sz="4" w:space="0" w:color="auto"/>
              <w:right w:val="single" w:sz="4" w:space="0" w:color="auto"/>
            </w:tcBorders>
            <w:shd w:val="clear" w:color="auto" w:fill="auto"/>
            <w:vAlign w:val="center"/>
            <w:hideMark/>
          </w:tcPr>
          <w:p w14:paraId="53759ACF"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24.40%</w:t>
            </w:r>
          </w:p>
        </w:tc>
        <w:tc>
          <w:tcPr>
            <w:tcW w:w="1976" w:type="dxa"/>
            <w:tcBorders>
              <w:top w:val="nil"/>
              <w:left w:val="nil"/>
              <w:bottom w:val="single" w:sz="4" w:space="0" w:color="auto"/>
              <w:right w:val="single" w:sz="4" w:space="0" w:color="auto"/>
            </w:tcBorders>
            <w:shd w:val="clear" w:color="auto" w:fill="auto"/>
            <w:noWrap/>
            <w:vAlign w:val="center"/>
            <w:hideMark/>
          </w:tcPr>
          <w:p w14:paraId="61C0D60F" w14:textId="07C4396D"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2,381,712,421,430</w:t>
            </w:r>
          </w:p>
        </w:tc>
        <w:tc>
          <w:tcPr>
            <w:tcW w:w="931" w:type="dxa"/>
            <w:tcBorders>
              <w:top w:val="nil"/>
              <w:left w:val="nil"/>
              <w:bottom w:val="single" w:sz="4" w:space="0" w:color="auto"/>
              <w:right w:val="single" w:sz="4" w:space="0" w:color="auto"/>
            </w:tcBorders>
            <w:shd w:val="clear" w:color="auto" w:fill="auto"/>
            <w:vAlign w:val="center"/>
            <w:hideMark/>
          </w:tcPr>
          <w:p w14:paraId="3DE0D5A4" w14:textId="39BD97C2"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16.15%</w:t>
            </w:r>
          </w:p>
        </w:tc>
        <w:tc>
          <w:tcPr>
            <w:tcW w:w="1893" w:type="dxa"/>
            <w:tcBorders>
              <w:top w:val="nil"/>
              <w:left w:val="nil"/>
              <w:bottom w:val="single" w:sz="4" w:space="0" w:color="auto"/>
              <w:right w:val="single" w:sz="4" w:space="0" w:color="auto"/>
            </w:tcBorders>
            <w:shd w:val="clear" w:color="auto" w:fill="auto"/>
            <w:noWrap/>
            <w:vAlign w:val="center"/>
            <w:hideMark/>
          </w:tcPr>
          <w:p w14:paraId="7570C666" w14:textId="043607C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(729,565,545,579)</w:t>
            </w:r>
          </w:p>
        </w:tc>
        <w:tc>
          <w:tcPr>
            <w:tcW w:w="725" w:type="dxa"/>
            <w:tcBorders>
              <w:top w:val="nil"/>
              <w:left w:val="nil"/>
              <w:bottom w:val="single" w:sz="4" w:space="0" w:color="auto"/>
              <w:right w:val="single" w:sz="4" w:space="0" w:color="auto"/>
            </w:tcBorders>
            <w:shd w:val="clear" w:color="auto" w:fill="auto"/>
            <w:noWrap/>
            <w:vAlign w:val="center"/>
            <w:hideMark/>
          </w:tcPr>
          <w:p w14:paraId="02781E63"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-23%</w:t>
            </w:r>
          </w:p>
        </w:tc>
        <w:tc>
          <w:tcPr>
            <w:tcW w:w="2013" w:type="dxa"/>
            <w:tcBorders>
              <w:top w:val="nil"/>
              <w:left w:val="nil"/>
              <w:bottom w:val="single" w:sz="4" w:space="0" w:color="auto"/>
              <w:right w:val="single" w:sz="4" w:space="0" w:color="auto"/>
            </w:tcBorders>
            <w:shd w:val="clear" w:color="auto" w:fill="auto"/>
            <w:noWrap/>
            <w:vAlign w:val="center"/>
            <w:hideMark/>
          </w:tcPr>
          <w:p w14:paraId="55325BA9" w14:textId="27D5E1BF"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(1,728,574,986,579)</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07F335DF"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-42%</w:t>
            </w:r>
          </w:p>
        </w:tc>
      </w:tr>
      <w:tr w:rsidR="00307842" w:rsidRPr="00C34532" w14:paraId="6978C455" w14:textId="77777777" w:rsidTr="00307842">
        <w:trPr>
          <w:trHeight w:val="3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2A1C7393"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II.Tài sản cố định</w:t>
            </w:r>
          </w:p>
        </w:tc>
        <w:tc>
          <w:tcPr>
            <w:tcW w:w="1710" w:type="dxa"/>
            <w:tcBorders>
              <w:top w:val="nil"/>
              <w:left w:val="nil"/>
              <w:bottom w:val="single" w:sz="4" w:space="0" w:color="auto"/>
              <w:right w:val="single" w:sz="4" w:space="0" w:color="auto"/>
            </w:tcBorders>
            <w:shd w:val="clear" w:color="auto" w:fill="auto"/>
            <w:noWrap/>
            <w:vAlign w:val="center"/>
          </w:tcPr>
          <w:p w14:paraId="208AA3F9" w14:textId="39F6264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764,345,204,814</w:t>
            </w:r>
          </w:p>
        </w:tc>
        <w:tc>
          <w:tcPr>
            <w:tcW w:w="990" w:type="dxa"/>
            <w:tcBorders>
              <w:top w:val="nil"/>
              <w:left w:val="nil"/>
              <w:bottom w:val="single" w:sz="4" w:space="0" w:color="auto"/>
              <w:right w:val="single" w:sz="4" w:space="0" w:color="auto"/>
            </w:tcBorders>
            <w:shd w:val="clear" w:color="auto" w:fill="auto"/>
            <w:vAlign w:val="center"/>
            <w:hideMark/>
          </w:tcPr>
          <w:p w14:paraId="01C14B92" w14:textId="296A9C1F"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6.46%</w:t>
            </w:r>
          </w:p>
        </w:tc>
        <w:tc>
          <w:tcPr>
            <w:tcW w:w="1850" w:type="dxa"/>
            <w:tcBorders>
              <w:top w:val="nil"/>
              <w:left w:val="nil"/>
              <w:bottom w:val="single" w:sz="4" w:space="0" w:color="auto"/>
              <w:right w:val="single" w:sz="4" w:space="0" w:color="auto"/>
            </w:tcBorders>
            <w:shd w:val="clear" w:color="auto" w:fill="auto"/>
            <w:noWrap/>
            <w:vAlign w:val="center"/>
            <w:hideMark/>
          </w:tcPr>
          <w:p w14:paraId="6F7CD7C8" w14:textId="08709AAA"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724,974,218,266</w:t>
            </w:r>
          </w:p>
        </w:tc>
        <w:tc>
          <w:tcPr>
            <w:tcW w:w="967" w:type="dxa"/>
            <w:tcBorders>
              <w:top w:val="nil"/>
              <w:left w:val="nil"/>
              <w:bottom w:val="single" w:sz="4" w:space="0" w:color="auto"/>
              <w:right w:val="single" w:sz="4" w:space="0" w:color="auto"/>
            </w:tcBorders>
            <w:shd w:val="clear" w:color="auto" w:fill="auto"/>
            <w:vAlign w:val="center"/>
            <w:hideMark/>
          </w:tcPr>
          <w:p w14:paraId="236F1942"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4.30%</w:t>
            </w:r>
          </w:p>
        </w:tc>
        <w:tc>
          <w:tcPr>
            <w:tcW w:w="1976" w:type="dxa"/>
            <w:tcBorders>
              <w:top w:val="nil"/>
              <w:left w:val="nil"/>
              <w:bottom w:val="single" w:sz="4" w:space="0" w:color="auto"/>
              <w:right w:val="single" w:sz="4" w:space="0" w:color="auto"/>
            </w:tcBorders>
            <w:shd w:val="clear" w:color="auto" w:fill="auto"/>
            <w:noWrap/>
            <w:vAlign w:val="center"/>
            <w:hideMark/>
          </w:tcPr>
          <w:p w14:paraId="7828BE48" w14:textId="420C311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717,459,864,599</w:t>
            </w:r>
          </w:p>
        </w:tc>
        <w:tc>
          <w:tcPr>
            <w:tcW w:w="931" w:type="dxa"/>
            <w:tcBorders>
              <w:top w:val="nil"/>
              <w:left w:val="nil"/>
              <w:bottom w:val="single" w:sz="4" w:space="0" w:color="auto"/>
              <w:right w:val="single" w:sz="4" w:space="0" w:color="auto"/>
            </w:tcBorders>
            <w:shd w:val="clear" w:color="auto" w:fill="auto"/>
            <w:vAlign w:val="center"/>
            <w:hideMark/>
          </w:tcPr>
          <w:p w14:paraId="4E18D108" w14:textId="2878EE32"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4.86%</w:t>
            </w:r>
          </w:p>
        </w:tc>
        <w:tc>
          <w:tcPr>
            <w:tcW w:w="1893" w:type="dxa"/>
            <w:tcBorders>
              <w:top w:val="nil"/>
              <w:left w:val="nil"/>
              <w:bottom w:val="single" w:sz="4" w:space="0" w:color="auto"/>
              <w:right w:val="single" w:sz="4" w:space="0" w:color="auto"/>
            </w:tcBorders>
            <w:shd w:val="clear" w:color="auto" w:fill="auto"/>
            <w:noWrap/>
            <w:vAlign w:val="center"/>
            <w:hideMark/>
          </w:tcPr>
          <w:p w14:paraId="291809EE" w14:textId="0FDE431B"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(46,885,340,215)</w:t>
            </w:r>
          </w:p>
        </w:tc>
        <w:tc>
          <w:tcPr>
            <w:tcW w:w="725" w:type="dxa"/>
            <w:tcBorders>
              <w:top w:val="nil"/>
              <w:left w:val="nil"/>
              <w:bottom w:val="single" w:sz="4" w:space="0" w:color="auto"/>
              <w:right w:val="single" w:sz="4" w:space="0" w:color="auto"/>
            </w:tcBorders>
            <w:shd w:val="clear" w:color="auto" w:fill="auto"/>
            <w:noWrap/>
            <w:vAlign w:val="center"/>
            <w:hideMark/>
          </w:tcPr>
          <w:p w14:paraId="1A41CA20"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-6%</w:t>
            </w:r>
          </w:p>
        </w:tc>
        <w:tc>
          <w:tcPr>
            <w:tcW w:w="2013" w:type="dxa"/>
            <w:tcBorders>
              <w:top w:val="nil"/>
              <w:left w:val="nil"/>
              <w:bottom w:val="single" w:sz="4" w:space="0" w:color="auto"/>
              <w:right w:val="single" w:sz="4" w:space="0" w:color="auto"/>
            </w:tcBorders>
            <w:shd w:val="clear" w:color="auto" w:fill="auto"/>
            <w:noWrap/>
            <w:vAlign w:val="center"/>
            <w:hideMark/>
          </w:tcPr>
          <w:p w14:paraId="68F3FF38" w14:textId="5CC1127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(7,514,353,667)</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73930020"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w:t>
            </w:r>
          </w:p>
        </w:tc>
      </w:tr>
      <w:tr w:rsidR="00307842" w:rsidRPr="00C34532" w14:paraId="028AD346" w14:textId="77777777" w:rsidTr="00307842">
        <w:trPr>
          <w:trHeight w:val="3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910E2B2"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III. Bất động sản đầu tư</w:t>
            </w:r>
          </w:p>
        </w:tc>
        <w:tc>
          <w:tcPr>
            <w:tcW w:w="1710" w:type="dxa"/>
            <w:tcBorders>
              <w:top w:val="nil"/>
              <w:left w:val="nil"/>
              <w:bottom w:val="single" w:sz="4" w:space="0" w:color="auto"/>
              <w:right w:val="single" w:sz="4" w:space="0" w:color="auto"/>
            </w:tcBorders>
            <w:shd w:val="clear" w:color="auto" w:fill="auto"/>
            <w:noWrap/>
            <w:vAlign w:val="center"/>
          </w:tcPr>
          <w:p w14:paraId="77D59D21" w14:textId="33280BF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152,042,667,199</w:t>
            </w:r>
          </w:p>
        </w:tc>
        <w:tc>
          <w:tcPr>
            <w:tcW w:w="990" w:type="dxa"/>
            <w:tcBorders>
              <w:top w:val="nil"/>
              <w:left w:val="nil"/>
              <w:bottom w:val="single" w:sz="4" w:space="0" w:color="auto"/>
              <w:right w:val="single" w:sz="4" w:space="0" w:color="auto"/>
            </w:tcBorders>
            <w:shd w:val="clear" w:color="auto" w:fill="auto"/>
            <w:vAlign w:val="center"/>
            <w:hideMark/>
          </w:tcPr>
          <w:p w14:paraId="58F9EC5B" w14:textId="257449A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1.29%</w:t>
            </w:r>
          </w:p>
        </w:tc>
        <w:tc>
          <w:tcPr>
            <w:tcW w:w="1850" w:type="dxa"/>
            <w:tcBorders>
              <w:top w:val="nil"/>
              <w:left w:val="nil"/>
              <w:bottom w:val="single" w:sz="4" w:space="0" w:color="auto"/>
              <w:right w:val="single" w:sz="4" w:space="0" w:color="auto"/>
            </w:tcBorders>
            <w:shd w:val="clear" w:color="auto" w:fill="auto"/>
            <w:noWrap/>
            <w:vAlign w:val="center"/>
            <w:hideMark/>
          </w:tcPr>
          <w:p w14:paraId="06ED3228" w14:textId="7D89B73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106,656,556,640</w:t>
            </w:r>
          </w:p>
        </w:tc>
        <w:tc>
          <w:tcPr>
            <w:tcW w:w="967" w:type="dxa"/>
            <w:tcBorders>
              <w:top w:val="nil"/>
              <w:left w:val="nil"/>
              <w:bottom w:val="single" w:sz="4" w:space="0" w:color="auto"/>
              <w:right w:val="single" w:sz="4" w:space="0" w:color="auto"/>
            </w:tcBorders>
            <w:shd w:val="clear" w:color="auto" w:fill="auto"/>
            <w:vAlign w:val="center"/>
            <w:hideMark/>
          </w:tcPr>
          <w:p w14:paraId="54A9ECDD"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0.63%</w:t>
            </w:r>
          </w:p>
        </w:tc>
        <w:tc>
          <w:tcPr>
            <w:tcW w:w="1976" w:type="dxa"/>
            <w:tcBorders>
              <w:top w:val="nil"/>
              <w:left w:val="nil"/>
              <w:bottom w:val="single" w:sz="4" w:space="0" w:color="auto"/>
              <w:right w:val="single" w:sz="4" w:space="0" w:color="auto"/>
            </w:tcBorders>
            <w:shd w:val="clear" w:color="auto" w:fill="auto"/>
            <w:noWrap/>
            <w:vAlign w:val="center"/>
            <w:hideMark/>
          </w:tcPr>
          <w:p w14:paraId="15F0CD4E" w14:textId="486E892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103,767,439,988</w:t>
            </w:r>
          </w:p>
        </w:tc>
        <w:tc>
          <w:tcPr>
            <w:tcW w:w="931" w:type="dxa"/>
            <w:tcBorders>
              <w:top w:val="nil"/>
              <w:left w:val="nil"/>
              <w:bottom w:val="single" w:sz="4" w:space="0" w:color="auto"/>
              <w:right w:val="single" w:sz="4" w:space="0" w:color="auto"/>
            </w:tcBorders>
            <w:shd w:val="clear" w:color="auto" w:fill="auto"/>
            <w:vAlign w:val="center"/>
            <w:hideMark/>
          </w:tcPr>
          <w:p w14:paraId="5200D5D8" w14:textId="156C421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0.70%</w:t>
            </w:r>
          </w:p>
        </w:tc>
        <w:tc>
          <w:tcPr>
            <w:tcW w:w="1893" w:type="dxa"/>
            <w:tcBorders>
              <w:top w:val="nil"/>
              <w:left w:val="nil"/>
              <w:bottom w:val="single" w:sz="4" w:space="0" w:color="auto"/>
              <w:right w:val="single" w:sz="4" w:space="0" w:color="auto"/>
            </w:tcBorders>
            <w:shd w:val="clear" w:color="auto" w:fill="auto"/>
            <w:noWrap/>
            <w:vAlign w:val="center"/>
            <w:hideMark/>
          </w:tcPr>
          <w:p w14:paraId="05189544" w14:textId="7A4CA3E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(48,275,227,211)</w:t>
            </w:r>
          </w:p>
        </w:tc>
        <w:tc>
          <w:tcPr>
            <w:tcW w:w="725" w:type="dxa"/>
            <w:tcBorders>
              <w:top w:val="nil"/>
              <w:left w:val="nil"/>
              <w:bottom w:val="single" w:sz="4" w:space="0" w:color="auto"/>
              <w:right w:val="single" w:sz="4" w:space="0" w:color="auto"/>
            </w:tcBorders>
            <w:shd w:val="clear" w:color="auto" w:fill="auto"/>
            <w:noWrap/>
            <w:vAlign w:val="center"/>
            <w:hideMark/>
          </w:tcPr>
          <w:p w14:paraId="1B23045B"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-32%</w:t>
            </w:r>
          </w:p>
        </w:tc>
        <w:tc>
          <w:tcPr>
            <w:tcW w:w="2013" w:type="dxa"/>
            <w:tcBorders>
              <w:top w:val="nil"/>
              <w:left w:val="nil"/>
              <w:bottom w:val="single" w:sz="4" w:space="0" w:color="auto"/>
              <w:right w:val="single" w:sz="4" w:space="0" w:color="auto"/>
            </w:tcBorders>
            <w:shd w:val="clear" w:color="auto" w:fill="auto"/>
            <w:noWrap/>
            <w:vAlign w:val="center"/>
            <w:hideMark/>
          </w:tcPr>
          <w:p w14:paraId="296AE8CF" w14:textId="6939885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(2,889,116,652)</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05720733"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w:t>
            </w:r>
          </w:p>
        </w:tc>
      </w:tr>
      <w:tr w:rsidR="00307842" w:rsidRPr="00C34532" w14:paraId="47A53C58"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22D7CA32"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IV. Tài sản dở dang dài hạn</w:t>
            </w:r>
          </w:p>
        </w:tc>
        <w:tc>
          <w:tcPr>
            <w:tcW w:w="1710" w:type="dxa"/>
            <w:tcBorders>
              <w:top w:val="nil"/>
              <w:left w:val="nil"/>
              <w:bottom w:val="single" w:sz="4" w:space="0" w:color="auto"/>
              <w:right w:val="single" w:sz="4" w:space="0" w:color="auto"/>
            </w:tcBorders>
            <w:shd w:val="clear" w:color="auto" w:fill="auto"/>
            <w:noWrap/>
            <w:vAlign w:val="center"/>
          </w:tcPr>
          <w:p w14:paraId="4B74A89F" w14:textId="22602B8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87,977,366,707</w:t>
            </w:r>
          </w:p>
        </w:tc>
        <w:tc>
          <w:tcPr>
            <w:tcW w:w="990" w:type="dxa"/>
            <w:tcBorders>
              <w:top w:val="nil"/>
              <w:left w:val="nil"/>
              <w:bottom w:val="single" w:sz="4" w:space="0" w:color="auto"/>
              <w:right w:val="single" w:sz="4" w:space="0" w:color="auto"/>
            </w:tcBorders>
            <w:shd w:val="clear" w:color="auto" w:fill="auto"/>
            <w:vAlign w:val="center"/>
            <w:hideMark/>
          </w:tcPr>
          <w:p w14:paraId="5575BF0A" w14:textId="460BF45C"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0.74%</w:t>
            </w:r>
          </w:p>
        </w:tc>
        <w:tc>
          <w:tcPr>
            <w:tcW w:w="1850" w:type="dxa"/>
            <w:tcBorders>
              <w:top w:val="nil"/>
              <w:left w:val="nil"/>
              <w:bottom w:val="single" w:sz="4" w:space="0" w:color="auto"/>
              <w:right w:val="single" w:sz="4" w:space="0" w:color="auto"/>
            </w:tcBorders>
            <w:shd w:val="clear" w:color="auto" w:fill="auto"/>
            <w:noWrap/>
            <w:vAlign w:val="center"/>
            <w:hideMark/>
          </w:tcPr>
          <w:p w14:paraId="212ED653" w14:textId="730270D8"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115,145,030,948</w:t>
            </w:r>
          </w:p>
        </w:tc>
        <w:tc>
          <w:tcPr>
            <w:tcW w:w="967" w:type="dxa"/>
            <w:tcBorders>
              <w:top w:val="nil"/>
              <w:left w:val="nil"/>
              <w:bottom w:val="single" w:sz="4" w:space="0" w:color="auto"/>
              <w:right w:val="single" w:sz="4" w:space="0" w:color="auto"/>
            </w:tcBorders>
            <w:shd w:val="clear" w:color="auto" w:fill="auto"/>
            <w:vAlign w:val="center"/>
            <w:hideMark/>
          </w:tcPr>
          <w:p w14:paraId="1CE0F304"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0.68%</w:t>
            </w:r>
          </w:p>
        </w:tc>
        <w:tc>
          <w:tcPr>
            <w:tcW w:w="1976" w:type="dxa"/>
            <w:tcBorders>
              <w:top w:val="nil"/>
              <w:left w:val="nil"/>
              <w:bottom w:val="single" w:sz="4" w:space="0" w:color="auto"/>
              <w:right w:val="single" w:sz="4" w:space="0" w:color="auto"/>
            </w:tcBorders>
            <w:shd w:val="clear" w:color="auto" w:fill="auto"/>
            <w:noWrap/>
            <w:vAlign w:val="center"/>
            <w:hideMark/>
          </w:tcPr>
          <w:p w14:paraId="7CD79127" w14:textId="73B1D4F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126,652,346,287</w:t>
            </w:r>
          </w:p>
        </w:tc>
        <w:tc>
          <w:tcPr>
            <w:tcW w:w="931" w:type="dxa"/>
            <w:tcBorders>
              <w:top w:val="nil"/>
              <w:left w:val="nil"/>
              <w:bottom w:val="single" w:sz="4" w:space="0" w:color="auto"/>
              <w:right w:val="single" w:sz="4" w:space="0" w:color="auto"/>
            </w:tcBorders>
            <w:shd w:val="clear" w:color="auto" w:fill="auto"/>
            <w:vAlign w:val="center"/>
            <w:hideMark/>
          </w:tcPr>
          <w:p w14:paraId="74E887EA" w14:textId="4A6E7A31"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0.86%</w:t>
            </w:r>
          </w:p>
        </w:tc>
        <w:tc>
          <w:tcPr>
            <w:tcW w:w="1893" w:type="dxa"/>
            <w:tcBorders>
              <w:top w:val="nil"/>
              <w:left w:val="nil"/>
              <w:bottom w:val="single" w:sz="4" w:space="0" w:color="auto"/>
              <w:right w:val="single" w:sz="4" w:space="0" w:color="auto"/>
            </w:tcBorders>
            <w:shd w:val="clear" w:color="auto" w:fill="auto"/>
            <w:noWrap/>
            <w:vAlign w:val="center"/>
            <w:hideMark/>
          </w:tcPr>
          <w:p w14:paraId="17B31ADD" w14:textId="44BB3824"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38,674,979,580</w:t>
            </w:r>
          </w:p>
        </w:tc>
        <w:tc>
          <w:tcPr>
            <w:tcW w:w="725" w:type="dxa"/>
            <w:tcBorders>
              <w:top w:val="nil"/>
              <w:left w:val="nil"/>
              <w:bottom w:val="single" w:sz="4" w:space="0" w:color="auto"/>
              <w:right w:val="single" w:sz="4" w:space="0" w:color="auto"/>
            </w:tcBorders>
            <w:shd w:val="clear" w:color="auto" w:fill="auto"/>
            <w:noWrap/>
            <w:vAlign w:val="center"/>
            <w:hideMark/>
          </w:tcPr>
          <w:p w14:paraId="4D1A57B1"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44%</w:t>
            </w:r>
          </w:p>
        </w:tc>
        <w:tc>
          <w:tcPr>
            <w:tcW w:w="2013" w:type="dxa"/>
            <w:tcBorders>
              <w:top w:val="nil"/>
              <w:left w:val="nil"/>
              <w:bottom w:val="single" w:sz="4" w:space="0" w:color="auto"/>
              <w:right w:val="single" w:sz="4" w:space="0" w:color="auto"/>
            </w:tcBorders>
            <w:shd w:val="clear" w:color="auto" w:fill="auto"/>
            <w:noWrap/>
            <w:vAlign w:val="center"/>
            <w:hideMark/>
          </w:tcPr>
          <w:p w14:paraId="06A2FF1D" w14:textId="1CEB6C1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11,507,315,339</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3621BEE6"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10%</w:t>
            </w:r>
          </w:p>
        </w:tc>
      </w:tr>
      <w:tr w:rsidR="00307842" w:rsidRPr="00C34532" w14:paraId="1365982C" w14:textId="77777777" w:rsidTr="00307842">
        <w:trPr>
          <w:trHeight w:val="6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2908DE0D"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V. Đầu tư tài chính dài hạn</w:t>
            </w:r>
          </w:p>
        </w:tc>
        <w:tc>
          <w:tcPr>
            <w:tcW w:w="1710" w:type="dxa"/>
            <w:tcBorders>
              <w:top w:val="nil"/>
              <w:left w:val="nil"/>
              <w:bottom w:val="single" w:sz="4" w:space="0" w:color="auto"/>
              <w:right w:val="single" w:sz="4" w:space="0" w:color="auto"/>
            </w:tcBorders>
            <w:shd w:val="clear" w:color="auto" w:fill="auto"/>
            <w:noWrap/>
            <w:vAlign w:val="center"/>
          </w:tcPr>
          <w:p w14:paraId="543B69A5" w14:textId="5E73566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299,295,959,493</w:t>
            </w:r>
          </w:p>
        </w:tc>
        <w:tc>
          <w:tcPr>
            <w:tcW w:w="990" w:type="dxa"/>
            <w:tcBorders>
              <w:top w:val="nil"/>
              <w:left w:val="nil"/>
              <w:bottom w:val="single" w:sz="4" w:space="0" w:color="auto"/>
              <w:right w:val="single" w:sz="4" w:space="0" w:color="auto"/>
            </w:tcBorders>
            <w:shd w:val="clear" w:color="auto" w:fill="auto"/>
            <w:vAlign w:val="center"/>
            <w:hideMark/>
          </w:tcPr>
          <w:p w14:paraId="0650BF61" w14:textId="48BB8D2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2.53%</w:t>
            </w:r>
          </w:p>
        </w:tc>
        <w:tc>
          <w:tcPr>
            <w:tcW w:w="1850" w:type="dxa"/>
            <w:tcBorders>
              <w:top w:val="nil"/>
              <w:left w:val="nil"/>
              <w:bottom w:val="single" w:sz="4" w:space="0" w:color="auto"/>
              <w:right w:val="single" w:sz="4" w:space="0" w:color="auto"/>
            </w:tcBorders>
            <w:shd w:val="clear" w:color="auto" w:fill="auto"/>
            <w:noWrap/>
            <w:vAlign w:val="center"/>
            <w:hideMark/>
          </w:tcPr>
          <w:p w14:paraId="62CA96F2" w14:textId="26630F3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349,246,482,765</w:t>
            </w:r>
          </w:p>
        </w:tc>
        <w:tc>
          <w:tcPr>
            <w:tcW w:w="967" w:type="dxa"/>
            <w:tcBorders>
              <w:top w:val="nil"/>
              <w:left w:val="nil"/>
              <w:bottom w:val="single" w:sz="4" w:space="0" w:color="auto"/>
              <w:right w:val="single" w:sz="4" w:space="0" w:color="auto"/>
            </w:tcBorders>
            <w:shd w:val="clear" w:color="auto" w:fill="auto"/>
            <w:vAlign w:val="center"/>
            <w:hideMark/>
          </w:tcPr>
          <w:p w14:paraId="110DB049"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2.07%</w:t>
            </w:r>
          </w:p>
        </w:tc>
        <w:tc>
          <w:tcPr>
            <w:tcW w:w="1976" w:type="dxa"/>
            <w:tcBorders>
              <w:top w:val="nil"/>
              <w:left w:val="nil"/>
              <w:bottom w:val="single" w:sz="4" w:space="0" w:color="auto"/>
              <w:right w:val="single" w:sz="4" w:space="0" w:color="auto"/>
            </w:tcBorders>
            <w:shd w:val="clear" w:color="auto" w:fill="auto"/>
            <w:noWrap/>
            <w:vAlign w:val="center"/>
            <w:hideMark/>
          </w:tcPr>
          <w:p w14:paraId="5530A959" w14:textId="34DFEE59"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353,684,470,238</w:t>
            </w:r>
          </w:p>
        </w:tc>
        <w:tc>
          <w:tcPr>
            <w:tcW w:w="931" w:type="dxa"/>
            <w:tcBorders>
              <w:top w:val="nil"/>
              <w:left w:val="nil"/>
              <w:bottom w:val="single" w:sz="4" w:space="0" w:color="auto"/>
              <w:right w:val="single" w:sz="4" w:space="0" w:color="auto"/>
            </w:tcBorders>
            <w:shd w:val="clear" w:color="auto" w:fill="auto"/>
            <w:vAlign w:val="center"/>
            <w:hideMark/>
          </w:tcPr>
          <w:p w14:paraId="46DDAA73" w14:textId="76C7C54D"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2.40%</w:t>
            </w:r>
          </w:p>
        </w:tc>
        <w:tc>
          <w:tcPr>
            <w:tcW w:w="1893" w:type="dxa"/>
            <w:tcBorders>
              <w:top w:val="nil"/>
              <w:left w:val="nil"/>
              <w:bottom w:val="single" w:sz="4" w:space="0" w:color="auto"/>
              <w:right w:val="single" w:sz="4" w:space="0" w:color="auto"/>
            </w:tcBorders>
            <w:shd w:val="clear" w:color="auto" w:fill="auto"/>
            <w:noWrap/>
            <w:vAlign w:val="center"/>
            <w:hideMark/>
          </w:tcPr>
          <w:p w14:paraId="40E0E5EE" w14:textId="233166E2"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54,388,510,745</w:t>
            </w:r>
          </w:p>
        </w:tc>
        <w:tc>
          <w:tcPr>
            <w:tcW w:w="725" w:type="dxa"/>
            <w:tcBorders>
              <w:top w:val="nil"/>
              <w:left w:val="nil"/>
              <w:bottom w:val="single" w:sz="4" w:space="0" w:color="auto"/>
              <w:right w:val="single" w:sz="4" w:space="0" w:color="auto"/>
            </w:tcBorders>
            <w:shd w:val="clear" w:color="auto" w:fill="auto"/>
            <w:noWrap/>
            <w:vAlign w:val="center"/>
            <w:hideMark/>
          </w:tcPr>
          <w:p w14:paraId="0EE1A15F"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18%</w:t>
            </w:r>
          </w:p>
        </w:tc>
        <w:tc>
          <w:tcPr>
            <w:tcW w:w="2013" w:type="dxa"/>
            <w:tcBorders>
              <w:top w:val="nil"/>
              <w:left w:val="nil"/>
              <w:bottom w:val="single" w:sz="4" w:space="0" w:color="auto"/>
              <w:right w:val="single" w:sz="4" w:space="0" w:color="auto"/>
            </w:tcBorders>
            <w:shd w:val="clear" w:color="auto" w:fill="auto"/>
            <w:noWrap/>
            <w:vAlign w:val="center"/>
            <w:hideMark/>
          </w:tcPr>
          <w:p w14:paraId="00F87F0D" w14:textId="1B9340F2"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4,437,987,473</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582EB86A"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w:t>
            </w:r>
          </w:p>
        </w:tc>
      </w:tr>
      <w:tr w:rsidR="00307842" w:rsidRPr="00C34532" w14:paraId="1827D133" w14:textId="77777777" w:rsidTr="00307842">
        <w:trPr>
          <w:trHeight w:val="3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B8B90DF"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lang w:bidi="th-TH"/>
                <w14:ligatures w14:val="none"/>
              </w:rPr>
            </w:pPr>
            <w:r w:rsidRPr="00C34532">
              <w:rPr>
                <w:rFonts w:ascii="Times New Roman" w:eastAsia="Times New Roman" w:hAnsi="Times New Roman" w:cs="Times New Roman"/>
                <w:color w:val="000000"/>
                <w:kern w:val="0"/>
                <w:lang w:bidi="th-TH"/>
                <w14:ligatures w14:val="none"/>
              </w:rPr>
              <w:t>VI. Tài sản dài hạn khác</w:t>
            </w:r>
          </w:p>
        </w:tc>
        <w:tc>
          <w:tcPr>
            <w:tcW w:w="1710" w:type="dxa"/>
            <w:tcBorders>
              <w:top w:val="nil"/>
              <w:left w:val="nil"/>
              <w:bottom w:val="single" w:sz="4" w:space="0" w:color="auto"/>
              <w:right w:val="single" w:sz="4" w:space="0" w:color="auto"/>
            </w:tcBorders>
            <w:shd w:val="clear" w:color="auto" w:fill="auto"/>
            <w:noWrap/>
            <w:vAlign w:val="center"/>
          </w:tcPr>
          <w:p w14:paraId="7441A063" w14:textId="09C67E45"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112,071,526,640</w:t>
            </w:r>
          </w:p>
        </w:tc>
        <w:tc>
          <w:tcPr>
            <w:tcW w:w="990" w:type="dxa"/>
            <w:tcBorders>
              <w:top w:val="nil"/>
              <w:left w:val="nil"/>
              <w:bottom w:val="single" w:sz="4" w:space="0" w:color="auto"/>
              <w:right w:val="single" w:sz="4" w:space="0" w:color="auto"/>
            </w:tcBorders>
            <w:shd w:val="clear" w:color="auto" w:fill="auto"/>
            <w:vAlign w:val="center"/>
            <w:hideMark/>
          </w:tcPr>
          <w:p w14:paraId="14B2ECF4" w14:textId="7404A076"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0.95%</w:t>
            </w:r>
          </w:p>
        </w:tc>
        <w:tc>
          <w:tcPr>
            <w:tcW w:w="1850" w:type="dxa"/>
            <w:tcBorders>
              <w:top w:val="nil"/>
              <w:left w:val="nil"/>
              <w:bottom w:val="single" w:sz="4" w:space="0" w:color="auto"/>
              <w:right w:val="single" w:sz="4" w:space="0" w:color="auto"/>
            </w:tcBorders>
            <w:shd w:val="clear" w:color="auto" w:fill="auto"/>
            <w:noWrap/>
            <w:vAlign w:val="center"/>
            <w:hideMark/>
          </w:tcPr>
          <w:p w14:paraId="2F391134" w14:textId="1124F1AA"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225,978,312,351</w:t>
            </w:r>
          </w:p>
        </w:tc>
        <w:tc>
          <w:tcPr>
            <w:tcW w:w="967" w:type="dxa"/>
            <w:tcBorders>
              <w:top w:val="nil"/>
              <w:left w:val="nil"/>
              <w:bottom w:val="single" w:sz="4" w:space="0" w:color="auto"/>
              <w:right w:val="single" w:sz="4" w:space="0" w:color="auto"/>
            </w:tcBorders>
            <w:shd w:val="clear" w:color="auto" w:fill="auto"/>
            <w:vAlign w:val="center"/>
            <w:hideMark/>
          </w:tcPr>
          <w:p w14:paraId="3B55B316"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1.34%</w:t>
            </w:r>
          </w:p>
        </w:tc>
        <w:tc>
          <w:tcPr>
            <w:tcW w:w="1976" w:type="dxa"/>
            <w:tcBorders>
              <w:top w:val="nil"/>
              <w:left w:val="nil"/>
              <w:bottom w:val="single" w:sz="4" w:space="0" w:color="auto"/>
              <w:right w:val="single" w:sz="4" w:space="0" w:color="auto"/>
            </w:tcBorders>
            <w:shd w:val="clear" w:color="auto" w:fill="auto"/>
            <w:noWrap/>
            <w:vAlign w:val="center"/>
            <w:hideMark/>
          </w:tcPr>
          <w:p w14:paraId="61C4197F" w14:textId="3E2DA3F1"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187,500,312,285</w:t>
            </w:r>
          </w:p>
        </w:tc>
        <w:tc>
          <w:tcPr>
            <w:tcW w:w="931" w:type="dxa"/>
            <w:tcBorders>
              <w:top w:val="nil"/>
              <w:left w:val="nil"/>
              <w:bottom w:val="single" w:sz="4" w:space="0" w:color="auto"/>
              <w:right w:val="single" w:sz="4" w:space="0" w:color="auto"/>
            </w:tcBorders>
            <w:shd w:val="clear" w:color="auto" w:fill="auto"/>
            <w:vAlign w:val="center"/>
            <w:hideMark/>
          </w:tcPr>
          <w:p w14:paraId="3B131A6B" w14:textId="4EEFFFAF"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1.27%</w:t>
            </w:r>
          </w:p>
        </w:tc>
        <w:tc>
          <w:tcPr>
            <w:tcW w:w="1893" w:type="dxa"/>
            <w:tcBorders>
              <w:top w:val="nil"/>
              <w:left w:val="nil"/>
              <w:bottom w:val="single" w:sz="4" w:space="0" w:color="auto"/>
              <w:right w:val="single" w:sz="4" w:space="0" w:color="auto"/>
            </w:tcBorders>
            <w:shd w:val="clear" w:color="auto" w:fill="auto"/>
            <w:noWrap/>
            <w:vAlign w:val="center"/>
            <w:hideMark/>
          </w:tcPr>
          <w:p w14:paraId="66E94952" w14:textId="718241FA"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75,428,785,645</w:t>
            </w:r>
          </w:p>
        </w:tc>
        <w:tc>
          <w:tcPr>
            <w:tcW w:w="725" w:type="dxa"/>
            <w:tcBorders>
              <w:top w:val="nil"/>
              <w:left w:val="nil"/>
              <w:bottom w:val="single" w:sz="4" w:space="0" w:color="auto"/>
              <w:right w:val="single" w:sz="4" w:space="0" w:color="auto"/>
            </w:tcBorders>
            <w:shd w:val="clear" w:color="auto" w:fill="auto"/>
            <w:noWrap/>
            <w:vAlign w:val="center"/>
            <w:hideMark/>
          </w:tcPr>
          <w:p w14:paraId="1EAEAF73"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67%</w:t>
            </w:r>
          </w:p>
        </w:tc>
        <w:tc>
          <w:tcPr>
            <w:tcW w:w="2013" w:type="dxa"/>
            <w:tcBorders>
              <w:top w:val="nil"/>
              <w:left w:val="nil"/>
              <w:bottom w:val="single" w:sz="4" w:space="0" w:color="auto"/>
              <w:right w:val="single" w:sz="4" w:space="0" w:color="auto"/>
            </w:tcBorders>
            <w:shd w:val="clear" w:color="auto" w:fill="auto"/>
            <w:noWrap/>
            <w:vAlign w:val="center"/>
            <w:hideMark/>
          </w:tcPr>
          <w:p w14:paraId="2E8D8E65" w14:textId="2D2A0770"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(38,478,000,066)</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079C7457" w14:textId="77777777" w:rsidR="00307842" w:rsidRPr="00C34532" w:rsidRDefault="00307842" w:rsidP="00307842">
            <w:pPr>
              <w:spacing w:after="0" w:line="240" w:lineRule="auto"/>
              <w:jc w:val="center"/>
              <w:rPr>
                <w:rFonts w:ascii="Times New Roman" w:eastAsia="Times New Roman" w:hAnsi="Times New Roman" w:cs="Times New Roman"/>
                <w:color w:val="000000"/>
                <w:kern w:val="0"/>
                <w:sz w:val="20"/>
                <w:szCs w:val="20"/>
                <w:lang w:bidi="th-TH"/>
                <w14:ligatures w14:val="none"/>
              </w:rPr>
            </w:pPr>
            <w:r w:rsidRPr="00C34532">
              <w:rPr>
                <w:rFonts w:ascii="Times New Roman" w:eastAsia="Times New Roman" w:hAnsi="Times New Roman" w:cs="Times New Roman"/>
                <w:color w:val="000000"/>
                <w:kern w:val="0"/>
                <w:sz w:val="20"/>
                <w:szCs w:val="20"/>
                <w:lang w:bidi="th-TH"/>
                <w14:ligatures w14:val="none"/>
              </w:rPr>
              <w:t>-17%</w:t>
            </w:r>
          </w:p>
        </w:tc>
      </w:tr>
      <w:tr w:rsidR="00307842" w:rsidRPr="00C34532" w14:paraId="3ABEFBDE" w14:textId="77777777" w:rsidTr="00307842">
        <w:trPr>
          <w:trHeight w:val="300"/>
          <w:jc w:val="center"/>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A914FB8"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TỔNG CỘNG TÀI SẢN</w:t>
            </w:r>
          </w:p>
        </w:tc>
        <w:tc>
          <w:tcPr>
            <w:tcW w:w="1710" w:type="dxa"/>
            <w:tcBorders>
              <w:top w:val="nil"/>
              <w:left w:val="nil"/>
              <w:bottom w:val="single" w:sz="4" w:space="0" w:color="auto"/>
              <w:right w:val="single" w:sz="4" w:space="0" w:color="auto"/>
            </w:tcBorders>
            <w:shd w:val="clear" w:color="auto" w:fill="auto"/>
            <w:noWrap/>
            <w:vAlign w:val="center"/>
          </w:tcPr>
          <w:p w14:paraId="43AC168B" w14:textId="1EE6D02B"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11,826,163,041,713</w:t>
            </w:r>
          </w:p>
        </w:tc>
        <w:tc>
          <w:tcPr>
            <w:tcW w:w="990" w:type="dxa"/>
            <w:tcBorders>
              <w:top w:val="nil"/>
              <w:left w:val="nil"/>
              <w:bottom w:val="single" w:sz="4" w:space="0" w:color="auto"/>
              <w:right w:val="single" w:sz="4" w:space="0" w:color="auto"/>
            </w:tcBorders>
            <w:shd w:val="clear" w:color="auto" w:fill="auto"/>
            <w:vAlign w:val="center"/>
            <w:hideMark/>
          </w:tcPr>
          <w:p w14:paraId="3BE99E06" w14:textId="60C36765"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100%</w:t>
            </w:r>
          </w:p>
        </w:tc>
        <w:tc>
          <w:tcPr>
            <w:tcW w:w="1850" w:type="dxa"/>
            <w:tcBorders>
              <w:top w:val="nil"/>
              <w:left w:val="nil"/>
              <w:bottom w:val="single" w:sz="4" w:space="0" w:color="auto"/>
              <w:right w:val="single" w:sz="4" w:space="0" w:color="auto"/>
            </w:tcBorders>
            <w:shd w:val="clear" w:color="auto" w:fill="auto"/>
            <w:noWrap/>
            <w:vAlign w:val="center"/>
            <w:hideMark/>
          </w:tcPr>
          <w:p w14:paraId="0C60299E" w14:textId="2B3C0BCF"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16,846,904,640,870</w:t>
            </w:r>
          </w:p>
        </w:tc>
        <w:tc>
          <w:tcPr>
            <w:tcW w:w="967" w:type="dxa"/>
            <w:tcBorders>
              <w:top w:val="nil"/>
              <w:left w:val="nil"/>
              <w:bottom w:val="single" w:sz="4" w:space="0" w:color="auto"/>
              <w:right w:val="single" w:sz="4" w:space="0" w:color="auto"/>
            </w:tcBorders>
            <w:shd w:val="clear" w:color="auto" w:fill="auto"/>
            <w:vAlign w:val="center"/>
            <w:hideMark/>
          </w:tcPr>
          <w:p w14:paraId="60295947"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100%</w:t>
            </w:r>
          </w:p>
        </w:tc>
        <w:tc>
          <w:tcPr>
            <w:tcW w:w="1976" w:type="dxa"/>
            <w:tcBorders>
              <w:top w:val="nil"/>
              <w:left w:val="nil"/>
              <w:bottom w:val="single" w:sz="4" w:space="0" w:color="auto"/>
              <w:right w:val="single" w:sz="4" w:space="0" w:color="auto"/>
            </w:tcBorders>
            <w:shd w:val="clear" w:color="auto" w:fill="auto"/>
            <w:noWrap/>
            <w:vAlign w:val="center"/>
            <w:hideMark/>
          </w:tcPr>
          <w:p w14:paraId="2D52F28E" w14:textId="61D81732"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14,747,796,227,885</w:t>
            </w:r>
          </w:p>
        </w:tc>
        <w:tc>
          <w:tcPr>
            <w:tcW w:w="931" w:type="dxa"/>
            <w:tcBorders>
              <w:top w:val="nil"/>
              <w:left w:val="nil"/>
              <w:bottom w:val="single" w:sz="4" w:space="0" w:color="auto"/>
              <w:right w:val="single" w:sz="4" w:space="0" w:color="auto"/>
            </w:tcBorders>
            <w:shd w:val="clear" w:color="auto" w:fill="auto"/>
            <w:vAlign w:val="center"/>
            <w:hideMark/>
          </w:tcPr>
          <w:p w14:paraId="622FEB6E" w14:textId="31346246"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100%</w:t>
            </w:r>
          </w:p>
        </w:tc>
        <w:tc>
          <w:tcPr>
            <w:tcW w:w="1893" w:type="dxa"/>
            <w:tcBorders>
              <w:top w:val="nil"/>
              <w:left w:val="nil"/>
              <w:bottom w:val="single" w:sz="4" w:space="0" w:color="auto"/>
              <w:right w:val="single" w:sz="4" w:space="0" w:color="auto"/>
            </w:tcBorders>
            <w:shd w:val="clear" w:color="auto" w:fill="auto"/>
            <w:noWrap/>
            <w:vAlign w:val="center"/>
            <w:hideMark/>
          </w:tcPr>
          <w:p w14:paraId="6367BD7D" w14:textId="54954B29"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2,921,633,186,172</w:t>
            </w:r>
          </w:p>
        </w:tc>
        <w:tc>
          <w:tcPr>
            <w:tcW w:w="725" w:type="dxa"/>
            <w:tcBorders>
              <w:top w:val="nil"/>
              <w:left w:val="nil"/>
              <w:bottom w:val="single" w:sz="4" w:space="0" w:color="auto"/>
              <w:right w:val="single" w:sz="4" w:space="0" w:color="auto"/>
            </w:tcBorders>
            <w:shd w:val="clear" w:color="auto" w:fill="auto"/>
            <w:noWrap/>
            <w:vAlign w:val="center"/>
            <w:hideMark/>
          </w:tcPr>
          <w:p w14:paraId="1DDD5F25"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25%</w:t>
            </w:r>
          </w:p>
        </w:tc>
        <w:tc>
          <w:tcPr>
            <w:tcW w:w="2013" w:type="dxa"/>
            <w:tcBorders>
              <w:top w:val="nil"/>
              <w:left w:val="nil"/>
              <w:bottom w:val="single" w:sz="4" w:space="0" w:color="auto"/>
              <w:right w:val="single" w:sz="4" w:space="0" w:color="auto"/>
            </w:tcBorders>
            <w:shd w:val="clear" w:color="auto" w:fill="auto"/>
            <w:noWrap/>
            <w:vAlign w:val="center"/>
            <w:hideMark/>
          </w:tcPr>
          <w:p w14:paraId="5097D626" w14:textId="7E71416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(2,099,108,412,985)</w:t>
            </w:r>
          </w:p>
        </w:tc>
        <w:tc>
          <w:tcPr>
            <w:tcW w:w="799" w:type="dxa"/>
            <w:gridSpan w:val="2"/>
            <w:tcBorders>
              <w:top w:val="nil"/>
              <w:left w:val="nil"/>
              <w:bottom w:val="single" w:sz="4" w:space="0" w:color="auto"/>
              <w:right w:val="single" w:sz="4" w:space="0" w:color="auto"/>
            </w:tcBorders>
            <w:shd w:val="clear" w:color="auto" w:fill="auto"/>
            <w:noWrap/>
            <w:vAlign w:val="center"/>
            <w:hideMark/>
          </w:tcPr>
          <w:p w14:paraId="6BFF431F" w14:textId="77777777" w:rsidR="00307842" w:rsidRPr="00C34532" w:rsidRDefault="00307842" w:rsidP="00307842">
            <w:pPr>
              <w:spacing w:after="0" w:line="240" w:lineRule="auto"/>
              <w:jc w:val="center"/>
              <w:rPr>
                <w:rFonts w:ascii="Times New Roman" w:eastAsia="Times New Roman" w:hAnsi="Times New Roman" w:cs="Times New Roman"/>
                <w:b/>
                <w:bCs/>
                <w:color w:val="000000"/>
                <w:kern w:val="0"/>
                <w:sz w:val="20"/>
                <w:szCs w:val="20"/>
                <w:lang w:bidi="th-TH"/>
                <w14:ligatures w14:val="none"/>
              </w:rPr>
            </w:pPr>
            <w:r w:rsidRPr="00C34532">
              <w:rPr>
                <w:rFonts w:ascii="Times New Roman" w:eastAsia="Times New Roman" w:hAnsi="Times New Roman" w:cs="Times New Roman"/>
                <w:b/>
                <w:bCs/>
                <w:color w:val="000000"/>
                <w:kern w:val="0"/>
                <w:sz w:val="20"/>
                <w:szCs w:val="20"/>
                <w:lang w:bidi="th-TH"/>
                <w14:ligatures w14:val="none"/>
              </w:rPr>
              <w:t>-12%</w:t>
            </w:r>
          </w:p>
        </w:tc>
      </w:tr>
    </w:tbl>
    <w:p w14:paraId="1264E695" w14:textId="2E094DEB" w:rsidR="001F1CE4" w:rsidRPr="00307842" w:rsidRDefault="003D6296" w:rsidP="001F1CE4">
      <w:pPr>
        <w:pStyle w:val="ListParagraph"/>
        <w:spacing w:line="276" w:lineRule="auto"/>
        <w:ind w:left="450" w:firstLine="270"/>
        <w:rPr>
          <w:rFonts w:ascii="Times New Roman" w:hAnsi="Times New Roman" w:cs="Times New Roman"/>
          <w:sz w:val="26"/>
          <w:szCs w:val="26"/>
        </w:rPr>
      </w:pPr>
      <w:r>
        <w:rPr>
          <w:rFonts w:ascii="Times New Roman" w:hAnsi="Times New Roman" w:cs="Times New Roman"/>
          <w:sz w:val="26"/>
          <w:szCs w:val="26"/>
        </w:rPr>
        <w:lastRenderedPageBreak/>
        <w:t>Thông q</w:t>
      </w:r>
      <w:r w:rsidRPr="003D6296">
        <w:rPr>
          <w:rFonts w:ascii="Times New Roman" w:hAnsi="Times New Roman" w:cs="Times New Roman"/>
          <w:sz w:val="26"/>
          <w:szCs w:val="26"/>
        </w:rPr>
        <w:t>ua Bảng 1.2, chúng ta có thể nhận thấy một số xu hướng và biến động trong cơ cấu tài sản của Tập đoàn DIC Group giai đoạn từ 2020 đến 2022.</w:t>
      </w:r>
      <w:r w:rsidR="001F1CE4">
        <w:rPr>
          <w:rFonts w:ascii="Times New Roman" w:hAnsi="Times New Roman" w:cs="Times New Roman"/>
          <w:sz w:val="26"/>
          <w:szCs w:val="26"/>
        </w:rPr>
        <w:t xml:space="preserve"> V</w:t>
      </w:r>
      <w:r w:rsidR="001F1CE4" w:rsidRPr="00307842">
        <w:rPr>
          <w:rFonts w:ascii="Times New Roman" w:hAnsi="Times New Roman" w:cs="Times New Roman"/>
          <w:sz w:val="26"/>
          <w:szCs w:val="26"/>
        </w:rPr>
        <w:t>ề cơ cấu tài sản của Tập đoàn DIC Group trong giai đoạn 2020-2022 cho thấy nhiều biến động đáng chú ý. Tổng tài sản của công ty tăng lên đáng kể từ năm 2020 đến năm 2021, nhưng giảm mạnh sau đó vào năm 2022. Sự</w:t>
      </w:r>
      <w:r w:rsidR="001F1CE4">
        <w:rPr>
          <w:rFonts w:ascii="Times New Roman" w:hAnsi="Times New Roman" w:cs="Times New Roman"/>
          <w:sz w:val="26"/>
          <w:szCs w:val="26"/>
        </w:rPr>
        <w:t xml:space="preserve"> </w:t>
      </w:r>
      <w:r w:rsidR="001F1CE4" w:rsidRPr="00307842">
        <w:rPr>
          <w:rFonts w:ascii="Times New Roman" w:hAnsi="Times New Roman" w:cs="Times New Roman"/>
          <w:sz w:val="26"/>
          <w:szCs w:val="26"/>
        </w:rPr>
        <w:t>giảm mạnh này chủ yếu đến từ cả hai loại tài sản, ngắn hạn và dài hạn.</w:t>
      </w:r>
    </w:p>
    <w:p w14:paraId="3B1B88FD" w14:textId="15AA1D9E" w:rsidR="003D6296" w:rsidRPr="003D6296" w:rsidRDefault="003D6296" w:rsidP="003D6296">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Tổng tài sản của doanh nghiệp trong giai đoạn này có sự giảm từ 11,214,616,631,891 đồng vào năm 2021 xuống còn</w:t>
      </w:r>
      <w:r>
        <w:rPr>
          <w:rFonts w:ascii="Times New Roman" w:hAnsi="Times New Roman" w:cs="Times New Roman"/>
          <w:sz w:val="26"/>
          <w:szCs w:val="26"/>
        </w:rPr>
        <w:t xml:space="preserve"> </w:t>
      </w:r>
      <w:r w:rsidRPr="003D6296">
        <w:rPr>
          <w:rFonts w:ascii="Times New Roman" w:hAnsi="Times New Roman" w:cs="Times New Roman"/>
          <w:sz w:val="26"/>
          <w:szCs w:val="26"/>
        </w:rPr>
        <w:t>10,877,019,373,058 đồng vào năm 2022. Sự giảm này chủ yếu đến từ giảm của tài sản ngắn hạn, giảm mạnh nhất là 3,577,867,023,207 đồng (tương ứng với 49%) so với năm 2020 và 337,597,258,833 đồng (tương ứng với 3%) so với năm 2021. Tương tự, tài sản dài hạn cũng giảm với tỷ trọng giảm là 14% so với năm 2021 và 31% so với năm 2020.</w:t>
      </w:r>
    </w:p>
    <w:p w14:paraId="38C33FBC" w14:textId="48A811C5" w:rsidR="003D6296" w:rsidRPr="003D6296" w:rsidRDefault="003D6296" w:rsidP="003D6296">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Tỷ trọng của tài sản ngắn hạn vẫn chiếm tỷ lệ lớn trong tổng tài sản, giảm từ 66.57% vào năm 2021 xuống còn 73.75% vào năm 2022. Điều này có thể cho thấy sự ổn định trong lĩnh vực kinh doanh xây dựng công trình của công ty.</w:t>
      </w:r>
    </w:p>
    <w:p w14:paraId="461487C0" w14:textId="36953441" w:rsidR="003D6296" w:rsidRPr="003D6296" w:rsidRDefault="003D6296" w:rsidP="003D6296">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Tiền và các khoản tương đương tiền có sự biến động nhẹ, tăng từ 402,938,011,038 đồng vào năm 2020 lên 245,914,234,531 đồng vào năm 2022. Tuy nhiên, tỷ trọng của nó trên tổng tài sản đã tăng đáng kể, từ 3.41% vào năm 2020 lên 67.3% vào năm 2022.</w:t>
      </w:r>
    </w:p>
    <w:p w14:paraId="0F09A47F" w14:textId="19C70055" w:rsidR="003D6296" w:rsidRPr="003D6296" w:rsidRDefault="003D6296" w:rsidP="003D6296">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Các khoản phải thu ngắn hạn có biến động lớn nhất trong tài sản ngắn hạn, tăng mạnh từ 2,255,191,037,837 đồng vào năm 2020 lên 4,336,772,938,536 đồng vào năm 2022. Tăng giảm đột ngột của khoản này có thể đặt ra những thách thức liên quan đến quản lý tài chính và thu hồi công nợ.</w:t>
      </w:r>
    </w:p>
    <w:p w14:paraId="722A61B1" w14:textId="48B58618" w:rsidR="003D6296" w:rsidRPr="003D6296" w:rsidRDefault="003D6296" w:rsidP="003D6296">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 xml:space="preserve">Hàng tồn kho có </w:t>
      </w:r>
      <w:r w:rsidR="001F1CE4">
        <w:rPr>
          <w:rFonts w:ascii="Times New Roman" w:hAnsi="Times New Roman" w:cs="Times New Roman"/>
          <w:sz w:val="26"/>
          <w:szCs w:val="26"/>
        </w:rPr>
        <w:t>tăng lên</w:t>
      </w:r>
      <w:r w:rsidRPr="003D6296">
        <w:rPr>
          <w:rFonts w:ascii="Times New Roman" w:hAnsi="Times New Roman" w:cs="Times New Roman"/>
          <w:sz w:val="26"/>
          <w:szCs w:val="26"/>
        </w:rPr>
        <w:t xml:space="preserve"> từ 4,395,131,702,337 đồng vào năm 2020</w:t>
      </w:r>
      <w:r w:rsidR="001F1CE4">
        <w:rPr>
          <w:rFonts w:ascii="Times New Roman" w:hAnsi="Times New Roman" w:cs="Times New Roman"/>
          <w:sz w:val="26"/>
          <w:szCs w:val="26"/>
        </w:rPr>
        <w:t xml:space="preserve"> tăng lên</w:t>
      </w:r>
      <w:r w:rsidRPr="003D6296">
        <w:rPr>
          <w:rFonts w:ascii="Times New Roman" w:hAnsi="Times New Roman" w:cs="Times New Roman"/>
          <w:sz w:val="26"/>
          <w:szCs w:val="26"/>
        </w:rPr>
        <w:t xml:space="preserve"> </w:t>
      </w:r>
      <w:r w:rsidR="001F1CE4" w:rsidRPr="001F1CE4">
        <w:rPr>
          <w:rFonts w:ascii="Times New Roman" w:hAnsi="Times New Roman" w:cs="Times New Roman"/>
          <w:sz w:val="26"/>
          <w:szCs w:val="26"/>
        </w:rPr>
        <w:t>5,923,303,752,238</w:t>
      </w:r>
      <w:r w:rsidRPr="003D6296">
        <w:rPr>
          <w:rFonts w:ascii="Times New Roman" w:hAnsi="Times New Roman" w:cs="Times New Roman"/>
          <w:sz w:val="26"/>
          <w:szCs w:val="26"/>
        </w:rPr>
        <w:t>đồng vào năm 2022. Sự</w:t>
      </w:r>
      <w:r w:rsidR="001F1CE4">
        <w:rPr>
          <w:rFonts w:ascii="Times New Roman" w:hAnsi="Times New Roman" w:cs="Times New Roman"/>
          <w:sz w:val="26"/>
          <w:szCs w:val="26"/>
        </w:rPr>
        <w:t xml:space="preserve"> tăng lên này phản ánh được các dự án xây dựng của DIC Group có sự tăng trưởng lên sau khi trải qua các biến động trước đó trong khoảng năm 2020 – 2021 do nhiều yếu tố như Covid-19 hay các khó khăn trong ngành xây dựng,...   </w:t>
      </w:r>
    </w:p>
    <w:p w14:paraId="1DF32F46" w14:textId="2B1B5964" w:rsidR="003D6296" w:rsidRDefault="003D6296" w:rsidP="003D6296">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Tài sản dài hạn của công ty có sự giảm nhẹ, đặc biệt là tài sản cố định giảm 6% so với năm 2021 và 38.08% so với năm 2020. Sự giảm này có thể xuất phát từ việc thanh lý một số tài sản cố định và chuyển đổi</w:t>
      </w:r>
      <w:r w:rsidR="001F1CE4">
        <w:rPr>
          <w:rFonts w:ascii="Times New Roman" w:hAnsi="Times New Roman" w:cs="Times New Roman"/>
          <w:sz w:val="26"/>
          <w:szCs w:val="26"/>
        </w:rPr>
        <w:t xml:space="preserve"> tài sản.</w:t>
      </w:r>
    </w:p>
    <w:p w14:paraId="0486D4CA" w14:textId="77777777" w:rsidR="001F1CE4" w:rsidRPr="003D6296" w:rsidRDefault="001F1CE4" w:rsidP="003D6296">
      <w:pPr>
        <w:pStyle w:val="ListParagraph"/>
        <w:spacing w:line="276" w:lineRule="auto"/>
        <w:ind w:left="450" w:firstLine="270"/>
        <w:rPr>
          <w:rFonts w:ascii="Times New Roman" w:hAnsi="Times New Roman" w:cs="Times New Roman"/>
          <w:sz w:val="26"/>
          <w:szCs w:val="26"/>
        </w:rPr>
      </w:pPr>
    </w:p>
    <w:p w14:paraId="2A15A4B9" w14:textId="2897FEAE" w:rsidR="00307842" w:rsidRDefault="003D6296" w:rsidP="001F1CE4">
      <w:pPr>
        <w:pStyle w:val="ListParagraph"/>
        <w:spacing w:line="276" w:lineRule="auto"/>
        <w:ind w:left="450" w:firstLine="270"/>
        <w:rPr>
          <w:rFonts w:ascii="Times New Roman" w:hAnsi="Times New Roman" w:cs="Times New Roman"/>
          <w:sz w:val="26"/>
          <w:szCs w:val="26"/>
        </w:rPr>
      </w:pPr>
      <w:r w:rsidRPr="003D6296">
        <w:rPr>
          <w:rFonts w:ascii="Times New Roman" w:hAnsi="Times New Roman" w:cs="Times New Roman"/>
          <w:sz w:val="26"/>
          <w:szCs w:val="26"/>
        </w:rPr>
        <w:t>Tổng quan, cơ cấu tài sản của Tập đoàn DIC Group trong giai đoạn nói trên phản ánh sự ổn định trong lĩnh vực kinh doanh xây dựng công trình, sự linh hoạt trong quản lý tài chính, và sự đáp ứng với biến động trong môi trường kinh doanh. Tuy nhiên, cần lưu ý đến những thách thức như giảm giá trị tài sản ngắn hạn và sự biến động lớn trong các khoản phải thu ngắn hạn.</w:t>
      </w:r>
    </w:p>
    <w:p w14:paraId="111BBEE4" w14:textId="3634BA5D" w:rsidR="00307842" w:rsidRPr="00307842" w:rsidRDefault="00307842" w:rsidP="001F1CE4">
      <w:pPr>
        <w:rPr>
          <w:rFonts w:ascii="Times New Roman" w:hAnsi="Times New Roman" w:cs="Times New Roman"/>
          <w:sz w:val="26"/>
          <w:szCs w:val="26"/>
        </w:rPr>
      </w:pPr>
      <w:r>
        <w:rPr>
          <w:rFonts w:ascii="Times New Roman" w:hAnsi="Times New Roman" w:cs="Times New Roman"/>
          <w:sz w:val="26"/>
          <w:szCs w:val="26"/>
        </w:rPr>
        <w:br w:type="page"/>
      </w:r>
    </w:p>
    <w:p w14:paraId="335139FB" w14:textId="17A6F7F6" w:rsidR="00307842" w:rsidRDefault="00FA0C3D" w:rsidP="00FA0C3D">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Phân tích cơ cấu nguồn vốn</w:t>
      </w:r>
    </w:p>
    <w:tbl>
      <w:tblPr>
        <w:tblpPr w:leftFromText="180" w:rightFromText="180" w:vertAnchor="page" w:horzAnchor="margin" w:tblpXSpec="center" w:tblpY="2731"/>
        <w:tblW w:w="16105" w:type="dxa"/>
        <w:tblLook w:val="04A0" w:firstRow="1" w:lastRow="0" w:firstColumn="1" w:lastColumn="0" w:noHBand="0" w:noVBand="1"/>
      </w:tblPr>
      <w:tblGrid>
        <w:gridCol w:w="2774"/>
        <w:gridCol w:w="1816"/>
        <w:gridCol w:w="879"/>
        <w:gridCol w:w="1816"/>
        <w:gridCol w:w="884"/>
        <w:gridCol w:w="1816"/>
        <w:gridCol w:w="940"/>
        <w:gridCol w:w="1850"/>
        <w:gridCol w:w="760"/>
        <w:gridCol w:w="1850"/>
        <w:gridCol w:w="720"/>
      </w:tblGrid>
      <w:tr w:rsidR="00DC2CA1" w:rsidRPr="00DC2CA1" w14:paraId="15C1AE01" w14:textId="77777777" w:rsidTr="00DC2CA1">
        <w:trPr>
          <w:trHeight w:val="300"/>
        </w:trPr>
        <w:tc>
          <w:tcPr>
            <w:tcW w:w="27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805C7C"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Chỉ tiêu</w:t>
            </w:r>
          </w:p>
        </w:tc>
        <w:tc>
          <w:tcPr>
            <w:tcW w:w="269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68FA5B"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2020</w:t>
            </w:r>
          </w:p>
        </w:tc>
        <w:tc>
          <w:tcPr>
            <w:tcW w:w="27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5951D3"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2021</w:t>
            </w:r>
          </w:p>
        </w:tc>
        <w:tc>
          <w:tcPr>
            <w:tcW w:w="275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A4BA2E"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2022</w:t>
            </w:r>
          </w:p>
        </w:tc>
        <w:tc>
          <w:tcPr>
            <w:tcW w:w="51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B876F31" w14:textId="6D008A10"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Cuối năm 2022 so với các năm</w:t>
            </w:r>
          </w:p>
        </w:tc>
      </w:tr>
      <w:tr w:rsidR="00DC2CA1" w:rsidRPr="00DC2CA1" w14:paraId="2E9E5EF1" w14:textId="77777777" w:rsidTr="00DC2CA1">
        <w:trPr>
          <w:trHeight w:val="300"/>
        </w:trPr>
        <w:tc>
          <w:tcPr>
            <w:tcW w:w="2774" w:type="dxa"/>
            <w:vMerge/>
            <w:tcBorders>
              <w:top w:val="single" w:sz="4" w:space="0" w:color="auto"/>
              <w:left w:val="single" w:sz="4" w:space="0" w:color="auto"/>
              <w:bottom w:val="single" w:sz="4" w:space="0" w:color="auto"/>
              <w:right w:val="single" w:sz="4" w:space="0" w:color="auto"/>
            </w:tcBorders>
            <w:vAlign w:val="center"/>
            <w:hideMark/>
          </w:tcPr>
          <w:p w14:paraId="423D11F0"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p>
        </w:tc>
        <w:tc>
          <w:tcPr>
            <w:tcW w:w="1816" w:type="dxa"/>
            <w:tcBorders>
              <w:top w:val="nil"/>
              <w:left w:val="nil"/>
              <w:bottom w:val="single" w:sz="4" w:space="0" w:color="auto"/>
              <w:right w:val="single" w:sz="4" w:space="0" w:color="auto"/>
            </w:tcBorders>
            <w:shd w:val="clear" w:color="auto" w:fill="auto"/>
            <w:noWrap/>
            <w:vAlign w:val="center"/>
            <w:hideMark/>
          </w:tcPr>
          <w:p w14:paraId="3BE5F928" w14:textId="25D38458"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Giá trị</w:t>
            </w:r>
          </w:p>
        </w:tc>
        <w:tc>
          <w:tcPr>
            <w:tcW w:w="879" w:type="dxa"/>
            <w:tcBorders>
              <w:top w:val="nil"/>
              <w:left w:val="nil"/>
              <w:bottom w:val="single" w:sz="4" w:space="0" w:color="auto"/>
              <w:right w:val="single" w:sz="4" w:space="0" w:color="auto"/>
            </w:tcBorders>
            <w:shd w:val="clear" w:color="auto" w:fill="auto"/>
            <w:vAlign w:val="center"/>
            <w:hideMark/>
          </w:tcPr>
          <w:p w14:paraId="00944CA0"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w:t>
            </w:r>
          </w:p>
        </w:tc>
        <w:tc>
          <w:tcPr>
            <w:tcW w:w="1816" w:type="dxa"/>
            <w:tcBorders>
              <w:top w:val="nil"/>
              <w:left w:val="nil"/>
              <w:bottom w:val="single" w:sz="4" w:space="0" w:color="auto"/>
              <w:right w:val="single" w:sz="4" w:space="0" w:color="auto"/>
            </w:tcBorders>
            <w:shd w:val="clear" w:color="auto" w:fill="auto"/>
            <w:noWrap/>
            <w:vAlign w:val="center"/>
            <w:hideMark/>
          </w:tcPr>
          <w:p w14:paraId="544C487A" w14:textId="286F6085"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Giá trị</w:t>
            </w:r>
          </w:p>
        </w:tc>
        <w:tc>
          <w:tcPr>
            <w:tcW w:w="884" w:type="dxa"/>
            <w:tcBorders>
              <w:top w:val="nil"/>
              <w:left w:val="nil"/>
              <w:bottom w:val="single" w:sz="4" w:space="0" w:color="auto"/>
              <w:right w:val="single" w:sz="4" w:space="0" w:color="auto"/>
            </w:tcBorders>
            <w:shd w:val="clear" w:color="auto" w:fill="auto"/>
            <w:vAlign w:val="center"/>
            <w:hideMark/>
          </w:tcPr>
          <w:p w14:paraId="0D854C90"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w:t>
            </w:r>
          </w:p>
        </w:tc>
        <w:tc>
          <w:tcPr>
            <w:tcW w:w="1816" w:type="dxa"/>
            <w:tcBorders>
              <w:top w:val="nil"/>
              <w:left w:val="nil"/>
              <w:bottom w:val="single" w:sz="4" w:space="0" w:color="auto"/>
              <w:right w:val="single" w:sz="4" w:space="0" w:color="auto"/>
            </w:tcBorders>
            <w:shd w:val="clear" w:color="auto" w:fill="auto"/>
            <w:noWrap/>
            <w:vAlign w:val="center"/>
            <w:hideMark/>
          </w:tcPr>
          <w:p w14:paraId="4DD6DFE4" w14:textId="6A4357A1"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Giá trị</w:t>
            </w:r>
          </w:p>
        </w:tc>
        <w:tc>
          <w:tcPr>
            <w:tcW w:w="940" w:type="dxa"/>
            <w:tcBorders>
              <w:top w:val="nil"/>
              <w:left w:val="nil"/>
              <w:bottom w:val="single" w:sz="4" w:space="0" w:color="auto"/>
              <w:right w:val="single" w:sz="4" w:space="0" w:color="auto"/>
            </w:tcBorders>
            <w:shd w:val="clear" w:color="auto" w:fill="auto"/>
            <w:vAlign w:val="center"/>
            <w:hideMark/>
          </w:tcPr>
          <w:p w14:paraId="475814C8"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w:t>
            </w:r>
          </w:p>
        </w:tc>
        <w:tc>
          <w:tcPr>
            <w:tcW w:w="1850" w:type="dxa"/>
            <w:tcBorders>
              <w:top w:val="nil"/>
              <w:left w:val="nil"/>
              <w:bottom w:val="single" w:sz="4" w:space="0" w:color="auto"/>
              <w:right w:val="single" w:sz="4" w:space="0" w:color="auto"/>
            </w:tcBorders>
            <w:shd w:val="clear" w:color="auto" w:fill="auto"/>
            <w:noWrap/>
            <w:vAlign w:val="center"/>
            <w:hideMark/>
          </w:tcPr>
          <w:p w14:paraId="1922062A"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2020(+/-)</w:t>
            </w:r>
          </w:p>
        </w:tc>
        <w:tc>
          <w:tcPr>
            <w:tcW w:w="760" w:type="dxa"/>
            <w:tcBorders>
              <w:top w:val="nil"/>
              <w:left w:val="nil"/>
              <w:bottom w:val="single" w:sz="4" w:space="0" w:color="auto"/>
              <w:right w:val="single" w:sz="4" w:space="0" w:color="auto"/>
            </w:tcBorders>
            <w:shd w:val="clear" w:color="auto" w:fill="auto"/>
            <w:vAlign w:val="center"/>
            <w:hideMark/>
          </w:tcPr>
          <w:p w14:paraId="49533400" w14:textId="348598DA"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w:t>
            </w:r>
          </w:p>
        </w:tc>
        <w:tc>
          <w:tcPr>
            <w:tcW w:w="1850" w:type="dxa"/>
            <w:tcBorders>
              <w:top w:val="nil"/>
              <w:left w:val="nil"/>
              <w:bottom w:val="single" w:sz="4" w:space="0" w:color="auto"/>
              <w:right w:val="single" w:sz="4" w:space="0" w:color="auto"/>
            </w:tcBorders>
            <w:shd w:val="clear" w:color="auto" w:fill="auto"/>
            <w:noWrap/>
            <w:vAlign w:val="center"/>
            <w:hideMark/>
          </w:tcPr>
          <w:p w14:paraId="17FECD6D" w14:textId="77777777"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2021(+/-)</w:t>
            </w:r>
          </w:p>
        </w:tc>
        <w:tc>
          <w:tcPr>
            <w:tcW w:w="720" w:type="dxa"/>
            <w:tcBorders>
              <w:top w:val="nil"/>
              <w:left w:val="nil"/>
              <w:bottom w:val="single" w:sz="4" w:space="0" w:color="auto"/>
              <w:right w:val="single" w:sz="4" w:space="0" w:color="auto"/>
            </w:tcBorders>
            <w:shd w:val="clear" w:color="auto" w:fill="auto"/>
            <w:vAlign w:val="center"/>
            <w:hideMark/>
          </w:tcPr>
          <w:p w14:paraId="251B97E1" w14:textId="0445A31D" w:rsidR="00DC2CA1" w:rsidRPr="00DC2CA1" w:rsidRDefault="00DC2CA1" w:rsidP="00DC2CA1">
            <w:pPr>
              <w:spacing w:after="0" w:line="240" w:lineRule="auto"/>
              <w:jc w:val="center"/>
              <w:rPr>
                <w:rFonts w:ascii="Times New Roman" w:eastAsia="Times New Roman" w:hAnsi="Times New Roman" w:cs="Times New Roman"/>
                <w:b/>
                <w:bCs/>
                <w:color w:val="000000"/>
                <w:kern w:val="0"/>
                <w:lang w:bidi="th-TH"/>
                <w14:ligatures w14:val="none"/>
              </w:rPr>
            </w:pPr>
            <w:r w:rsidRPr="00DC2CA1">
              <w:rPr>
                <w:rFonts w:ascii="Times New Roman" w:eastAsia="Times New Roman" w:hAnsi="Times New Roman" w:cs="Times New Roman"/>
                <w:b/>
                <w:bCs/>
                <w:color w:val="000000"/>
                <w:kern w:val="0"/>
                <w:lang w:bidi="th-TH"/>
                <w14:ligatures w14:val="none"/>
              </w:rPr>
              <w:t>%</w:t>
            </w:r>
          </w:p>
        </w:tc>
      </w:tr>
      <w:tr w:rsidR="00DC2CA1" w:rsidRPr="00DC2CA1" w14:paraId="371257B4" w14:textId="77777777" w:rsidTr="00DC2CA1">
        <w:trPr>
          <w:trHeight w:val="300"/>
        </w:trPr>
        <w:tc>
          <w:tcPr>
            <w:tcW w:w="2774" w:type="dxa"/>
            <w:tcBorders>
              <w:top w:val="nil"/>
              <w:left w:val="single" w:sz="4" w:space="0" w:color="auto"/>
              <w:bottom w:val="single" w:sz="4" w:space="0" w:color="auto"/>
              <w:right w:val="single" w:sz="4" w:space="0" w:color="auto"/>
            </w:tcBorders>
            <w:shd w:val="clear" w:color="auto" w:fill="auto"/>
            <w:vAlign w:val="center"/>
            <w:hideMark/>
          </w:tcPr>
          <w:p w14:paraId="0CAD12FA"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C. NỢ PHẢI TRẢ</w:t>
            </w:r>
          </w:p>
        </w:tc>
        <w:tc>
          <w:tcPr>
            <w:tcW w:w="1816" w:type="dxa"/>
            <w:tcBorders>
              <w:top w:val="nil"/>
              <w:left w:val="nil"/>
              <w:bottom w:val="single" w:sz="4" w:space="0" w:color="auto"/>
              <w:right w:val="single" w:sz="4" w:space="0" w:color="auto"/>
            </w:tcBorders>
            <w:shd w:val="clear" w:color="auto" w:fill="auto"/>
            <w:noWrap/>
            <w:vAlign w:val="center"/>
            <w:hideMark/>
          </w:tcPr>
          <w:p w14:paraId="66BDC8F9" w14:textId="58B17FC5"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7,036,033,811,342</w:t>
            </w:r>
          </w:p>
        </w:tc>
        <w:tc>
          <w:tcPr>
            <w:tcW w:w="879" w:type="dxa"/>
            <w:tcBorders>
              <w:top w:val="nil"/>
              <w:left w:val="nil"/>
              <w:bottom w:val="single" w:sz="4" w:space="0" w:color="auto"/>
              <w:right w:val="single" w:sz="4" w:space="0" w:color="auto"/>
            </w:tcBorders>
            <w:shd w:val="clear" w:color="auto" w:fill="auto"/>
            <w:vAlign w:val="center"/>
            <w:hideMark/>
          </w:tcPr>
          <w:p w14:paraId="19D3F597"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59.50%</w:t>
            </w:r>
          </w:p>
        </w:tc>
        <w:tc>
          <w:tcPr>
            <w:tcW w:w="1816" w:type="dxa"/>
            <w:tcBorders>
              <w:top w:val="nil"/>
              <w:left w:val="nil"/>
              <w:bottom w:val="single" w:sz="4" w:space="0" w:color="auto"/>
              <w:right w:val="single" w:sz="4" w:space="0" w:color="auto"/>
            </w:tcBorders>
            <w:shd w:val="clear" w:color="auto" w:fill="auto"/>
            <w:noWrap/>
            <w:vAlign w:val="center"/>
            <w:hideMark/>
          </w:tcPr>
          <w:p w14:paraId="7381625E" w14:textId="34920C3F"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9,175,421,701,435</w:t>
            </w:r>
          </w:p>
        </w:tc>
        <w:tc>
          <w:tcPr>
            <w:tcW w:w="884" w:type="dxa"/>
            <w:tcBorders>
              <w:top w:val="nil"/>
              <w:left w:val="nil"/>
              <w:bottom w:val="single" w:sz="4" w:space="0" w:color="auto"/>
              <w:right w:val="single" w:sz="4" w:space="0" w:color="auto"/>
            </w:tcBorders>
            <w:shd w:val="clear" w:color="auto" w:fill="auto"/>
            <w:vAlign w:val="center"/>
            <w:hideMark/>
          </w:tcPr>
          <w:p w14:paraId="45A7990C"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54.46%</w:t>
            </w:r>
          </w:p>
        </w:tc>
        <w:tc>
          <w:tcPr>
            <w:tcW w:w="1816" w:type="dxa"/>
            <w:tcBorders>
              <w:top w:val="nil"/>
              <w:left w:val="nil"/>
              <w:bottom w:val="single" w:sz="4" w:space="0" w:color="auto"/>
              <w:right w:val="single" w:sz="4" w:space="0" w:color="auto"/>
            </w:tcBorders>
            <w:shd w:val="clear" w:color="auto" w:fill="auto"/>
            <w:noWrap/>
            <w:vAlign w:val="center"/>
            <w:hideMark/>
          </w:tcPr>
          <w:p w14:paraId="49A74696" w14:textId="4B2768E2"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6,953,061,220,803</w:t>
            </w:r>
          </w:p>
        </w:tc>
        <w:tc>
          <w:tcPr>
            <w:tcW w:w="940" w:type="dxa"/>
            <w:tcBorders>
              <w:top w:val="nil"/>
              <w:left w:val="nil"/>
              <w:bottom w:val="single" w:sz="4" w:space="0" w:color="auto"/>
              <w:right w:val="single" w:sz="4" w:space="0" w:color="auto"/>
            </w:tcBorders>
            <w:shd w:val="clear" w:color="auto" w:fill="auto"/>
            <w:vAlign w:val="center"/>
            <w:hideMark/>
          </w:tcPr>
          <w:p w14:paraId="314BD18B"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47.15%</w:t>
            </w:r>
          </w:p>
        </w:tc>
        <w:tc>
          <w:tcPr>
            <w:tcW w:w="1850" w:type="dxa"/>
            <w:tcBorders>
              <w:top w:val="nil"/>
              <w:left w:val="nil"/>
              <w:bottom w:val="single" w:sz="4" w:space="0" w:color="auto"/>
              <w:right w:val="single" w:sz="4" w:space="0" w:color="auto"/>
            </w:tcBorders>
            <w:shd w:val="clear" w:color="auto" w:fill="auto"/>
            <w:noWrap/>
            <w:vAlign w:val="center"/>
            <w:hideMark/>
          </w:tcPr>
          <w:p w14:paraId="44B28E4C" w14:textId="41EF961F"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(82,972,590,539)</w:t>
            </w:r>
          </w:p>
        </w:tc>
        <w:tc>
          <w:tcPr>
            <w:tcW w:w="760" w:type="dxa"/>
            <w:tcBorders>
              <w:top w:val="nil"/>
              <w:left w:val="nil"/>
              <w:bottom w:val="single" w:sz="4" w:space="0" w:color="auto"/>
              <w:right w:val="single" w:sz="4" w:space="0" w:color="auto"/>
            </w:tcBorders>
            <w:shd w:val="clear" w:color="auto" w:fill="auto"/>
            <w:noWrap/>
            <w:vAlign w:val="center"/>
            <w:hideMark/>
          </w:tcPr>
          <w:p w14:paraId="1109DA6B"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w:t>
            </w:r>
          </w:p>
        </w:tc>
        <w:tc>
          <w:tcPr>
            <w:tcW w:w="1850" w:type="dxa"/>
            <w:tcBorders>
              <w:top w:val="nil"/>
              <w:left w:val="nil"/>
              <w:bottom w:val="single" w:sz="4" w:space="0" w:color="auto"/>
              <w:right w:val="single" w:sz="4" w:space="0" w:color="auto"/>
            </w:tcBorders>
            <w:shd w:val="clear" w:color="auto" w:fill="auto"/>
            <w:noWrap/>
            <w:vAlign w:val="center"/>
            <w:hideMark/>
          </w:tcPr>
          <w:p w14:paraId="420D086C" w14:textId="1F5EEBF2"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(2,222,360,480,632)</w:t>
            </w:r>
          </w:p>
        </w:tc>
        <w:tc>
          <w:tcPr>
            <w:tcW w:w="720" w:type="dxa"/>
            <w:tcBorders>
              <w:top w:val="nil"/>
              <w:left w:val="nil"/>
              <w:bottom w:val="single" w:sz="4" w:space="0" w:color="auto"/>
              <w:right w:val="single" w:sz="4" w:space="0" w:color="auto"/>
            </w:tcBorders>
            <w:shd w:val="clear" w:color="auto" w:fill="auto"/>
            <w:noWrap/>
            <w:vAlign w:val="center"/>
            <w:hideMark/>
          </w:tcPr>
          <w:p w14:paraId="0908F101"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-24%</w:t>
            </w:r>
          </w:p>
        </w:tc>
      </w:tr>
      <w:tr w:rsidR="00DC2CA1" w:rsidRPr="00DC2CA1" w14:paraId="034B436E" w14:textId="77777777" w:rsidTr="00DC2CA1">
        <w:trPr>
          <w:trHeight w:val="300"/>
        </w:trPr>
        <w:tc>
          <w:tcPr>
            <w:tcW w:w="2774" w:type="dxa"/>
            <w:tcBorders>
              <w:top w:val="nil"/>
              <w:left w:val="single" w:sz="4" w:space="0" w:color="auto"/>
              <w:bottom w:val="single" w:sz="4" w:space="0" w:color="auto"/>
              <w:right w:val="single" w:sz="4" w:space="0" w:color="auto"/>
            </w:tcBorders>
            <w:shd w:val="clear" w:color="auto" w:fill="auto"/>
            <w:vAlign w:val="center"/>
            <w:hideMark/>
          </w:tcPr>
          <w:p w14:paraId="55BB71E6"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I. Nợ ngắn hạn</w:t>
            </w:r>
          </w:p>
        </w:tc>
        <w:tc>
          <w:tcPr>
            <w:tcW w:w="1816" w:type="dxa"/>
            <w:tcBorders>
              <w:top w:val="nil"/>
              <w:left w:val="nil"/>
              <w:bottom w:val="single" w:sz="4" w:space="0" w:color="auto"/>
              <w:right w:val="single" w:sz="4" w:space="0" w:color="auto"/>
            </w:tcBorders>
            <w:shd w:val="clear" w:color="auto" w:fill="auto"/>
            <w:noWrap/>
            <w:vAlign w:val="center"/>
            <w:hideMark/>
          </w:tcPr>
          <w:p w14:paraId="130D78C6" w14:textId="4BAEBF53"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5,986,660,581,699</w:t>
            </w:r>
          </w:p>
        </w:tc>
        <w:tc>
          <w:tcPr>
            <w:tcW w:w="879" w:type="dxa"/>
            <w:tcBorders>
              <w:top w:val="nil"/>
              <w:left w:val="nil"/>
              <w:bottom w:val="single" w:sz="4" w:space="0" w:color="auto"/>
              <w:right w:val="single" w:sz="4" w:space="0" w:color="auto"/>
            </w:tcBorders>
            <w:shd w:val="clear" w:color="auto" w:fill="auto"/>
            <w:vAlign w:val="center"/>
            <w:hideMark/>
          </w:tcPr>
          <w:p w14:paraId="06DEECD8"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50.62%</w:t>
            </w:r>
          </w:p>
        </w:tc>
        <w:tc>
          <w:tcPr>
            <w:tcW w:w="1816" w:type="dxa"/>
            <w:tcBorders>
              <w:top w:val="nil"/>
              <w:left w:val="nil"/>
              <w:bottom w:val="single" w:sz="4" w:space="0" w:color="auto"/>
              <w:right w:val="single" w:sz="4" w:space="0" w:color="auto"/>
            </w:tcBorders>
            <w:shd w:val="clear" w:color="auto" w:fill="auto"/>
            <w:noWrap/>
            <w:vAlign w:val="center"/>
            <w:hideMark/>
          </w:tcPr>
          <w:p w14:paraId="3130D4B0" w14:textId="2715BF6D"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4,670,430,680,530</w:t>
            </w:r>
          </w:p>
        </w:tc>
        <w:tc>
          <w:tcPr>
            <w:tcW w:w="884" w:type="dxa"/>
            <w:tcBorders>
              <w:top w:val="nil"/>
              <w:left w:val="nil"/>
              <w:bottom w:val="single" w:sz="4" w:space="0" w:color="auto"/>
              <w:right w:val="single" w:sz="4" w:space="0" w:color="auto"/>
            </w:tcBorders>
            <w:shd w:val="clear" w:color="auto" w:fill="auto"/>
            <w:vAlign w:val="center"/>
            <w:hideMark/>
          </w:tcPr>
          <w:p w14:paraId="395C42F3"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27.72%</w:t>
            </w:r>
          </w:p>
        </w:tc>
        <w:tc>
          <w:tcPr>
            <w:tcW w:w="1816" w:type="dxa"/>
            <w:tcBorders>
              <w:top w:val="nil"/>
              <w:left w:val="nil"/>
              <w:bottom w:val="single" w:sz="4" w:space="0" w:color="auto"/>
              <w:right w:val="single" w:sz="4" w:space="0" w:color="auto"/>
            </w:tcBorders>
            <w:shd w:val="clear" w:color="auto" w:fill="auto"/>
            <w:noWrap/>
            <w:vAlign w:val="center"/>
            <w:hideMark/>
          </w:tcPr>
          <w:p w14:paraId="2381240B" w14:textId="06B0FC6B"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3,945,743,304,514</w:t>
            </w:r>
          </w:p>
        </w:tc>
        <w:tc>
          <w:tcPr>
            <w:tcW w:w="940" w:type="dxa"/>
            <w:tcBorders>
              <w:top w:val="nil"/>
              <w:left w:val="nil"/>
              <w:bottom w:val="single" w:sz="4" w:space="0" w:color="auto"/>
              <w:right w:val="single" w:sz="4" w:space="0" w:color="auto"/>
            </w:tcBorders>
            <w:shd w:val="clear" w:color="auto" w:fill="auto"/>
            <w:vAlign w:val="center"/>
            <w:hideMark/>
          </w:tcPr>
          <w:p w14:paraId="2C508394"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26.75%</w:t>
            </w:r>
          </w:p>
        </w:tc>
        <w:tc>
          <w:tcPr>
            <w:tcW w:w="1850" w:type="dxa"/>
            <w:tcBorders>
              <w:top w:val="nil"/>
              <w:left w:val="nil"/>
              <w:bottom w:val="single" w:sz="4" w:space="0" w:color="auto"/>
              <w:right w:val="single" w:sz="4" w:space="0" w:color="auto"/>
            </w:tcBorders>
            <w:shd w:val="clear" w:color="auto" w:fill="auto"/>
            <w:noWrap/>
            <w:vAlign w:val="center"/>
            <w:hideMark/>
          </w:tcPr>
          <w:p w14:paraId="27D4867B" w14:textId="4ED04726"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(2,040,917,277,185)</w:t>
            </w:r>
          </w:p>
        </w:tc>
        <w:tc>
          <w:tcPr>
            <w:tcW w:w="760" w:type="dxa"/>
            <w:tcBorders>
              <w:top w:val="nil"/>
              <w:left w:val="nil"/>
              <w:bottom w:val="single" w:sz="4" w:space="0" w:color="auto"/>
              <w:right w:val="single" w:sz="4" w:space="0" w:color="auto"/>
            </w:tcBorders>
            <w:shd w:val="clear" w:color="auto" w:fill="auto"/>
            <w:noWrap/>
            <w:vAlign w:val="center"/>
            <w:hideMark/>
          </w:tcPr>
          <w:p w14:paraId="1F37DBA0"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-34%</w:t>
            </w:r>
          </w:p>
        </w:tc>
        <w:tc>
          <w:tcPr>
            <w:tcW w:w="1850" w:type="dxa"/>
            <w:tcBorders>
              <w:top w:val="nil"/>
              <w:left w:val="nil"/>
              <w:bottom w:val="single" w:sz="4" w:space="0" w:color="auto"/>
              <w:right w:val="single" w:sz="4" w:space="0" w:color="auto"/>
            </w:tcBorders>
            <w:shd w:val="clear" w:color="auto" w:fill="auto"/>
            <w:noWrap/>
            <w:vAlign w:val="center"/>
            <w:hideMark/>
          </w:tcPr>
          <w:p w14:paraId="3CF152C8" w14:textId="27465213"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(724,687,376,016)</w:t>
            </w:r>
          </w:p>
        </w:tc>
        <w:tc>
          <w:tcPr>
            <w:tcW w:w="720" w:type="dxa"/>
            <w:tcBorders>
              <w:top w:val="nil"/>
              <w:left w:val="nil"/>
              <w:bottom w:val="single" w:sz="4" w:space="0" w:color="auto"/>
              <w:right w:val="single" w:sz="4" w:space="0" w:color="auto"/>
            </w:tcBorders>
            <w:shd w:val="clear" w:color="auto" w:fill="auto"/>
            <w:noWrap/>
            <w:vAlign w:val="center"/>
            <w:hideMark/>
          </w:tcPr>
          <w:p w14:paraId="11018B57"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-16%</w:t>
            </w:r>
          </w:p>
        </w:tc>
      </w:tr>
      <w:tr w:rsidR="00DC2CA1" w:rsidRPr="00DC2CA1" w14:paraId="32239445" w14:textId="77777777" w:rsidTr="00DC2CA1">
        <w:trPr>
          <w:trHeight w:val="300"/>
        </w:trPr>
        <w:tc>
          <w:tcPr>
            <w:tcW w:w="2774" w:type="dxa"/>
            <w:tcBorders>
              <w:top w:val="nil"/>
              <w:left w:val="single" w:sz="4" w:space="0" w:color="auto"/>
              <w:bottom w:val="single" w:sz="4" w:space="0" w:color="auto"/>
              <w:right w:val="single" w:sz="4" w:space="0" w:color="auto"/>
            </w:tcBorders>
            <w:shd w:val="clear" w:color="auto" w:fill="auto"/>
            <w:vAlign w:val="center"/>
            <w:hideMark/>
          </w:tcPr>
          <w:p w14:paraId="796676A0"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II. Nợ dài hạn</w:t>
            </w:r>
          </w:p>
        </w:tc>
        <w:tc>
          <w:tcPr>
            <w:tcW w:w="1816" w:type="dxa"/>
            <w:tcBorders>
              <w:top w:val="nil"/>
              <w:left w:val="nil"/>
              <w:bottom w:val="single" w:sz="4" w:space="0" w:color="auto"/>
              <w:right w:val="single" w:sz="4" w:space="0" w:color="auto"/>
            </w:tcBorders>
            <w:shd w:val="clear" w:color="auto" w:fill="auto"/>
            <w:noWrap/>
            <w:vAlign w:val="center"/>
            <w:hideMark/>
          </w:tcPr>
          <w:p w14:paraId="6AE1C3A6" w14:textId="315A2A18"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1,049,373,229,643</w:t>
            </w:r>
          </w:p>
        </w:tc>
        <w:tc>
          <w:tcPr>
            <w:tcW w:w="879" w:type="dxa"/>
            <w:tcBorders>
              <w:top w:val="nil"/>
              <w:left w:val="nil"/>
              <w:bottom w:val="single" w:sz="4" w:space="0" w:color="auto"/>
              <w:right w:val="single" w:sz="4" w:space="0" w:color="auto"/>
            </w:tcBorders>
            <w:shd w:val="clear" w:color="auto" w:fill="auto"/>
            <w:vAlign w:val="center"/>
            <w:hideMark/>
          </w:tcPr>
          <w:p w14:paraId="721B9AE2"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8.87%</w:t>
            </w:r>
          </w:p>
        </w:tc>
        <w:tc>
          <w:tcPr>
            <w:tcW w:w="1816" w:type="dxa"/>
            <w:tcBorders>
              <w:top w:val="nil"/>
              <w:left w:val="nil"/>
              <w:bottom w:val="single" w:sz="4" w:space="0" w:color="auto"/>
              <w:right w:val="single" w:sz="4" w:space="0" w:color="auto"/>
            </w:tcBorders>
            <w:shd w:val="clear" w:color="auto" w:fill="auto"/>
            <w:noWrap/>
            <w:vAlign w:val="center"/>
            <w:hideMark/>
          </w:tcPr>
          <w:p w14:paraId="2811B961" w14:textId="086A1CE6"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4,504,991,020,905</w:t>
            </w:r>
          </w:p>
        </w:tc>
        <w:tc>
          <w:tcPr>
            <w:tcW w:w="884" w:type="dxa"/>
            <w:tcBorders>
              <w:top w:val="nil"/>
              <w:left w:val="nil"/>
              <w:bottom w:val="single" w:sz="4" w:space="0" w:color="auto"/>
              <w:right w:val="single" w:sz="4" w:space="0" w:color="auto"/>
            </w:tcBorders>
            <w:shd w:val="clear" w:color="auto" w:fill="auto"/>
            <w:vAlign w:val="center"/>
            <w:hideMark/>
          </w:tcPr>
          <w:p w14:paraId="4B0179A8"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26.74%</w:t>
            </w:r>
          </w:p>
        </w:tc>
        <w:tc>
          <w:tcPr>
            <w:tcW w:w="1816" w:type="dxa"/>
            <w:tcBorders>
              <w:top w:val="nil"/>
              <w:left w:val="nil"/>
              <w:bottom w:val="single" w:sz="4" w:space="0" w:color="auto"/>
              <w:right w:val="single" w:sz="4" w:space="0" w:color="auto"/>
            </w:tcBorders>
            <w:shd w:val="clear" w:color="auto" w:fill="auto"/>
            <w:noWrap/>
            <w:vAlign w:val="center"/>
            <w:hideMark/>
          </w:tcPr>
          <w:p w14:paraId="12A4FD72" w14:textId="53E484AD"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3,007,317,916,289</w:t>
            </w:r>
          </w:p>
        </w:tc>
        <w:tc>
          <w:tcPr>
            <w:tcW w:w="940" w:type="dxa"/>
            <w:tcBorders>
              <w:top w:val="nil"/>
              <w:left w:val="nil"/>
              <w:bottom w:val="single" w:sz="4" w:space="0" w:color="auto"/>
              <w:right w:val="single" w:sz="4" w:space="0" w:color="auto"/>
            </w:tcBorders>
            <w:shd w:val="clear" w:color="auto" w:fill="auto"/>
            <w:vAlign w:val="center"/>
            <w:hideMark/>
          </w:tcPr>
          <w:p w14:paraId="5E9BC8F7"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20.39%</w:t>
            </w:r>
          </w:p>
        </w:tc>
        <w:tc>
          <w:tcPr>
            <w:tcW w:w="1850" w:type="dxa"/>
            <w:tcBorders>
              <w:top w:val="nil"/>
              <w:left w:val="nil"/>
              <w:bottom w:val="single" w:sz="4" w:space="0" w:color="auto"/>
              <w:right w:val="single" w:sz="4" w:space="0" w:color="auto"/>
            </w:tcBorders>
            <w:shd w:val="clear" w:color="auto" w:fill="auto"/>
            <w:noWrap/>
            <w:vAlign w:val="center"/>
            <w:hideMark/>
          </w:tcPr>
          <w:p w14:paraId="1979A1AC" w14:textId="4D3558EE"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1,957,944,686,646</w:t>
            </w:r>
          </w:p>
        </w:tc>
        <w:tc>
          <w:tcPr>
            <w:tcW w:w="760" w:type="dxa"/>
            <w:tcBorders>
              <w:top w:val="nil"/>
              <w:left w:val="nil"/>
              <w:bottom w:val="single" w:sz="4" w:space="0" w:color="auto"/>
              <w:right w:val="single" w:sz="4" w:space="0" w:color="auto"/>
            </w:tcBorders>
            <w:shd w:val="clear" w:color="auto" w:fill="auto"/>
            <w:noWrap/>
            <w:vAlign w:val="center"/>
            <w:hideMark/>
          </w:tcPr>
          <w:p w14:paraId="6A3BF336"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187%</w:t>
            </w:r>
          </w:p>
        </w:tc>
        <w:tc>
          <w:tcPr>
            <w:tcW w:w="1850" w:type="dxa"/>
            <w:tcBorders>
              <w:top w:val="nil"/>
              <w:left w:val="nil"/>
              <w:bottom w:val="single" w:sz="4" w:space="0" w:color="auto"/>
              <w:right w:val="single" w:sz="4" w:space="0" w:color="auto"/>
            </w:tcBorders>
            <w:shd w:val="clear" w:color="auto" w:fill="auto"/>
            <w:noWrap/>
            <w:vAlign w:val="center"/>
            <w:hideMark/>
          </w:tcPr>
          <w:p w14:paraId="18EE5382" w14:textId="12A190FC"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(1,497,673,104,616)</w:t>
            </w:r>
          </w:p>
        </w:tc>
        <w:tc>
          <w:tcPr>
            <w:tcW w:w="720" w:type="dxa"/>
            <w:tcBorders>
              <w:top w:val="nil"/>
              <w:left w:val="nil"/>
              <w:bottom w:val="single" w:sz="4" w:space="0" w:color="auto"/>
              <w:right w:val="single" w:sz="4" w:space="0" w:color="auto"/>
            </w:tcBorders>
            <w:shd w:val="clear" w:color="auto" w:fill="auto"/>
            <w:noWrap/>
            <w:vAlign w:val="center"/>
            <w:hideMark/>
          </w:tcPr>
          <w:p w14:paraId="0A06637E"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-33%</w:t>
            </w:r>
          </w:p>
        </w:tc>
      </w:tr>
      <w:tr w:rsidR="00DC2CA1" w:rsidRPr="00DC2CA1" w14:paraId="25F8F5E9" w14:textId="77777777" w:rsidTr="00DC2CA1">
        <w:trPr>
          <w:trHeight w:val="300"/>
        </w:trPr>
        <w:tc>
          <w:tcPr>
            <w:tcW w:w="2774" w:type="dxa"/>
            <w:tcBorders>
              <w:top w:val="nil"/>
              <w:left w:val="single" w:sz="4" w:space="0" w:color="auto"/>
              <w:bottom w:val="single" w:sz="4" w:space="0" w:color="auto"/>
              <w:right w:val="single" w:sz="4" w:space="0" w:color="auto"/>
            </w:tcBorders>
            <w:shd w:val="clear" w:color="auto" w:fill="auto"/>
            <w:vAlign w:val="center"/>
            <w:hideMark/>
          </w:tcPr>
          <w:p w14:paraId="19FBD716"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D.VỐN CHỦ SỞ HỮU</w:t>
            </w:r>
          </w:p>
        </w:tc>
        <w:tc>
          <w:tcPr>
            <w:tcW w:w="1816" w:type="dxa"/>
            <w:tcBorders>
              <w:top w:val="nil"/>
              <w:left w:val="nil"/>
              <w:bottom w:val="single" w:sz="4" w:space="0" w:color="auto"/>
              <w:right w:val="single" w:sz="4" w:space="0" w:color="auto"/>
            </w:tcBorders>
            <w:shd w:val="clear" w:color="auto" w:fill="auto"/>
            <w:noWrap/>
            <w:vAlign w:val="center"/>
            <w:hideMark/>
          </w:tcPr>
          <w:p w14:paraId="6D772D6C" w14:textId="5378F45E"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4,790,129,230,371</w:t>
            </w:r>
          </w:p>
        </w:tc>
        <w:tc>
          <w:tcPr>
            <w:tcW w:w="879" w:type="dxa"/>
            <w:tcBorders>
              <w:top w:val="nil"/>
              <w:left w:val="nil"/>
              <w:bottom w:val="single" w:sz="4" w:space="0" w:color="auto"/>
              <w:right w:val="single" w:sz="4" w:space="0" w:color="auto"/>
            </w:tcBorders>
            <w:shd w:val="clear" w:color="auto" w:fill="auto"/>
            <w:vAlign w:val="center"/>
            <w:hideMark/>
          </w:tcPr>
          <w:p w14:paraId="10167E8D"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40.50%</w:t>
            </w:r>
          </w:p>
        </w:tc>
        <w:tc>
          <w:tcPr>
            <w:tcW w:w="1816" w:type="dxa"/>
            <w:tcBorders>
              <w:top w:val="nil"/>
              <w:left w:val="nil"/>
              <w:bottom w:val="single" w:sz="4" w:space="0" w:color="auto"/>
              <w:right w:val="single" w:sz="4" w:space="0" w:color="auto"/>
            </w:tcBorders>
            <w:shd w:val="clear" w:color="auto" w:fill="auto"/>
            <w:noWrap/>
            <w:vAlign w:val="center"/>
            <w:hideMark/>
          </w:tcPr>
          <w:p w14:paraId="4A019381" w14:textId="5551E56D"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7,671,482,939,435</w:t>
            </w:r>
          </w:p>
        </w:tc>
        <w:tc>
          <w:tcPr>
            <w:tcW w:w="884" w:type="dxa"/>
            <w:tcBorders>
              <w:top w:val="nil"/>
              <w:left w:val="nil"/>
              <w:bottom w:val="single" w:sz="4" w:space="0" w:color="auto"/>
              <w:right w:val="single" w:sz="4" w:space="0" w:color="auto"/>
            </w:tcBorders>
            <w:shd w:val="clear" w:color="auto" w:fill="auto"/>
            <w:vAlign w:val="center"/>
            <w:hideMark/>
          </w:tcPr>
          <w:p w14:paraId="3984A31D"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45.54%</w:t>
            </w:r>
          </w:p>
        </w:tc>
        <w:tc>
          <w:tcPr>
            <w:tcW w:w="1816" w:type="dxa"/>
            <w:tcBorders>
              <w:top w:val="nil"/>
              <w:left w:val="nil"/>
              <w:bottom w:val="single" w:sz="4" w:space="0" w:color="auto"/>
              <w:right w:val="single" w:sz="4" w:space="0" w:color="auto"/>
            </w:tcBorders>
            <w:shd w:val="clear" w:color="auto" w:fill="auto"/>
            <w:noWrap/>
            <w:vAlign w:val="center"/>
            <w:hideMark/>
          </w:tcPr>
          <w:p w14:paraId="307274EA" w14:textId="1A14E315"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7,794,735,007,082</w:t>
            </w:r>
          </w:p>
        </w:tc>
        <w:tc>
          <w:tcPr>
            <w:tcW w:w="940" w:type="dxa"/>
            <w:tcBorders>
              <w:top w:val="nil"/>
              <w:left w:val="nil"/>
              <w:bottom w:val="single" w:sz="4" w:space="0" w:color="auto"/>
              <w:right w:val="single" w:sz="4" w:space="0" w:color="auto"/>
            </w:tcBorders>
            <w:shd w:val="clear" w:color="auto" w:fill="auto"/>
            <w:vAlign w:val="center"/>
            <w:hideMark/>
          </w:tcPr>
          <w:p w14:paraId="31FC05A2"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52.85%</w:t>
            </w:r>
          </w:p>
        </w:tc>
        <w:tc>
          <w:tcPr>
            <w:tcW w:w="1850" w:type="dxa"/>
            <w:tcBorders>
              <w:top w:val="nil"/>
              <w:left w:val="nil"/>
              <w:bottom w:val="single" w:sz="4" w:space="0" w:color="auto"/>
              <w:right w:val="single" w:sz="4" w:space="0" w:color="auto"/>
            </w:tcBorders>
            <w:shd w:val="clear" w:color="auto" w:fill="auto"/>
            <w:noWrap/>
            <w:vAlign w:val="center"/>
            <w:hideMark/>
          </w:tcPr>
          <w:p w14:paraId="2C70DC6A" w14:textId="10C6024A"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3,004,605,776,711</w:t>
            </w:r>
          </w:p>
        </w:tc>
        <w:tc>
          <w:tcPr>
            <w:tcW w:w="760" w:type="dxa"/>
            <w:tcBorders>
              <w:top w:val="nil"/>
              <w:left w:val="nil"/>
              <w:bottom w:val="single" w:sz="4" w:space="0" w:color="auto"/>
              <w:right w:val="single" w:sz="4" w:space="0" w:color="auto"/>
            </w:tcBorders>
            <w:shd w:val="clear" w:color="auto" w:fill="auto"/>
            <w:noWrap/>
            <w:vAlign w:val="center"/>
            <w:hideMark/>
          </w:tcPr>
          <w:p w14:paraId="00C489B5"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63%</w:t>
            </w:r>
          </w:p>
        </w:tc>
        <w:tc>
          <w:tcPr>
            <w:tcW w:w="1850" w:type="dxa"/>
            <w:tcBorders>
              <w:top w:val="nil"/>
              <w:left w:val="nil"/>
              <w:bottom w:val="single" w:sz="4" w:space="0" w:color="auto"/>
              <w:right w:val="single" w:sz="4" w:space="0" w:color="auto"/>
            </w:tcBorders>
            <w:shd w:val="clear" w:color="auto" w:fill="auto"/>
            <w:noWrap/>
            <w:vAlign w:val="center"/>
            <w:hideMark/>
          </w:tcPr>
          <w:p w14:paraId="0EE384E7" w14:textId="544D87DA"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123,252,067,647</w:t>
            </w:r>
          </w:p>
        </w:tc>
        <w:tc>
          <w:tcPr>
            <w:tcW w:w="720" w:type="dxa"/>
            <w:tcBorders>
              <w:top w:val="nil"/>
              <w:left w:val="nil"/>
              <w:bottom w:val="single" w:sz="4" w:space="0" w:color="auto"/>
              <w:right w:val="single" w:sz="4" w:space="0" w:color="auto"/>
            </w:tcBorders>
            <w:shd w:val="clear" w:color="auto" w:fill="auto"/>
            <w:noWrap/>
            <w:vAlign w:val="center"/>
            <w:hideMark/>
          </w:tcPr>
          <w:p w14:paraId="496E4279"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w:t>
            </w:r>
          </w:p>
        </w:tc>
      </w:tr>
      <w:tr w:rsidR="00DC2CA1" w:rsidRPr="00DC2CA1" w14:paraId="3C1919E3" w14:textId="77777777" w:rsidTr="00DC2CA1">
        <w:trPr>
          <w:trHeight w:val="300"/>
        </w:trPr>
        <w:tc>
          <w:tcPr>
            <w:tcW w:w="2774" w:type="dxa"/>
            <w:tcBorders>
              <w:top w:val="nil"/>
              <w:left w:val="single" w:sz="4" w:space="0" w:color="auto"/>
              <w:bottom w:val="single" w:sz="4" w:space="0" w:color="auto"/>
              <w:right w:val="single" w:sz="4" w:space="0" w:color="auto"/>
            </w:tcBorders>
            <w:shd w:val="clear" w:color="auto" w:fill="auto"/>
            <w:vAlign w:val="center"/>
            <w:hideMark/>
          </w:tcPr>
          <w:p w14:paraId="5AFEB4A0"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I. Vốn chủ sở hữu</w:t>
            </w:r>
          </w:p>
        </w:tc>
        <w:tc>
          <w:tcPr>
            <w:tcW w:w="1816" w:type="dxa"/>
            <w:tcBorders>
              <w:top w:val="nil"/>
              <w:left w:val="nil"/>
              <w:bottom w:val="single" w:sz="4" w:space="0" w:color="auto"/>
              <w:right w:val="single" w:sz="4" w:space="0" w:color="auto"/>
            </w:tcBorders>
            <w:shd w:val="clear" w:color="auto" w:fill="auto"/>
            <w:noWrap/>
            <w:vAlign w:val="center"/>
            <w:hideMark/>
          </w:tcPr>
          <w:p w14:paraId="786434D0" w14:textId="62B73CC0"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4,790,129,230,371</w:t>
            </w:r>
          </w:p>
        </w:tc>
        <w:tc>
          <w:tcPr>
            <w:tcW w:w="879" w:type="dxa"/>
            <w:tcBorders>
              <w:top w:val="nil"/>
              <w:left w:val="nil"/>
              <w:bottom w:val="single" w:sz="4" w:space="0" w:color="auto"/>
              <w:right w:val="single" w:sz="4" w:space="0" w:color="auto"/>
            </w:tcBorders>
            <w:shd w:val="clear" w:color="auto" w:fill="auto"/>
            <w:vAlign w:val="center"/>
            <w:hideMark/>
          </w:tcPr>
          <w:p w14:paraId="374B15D6"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40.50%</w:t>
            </w:r>
          </w:p>
        </w:tc>
        <w:tc>
          <w:tcPr>
            <w:tcW w:w="1816" w:type="dxa"/>
            <w:tcBorders>
              <w:top w:val="nil"/>
              <w:left w:val="nil"/>
              <w:bottom w:val="single" w:sz="4" w:space="0" w:color="auto"/>
              <w:right w:val="single" w:sz="4" w:space="0" w:color="auto"/>
            </w:tcBorders>
            <w:shd w:val="clear" w:color="auto" w:fill="auto"/>
            <w:noWrap/>
            <w:vAlign w:val="center"/>
            <w:hideMark/>
          </w:tcPr>
          <w:p w14:paraId="56917966" w14:textId="36DAB0F0"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7,671,482,939,435</w:t>
            </w:r>
          </w:p>
        </w:tc>
        <w:tc>
          <w:tcPr>
            <w:tcW w:w="884" w:type="dxa"/>
            <w:tcBorders>
              <w:top w:val="nil"/>
              <w:left w:val="nil"/>
              <w:bottom w:val="single" w:sz="4" w:space="0" w:color="auto"/>
              <w:right w:val="single" w:sz="4" w:space="0" w:color="auto"/>
            </w:tcBorders>
            <w:shd w:val="clear" w:color="auto" w:fill="auto"/>
            <w:vAlign w:val="center"/>
            <w:hideMark/>
          </w:tcPr>
          <w:p w14:paraId="25EB22E9"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45.54%</w:t>
            </w:r>
          </w:p>
        </w:tc>
        <w:tc>
          <w:tcPr>
            <w:tcW w:w="1816" w:type="dxa"/>
            <w:tcBorders>
              <w:top w:val="nil"/>
              <w:left w:val="nil"/>
              <w:bottom w:val="single" w:sz="4" w:space="0" w:color="auto"/>
              <w:right w:val="single" w:sz="4" w:space="0" w:color="auto"/>
            </w:tcBorders>
            <w:shd w:val="clear" w:color="auto" w:fill="auto"/>
            <w:noWrap/>
            <w:vAlign w:val="center"/>
            <w:hideMark/>
          </w:tcPr>
          <w:p w14:paraId="48A70ADA" w14:textId="0FFB40A6"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7,794,735,007,082</w:t>
            </w:r>
          </w:p>
        </w:tc>
        <w:tc>
          <w:tcPr>
            <w:tcW w:w="940" w:type="dxa"/>
            <w:tcBorders>
              <w:top w:val="nil"/>
              <w:left w:val="nil"/>
              <w:bottom w:val="single" w:sz="4" w:space="0" w:color="auto"/>
              <w:right w:val="single" w:sz="4" w:space="0" w:color="auto"/>
            </w:tcBorders>
            <w:shd w:val="clear" w:color="auto" w:fill="auto"/>
            <w:vAlign w:val="center"/>
            <w:hideMark/>
          </w:tcPr>
          <w:p w14:paraId="4B582E9A"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52.85%</w:t>
            </w:r>
          </w:p>
        </w:tc>
        <w:tc>
          <w:tcPr>
            <w:tcW w:w="1850" w:type="dxa"/>
            <w:tcBorders>
              <w:top w:val="nil"/>
              <w:left w:val="nil"/>
              <w:bottom w:val="single" w:sz="4" w:space="0" w:color="auto"/>
              <w:right w:val="single" w:sz="4" w:space="0" w:color="auto"/>
            </w:tcBorders>
            <w:shd w:val="clear" w:color="auto" w:fill="auto"/>
            <w:noWrap/>
            <w:vAlign w:val="center"/>
            <w:hideMark/>
          </w:tcPr>
          <w:p w14:paraId="1100A8E2" w14:textId="59085038"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3,004,605,776,711</w:t>
            </w:r>
          </w:p>
        </w:tc>
        <w:tc>
          <w:tcPr>
            <w:tcW w:w="760" w:type="dxa"/>
            <w:tcBorders>
              <w:top w:val="nil"/>
              <w:left w:val="nil"/>
              <w:bottom w:val="single" w:sz="4" w:space="0" w:color="auto"/>
              <w:right w:val="single" w:sz="4" w:space="0" w:color="auto"/>
            </w:tcBorders>
            <w:shd w:val="clear" w:color="auto" w:fill="auto"/>
            <w:noWrap/>
            <w:vAlign w:val="center"/>
            <w:hideMark/>
          </w:tcPr>
          <w:p w14:paraId="615B9EE5"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63%</w:t>
            </w:r>
          </w:p>
        </w:tc>
        <w:tc>
          <w:tcPr>
            <w:tcW w:w="1850" w:type="dxa"/>
            <w:tcBorders>
              <w:top w:val="nil"/>
              <w:left w:val="nil"/>
              <w:bottom w:val="single" w:sz="4" w:space="0" w:color="auto"/>
              <w:right w:val="single" w:sz="4" w:space="0" w:color="auto"/>
            </w:tcBorders>
            <w:shd w:val="clear" w:color="auto" w:fill="auto"/>
            <w:noWrap/>
            <w:vAlign w:val="center"/>
            <w:hideMark/>
          </w:tcPr>
          <w:p w14:paraId="12EBAB42" w14:textId="5664D26A"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123,252,067,647</w:t>
            </w:r>
          </w:p>
        </w:tc>
        <w:tc>
          <w:tcPr>
            <w:tcW w:w="720" w:type="dxa"/>
            <w:tcBorders>
              <w:top w:val="nil"/>
              <w:left w:val="nil"/>
              <w:bottom w:val="single" w:sz="4" w:space="0" w:color="auto"/>
              <w:right w:val="single" w:sz="4" w:space="0" w:color="auto"/>
            </w:tcBorders>
            <w:shd w:val="clear" w:color="auto" w:fill="auto"/>
            <w:noWrap/>
            <w:vAlign w:val="center"/>
            <w:hideMark/>
          </w:tcPr>
          <w:p w14:paraId="7615C450"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w:t>
            </w:r>
          </w:p>
        </w:tc>
      </w:tr>
      <w:tr w:rsidR="00DC2CA1" w:rsidRPr="00DC2CA1" w14:paraId="1A00B6D1" w14:textId="77777777" w:rsidTr="00DC2CA1">
        <w:trPr>
          <w:trHeight w:val="600"/>
        </w:trPr>
        <w:tc>
          <w:tcPr>
            <w:tcW w:w="2774" w:type="dxa"/>
            <w:tcBorders>
              <w:top w:val="nil"/>
              <w:left w:val="single" w:sz="4" w:space="0" w:color="auto"/>
              <w:bottom w:val="single" w:sz="4" w:space="0" w:color="auto"/>
              <w:right w:val="single" w:sz="4" w:space="0" w:color="auto"/>
            </w:tcBorders>
            <w:shd w:val="clear" w:color="auto" w:fill="auto"/>
            <w:vAlign w:val="center"/>
            <w:hideMark/>
          </w:tcPr>
          <w:p w14:paraId="2A02F7CD" w14:textId="77777777" w:rsidR="00DC2CA1" w:rsidRPr="00DC2CA1" w:rsidRDefault="00DC2CA1" w:rsidP="00DC2CA1">
            <w:pPr>
              <w:spacing w:after="0" w:line="240" w:lineRule="auto"/>
              <w:rPr>
                <w:rFonts w:ascii="Times New Roman" w:eastAsia="Times New Roman" w:hAnsi="Times New Roman" w:cs="Times New Roman"/>
                <w:b/>
                <w:bCs/>
                <w:color w:val="000000"/>
                <w:kern w:val="0"/>
                <w:sz w:val="24"/>
                <w:szCs w:val="24"/>
                <w:lang w:bidi="th-TH"/>
                <w14:ligatures w14:val="none"/>
              </w:rPr>
            </w:pPr>
            <w:r w:rsidRPr="00DC2CA1">
              <w:rPr>
                <w:rFonts w:ascii="Times New Roman" w:eastAsia="Times New Roman" w:hAnsi="Times New Roman" w:cs="Times New Roman"/>
                <w:b/>
                <w:bCs/>
                <w:color w:val="000000"/>
                <w:kern w:val="0"/>
                <w:sz w:val="24"/>
                <w:szCs w:val="24"/>
                <w:lang w:bidi="th-TH"/>
                <w14:ligatures w14:val="none"/>
              </w:rPr>
              <w:t>TỔNG CỘNG NGUỒN VỐN</w:t>
            </w:r>
          </w:p>
        </w:tc>
        <w:tc>
          <w:tcPr>
            <w:tcW w:w="1816" w:type="dxa"/>
            <w:tcBorders>
              <w:top w:val="nil"/>
              <w:left w:val="nil"/>
              <w:bottom w:val="single" w:sz="4" w:space="0" w:color="auto"/>
              <w:right w:val="single" w:sz="4" w:space="0" w:color="auto"/>
            </w:tcBorders>
            <w:shd w:val="clear" w:color="auto" w:fill="auto"/>
            <w:noWrap/>
            <w:vAlign w:val="center"/>
            <w:hideMark/>
          </w:tcPr>
          <w:p w14:paraId="4EE9413F" w14:textId="2B68CD36"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11,826,163,041,713</w:t>
            </w:r>
          </w:p>
        </w:tc>
        <w:tc>
          <w:tcPr>
            <w:tcW w:w="879" w:type="dxa"/>
            <w:tcBorders>
              <w:top w:val="nil"/>
              <w:left w:val="nil"/>
              <w:bottom w:val="single" w:sz="4" w:space="0" w:color="auto"/>
              <w:right w:val="single" w:sz="4" w:space="0" w:color="auto"/>
            </w:tcBorders>
            <w:shd w:val="clear" w:color="auto" w:fill="auto"/>
            <w:vAlign w:val="center"/>
            <w:hideMark/>
          </w:tcPr>
          <w:p w14:paraId="6578FC8E"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100%</w:t>
            </w:r>
          </w:p>
        </w:tc>
        <w:tc>
          <w:tcPr>
            <w:tcW w:w="1816" w:type="dxa"/>
            <w:tcBorders>
              <w:top w:val="nil"/>
              <w:left w:val="nil"/>
              <w:bottom w:val="single" w:sz="4" w:space="0" w:color="auto"/>
              <w:right w:val="single" w:sz="4" w:space="0" w:color="auto"/>
            </w:tcBorders>
            <w:shd w:val="clear" w:color="auto" w:fill="auto"/>
            <w:noWrap/>
            <w:vAlign w:val="center"/>
            <w:hideMark/>
          </w:tcPr>
          <w:p w14:paraId="6D7DB84A" w14:textId="7355F0DD"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16,846,904,640,870</w:t>
            </w:r>
          </w:p>
        </w:tc>
        <w:tc>
          <w:tcPr>
            <w:tcW w:w="884" w:type="dxa"/>
            <w:tcBorders>
              <w:top w:val="nil"/>
              <w:left w:val="nil"/>
              <w:bottom w:val="single" w:sz="4" w:space="0" w:color="auto"/>
              <w:right w:val="single" w:sz="4" w:space="0" w:color="auto"/>
            </w:tcBorders>
            <w:shd w:val="clear" w:color="auto" w:fill="auto"/>
            <w:vAlign w:val="center"/>
            <w:hideMark/>
          </w:tcPr>
          <w:p w14:paraId="0B13CD85"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100%</w:t>
            </w:r>
          </w:p>
        </w:tc>
        <w:tc>
          <w:tcPr>
            <w:tcW w:w="1816" w:type="dxa"/>
            <w:tcBorders>
              <w:top w:val="nil"/>
              <w:left w:val="nil"/>
              <w:bottom w:val="single" w:sz="4" w:space="0" w:color="auto"/>
              <w:right w:val="single" w:sz="4" w:space="0" w:color="auto"/>
            </w:tcBorders>
            <w:shd w:val="clear" w:color="auto" w:fill="auto"/>
            <w:noWrap/>
            <w:vAlign w:val="center"/>
            <w:hideMark/>
          </w:tcPr>
          <w:p w14:paraId="11C02AAE" w14:textId="65065742"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14,747,796,227,885</w:t>
            </w:r>
          </w:p>
        </w:tc>
        <w:tc>
          <w:tcPr>
            <w:tcW w:w="940" w:type="dxa"/>
            <w:tcBorders>
              <w:top w:val="nil"/>
              <w:left w:val="nil"/>
              <w:bottom w:val="single" w:sz="4" w:space="0" w:color="auto"/>
              <w:right w:val="single" w:sz="4" w:space="0" w:color="auto"/>
            </w:tcBorders>
            <w:shd w:val="clear" w:color="auto" w:fill="auto"/>
            <w:vAlign w:val="center"/>
            <w:hideMark/>
          </w:tcPr>
          <w:p w14:paraId="14321401"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100%</w:t>
            </w:r>
          </w:p>
        </w:tc>
        <w:tc>
          <w:tcPr>
            <w:tcW w:w="1850" w:type="dxa"/>
            <w:tcBorders>
              <w:top w:val="nil"/>
              <w:left w:val="nil"/>
              <w:bottom w:val="single" w:sz="4" w:space="0" w:color="auto"/>
              <w:right w:val="single" w:sz="4" w:space="0" w:color="auto"/>
            </w:tcBorders>
            <w:shd w:val="clear" w:color="auto" w:fill="auto"/>
            <w:noWrap/>
            <w:vAlign w:val="center"/>
            <w:hideMark/>
          </w:tcPr>
          <w:p w14:paraId="60362614" w14:textId="3D58A896"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2,921,633,186,172</w:t>
            </w:r>
          </w:p>
        </w:tc>
        <w:tc>
          <w:tcPr>
            <w:tcW w:w="760" w:type="dxa"/>
            <w:tcBorders>
              <w:top w:val="nil"/>
              <w:left w:val="nil"/>
              <w:bottom w:val="single" w:sz="4" w:space="0" w:color="auto"/>
              <w:right w:val="single" w:sz="4" w:space="0" w:color="auto"/>
            </w:tcBorders>
            <w:shd w:val="clear" w:color="auto" w:fill="auto"/>
            <w:noWrap/>
            <w:vAlign w:val="center"/>
            <w:hideMark/>
          </w:tcPr>
          <w:p w14:paraId="185FC48E"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25%</w:t>
            </w:r>
          </w:p>
        </w:tc>
        <w:tc>
          <w:tcPr>
            <w:tcW w:w="1850" w:type="dxa"/>
            <w:tcBorders>
              <w:top w:val="nil"/>
              <w:left w:val="nil"/>
              <w:bottom w:val="single" w:sz="4" w:space="0" w:color="auto"/>
              <w:right w:val="single" w:sz="4" w:space="0" w:color="auto"/>
            </w:tcBorders>
            <w:shd w:val="clear" w:color="auto" w:fill="auto"/>
            <w:noWrap/>
            <w:vAlign w:val="center"/>
            <w:hideMark/>
          </w:tcPr>
          <w:p w14:paraId="2D0435A8" w14:textId="0D4863E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(2,099,108,412,985)</w:t>
            </w:r>
          </w:p>
        </w:tc>
        <w:tc>
          <w:tcPr>
            <w:tcW w:w="720" w:type="dxa"/>
            <w:tcBorders>
              <w:top w:val="nil"/>
              <w:left w:val="nil"/>
              <w:bottom w:val="single" w:sz="4" w:space="0" w:color="auto"/>
              <w:right w:val="single" w:sz="4" w:space="0" w:color="auto"/>
            </w:tcBorders>
            <w:shd w:val="clear" w:color="auto" w:fill="auto"/>
            <w:noWrap/>
            <w:vAlign w:val="center"/>
            <w:hideMark/>
          </w:tcPr>
          <w:p w14:paraId="158B3F1B" w14:textId="77777777" w:rsidR="00DC2CA1" w:rsidRPr="00DC2CA1" w:rsidRDefault="00DC2CA1" w:rsidP="00DC2CA1">
            <w:pPr>
              <w:spacing w:after="0" w:line="240" w:lineRule="auto"/>
              <w:jc w:val="center"/>
              <w:rPr>
                <w:rFonts w:ascii="Times New Roman" w:eastAsia="Times New Roman" w:hAnsi="Times New Roman" w:cs="Times New Roman"/>
                <w:color w:val="000000"/>
                <w:kern w:val="0"/>
                <w:sz w:val="20"/>
                <w:szCs w:val="20"/>
                <w:lang w:bidi="th-TH"/>
                <w14:ligatures w14:val="none"/>
              </w:rPr>
            </w:pPr>
            <w:r w:rsidRPr="00DC2CA1">
              <w:rPr>
                <w:rFonts w:ascii="Times New Roman" w:eastAsia="Times New Roman" w:hAnsi="Times New Roman" w:cs="Times New Roman"/>
                <w:color w:val="000000"/>
                <w:kern w:val="0"/>
                <w:sz w:val="20"/>
                <w:szCs w:val="20"/>
                <w:lang w:bidi="th-TH"/>
                <w14:ligatures w14:val="none"/>
              </w:rPr>
              <w:t>-12%</w:t>
            </w:r>
          </w:p>
        </w:tc>
      </w:tr>
    </w:tbl>
    <w:p w14:paraId="34361E5F" w14:textId="180FE9E7" w:rsidR="00DC2CA1" w:rsidRDefault="00DC2CA1" w:rsidP="00DC2CA1">
      <w:pPr>
        <w:spacing w:line="360" w:lineRule="auto"/>
        <w:jc w:val="center"/>
        <w:rPr>
          <w:rFonts w:ascii="Times New Roman" w:hAnsi="Times New Roman" w:cs="Times New Roman"/>
          <w:b/>
          <w:bCs/>
          <w:sz w:val="26"/>
          <w:szCs w:val="26"/>
        </w:rPr>
      </w:pPr>
      <w:r w:rsidRPr="00DC2CA1">
        <w:rPr>
          <w:rFonts w:ascii="Times New Roman" w:hAnsi="Times New Roman" w:cs="Times New Roman"/>
          <w:b/>
          <w:bCs/>
          <w:sz w:val="26"/>
          <w:szCs w:val="26"/>
        </w:rPr>
        <w:t xml:space="preserve">Bảng </w:t>
      </w:r>
      <w:r>
        <w:rPr>
          <w:rFonts w:ascii="Times New Roman" w:hAnsi="Times New Roman" w:cs="Times New Roman"/>
          <w:b/>
          <w:bCs/>
          <w:sz w:val="26"/>
          <w:szCs w:val="26"/>
        </w:rPr>
        <w:t>1</w:t>
      </w:r>
      <w:r w:rsidRPr="00DC2CA1">
        <w:rPr>
          <w:rFonts w:ascii="Times New Roman" w:hAnsi="Times New Roman" w:cs="Times New Roman"/>
          <w:b/>
          <w:bCs/>
          <w:sz w:val="26"/>
          <w:szCs w:val="26"/>
        </w:rPr>
        <w:t>.</w:t>
      </w:r>
      <w:r>
        <w:rPr>
          <w:rFonts w:ascii="Times New Roman" w:hAnsi="Times New Roman" w:cs="Times New Roman"/>
          <w:b/>
          <w:bCs/>
          <w:sz w:val="26"/>
          <w:szCs w:val="26"/>
        </w:rPr>
        <w:t>3</w:t>
      </w:r>
      <w:r w:rsidRPr="00DC2CA1">
        <w:rPr>
          <w:rFonts w:ascii="Times New Roman" w:hAnsi="Times New Roman" w:cs="Times New Roman"/>
          <w:b/>
          <w:bCs/>
          <w:sz w:val="26"/>
          <w:szCs w:val="26"/>
        </w:rPr>
        <w:t xml:space="preserve">. Phân tích cơ cấu nguồn vốn của </w:t>
      </w:r>
      <w:r>
        <w:rPr>
          <w:rFonts w:ascii="Times New Roman" w:hAnsi="Times New Roman" w:cs="Times New Roman"/>
          <w:b/>
          <w:bCs/>
          <w:sz w:val="26"/>
          <w:szCs w:val="26"/>
        </w:rPr>
        <w:t>Tập đoàn DIC Group</w:t>
      </w:r>
      <w:r w:rsidRPr="00DC2CA1">
        <w:rPr>
          <w:rFonts w:ascii="Times New Roman" w:hAnsi="Times New Roman" w:cs="Times New Roman"/>
          <w:b/>
          <w:bCs/>
          <w:sz w:val="26"/>
          <w:szCs w:val="26"/>
        </w:rPr>
        <w:t xml:space="preserve"> giai đoạn </w:t>
      </w:r>
      <w:r>
        <w:rPr>
          <w:rFonts w:ascii="Times New Roman" w:hAnsi="Times New Roman" w:cs="Times New Roman"/>
          <w:b/>
          <w:bCs/>
          <w:sz w:val="26"/>
          <w:szCs w:val="26"/>
        </w:rPr>
        <w:t>2020 – 2022</w:t>
      </w:r>
    </w:p>
    <w:p w14:paraId="5FD78010" w14:textId="77777777" w:rsidR="007E5A27" w:rsidRPr="007E5A27" w:rsidRDefault="007E5A27" w:rsidP="007E5A27">
      <w:pPr>
        <w:spacing w:line="276" w:lineRule="auto"/>
        <w:rPr>
          <w:rFonts w:ascii="Times New Roman" w:hAnsi="Times New Roman" w:cs="Times New Roman"/>
          <w:sz w:val="26"/>
          <w:szCs w:val="26"/>
        </w:rPr>
      </w:pPr>
    </w:p>
    <w:p w14:paraId="10C25AAE" w14:textId="5289A0E4" w:rsidR="007E5A27" w:rsidRPr="007E5A27" w:rsidRDefault="007E5A27" w:rsidP="007E5A27">
      <w:pPr>
        <w:pStyle w:val="ListParagraph"/>
        <w:spacing w:line="276" w:lineRule="auto"/>
        <w:ind w:left="450" w:firstLine="270"/>
        <w:rPr>
          <w:rFonts w:ascii="Times New Roman" w:hAnsi="Times New Roman" w:cs="Times New Roman"/>
          <w:sz w:val="26"/>
          <w:szCs w:val="26"/>
        </w:rPr>
      </w:pPr>
      <w:r>
        <w:rPr>
          <w:rFonts w:ascii="Times New Roman" w:hAnsi="Times New Roman" w:cs="Times New Roman"/>
          <w:sz w:val="26"/>
          <w:szCs w:val="26"/>
        </w:rPr>
        <w:t>Thông qua b</w:t>
      </w:r>
      <w:r w:rsidRPr="007E5A27">
        <w:rPr>
          <w:rFonts w:ascii="Times New Roman" w:hAnsi="Times New Roman" w:cs="Times New Roman"/>
          <w:sz w:val="26"/>
          <w:szCs w:val="26"/>
        </w:rPr>
        <w:t>ảng 1.3 của Tập đoàn DIC Group trong giai đoạn 2020-2022 cho thấy sự biến động đáng chú ý trong cơ cấu nguồn vốn của công ty. Tổng nguồn vốn đã tăng lên từ 11,826 tỷ đồng năm 2020 lên 14,747 tỷ đồng vào cuối năm 2022, tăng 25%. Sự biến động này chủ yếu do sự thay đổi trong cả hai thành phần chính của nguồn vốn: nợ phải trả và vốn chủ sở hữu.</w:t>
      </w:r>
    </w:p>
    <w:p w14:paraId="080FE28F" w14:textId="70CC7E62" w:rsidR="007E5A27" w:rsidRPr="007E5A27" w:rsidRDefault="007E5A27" w:rsidP="007E5A27">
      <w:pPr>
        <w:pStyle w:val="ListParagraph"/>
        <w:spacing w:line="276" w:lineRule="auto"/>
        <w:ind w:left="450" w:firstLine="270"/>
        <w:rPr>
          <w:rFonts w:ascii="Times New Roman" w:hAnsi="Times New Roman" w:cs="Times New Roman"/>
          <w:sz w:val="26"/>
          <w:szCs w:val="26"/>
        </w:rPr>
      </w:pPr>
      <w:r w:rsidRPr="007E5A27">
        <w:rPr>
          <w:rFonts w:ascii="Times New Roman" w:hAnsi="Times New Roman" w:cs="Times New Roman"/>
          <w:sz w:val="26"/>
          <w:szCs w:val="26"/>
        </w:rPr>
        <w:t>Phần nợ phải trả giảm từ 7,036 tỷ đồng năm 2020 xuống còn 6,953 tỷ đồng vào năm 2022, tương ứng với mức giảm là 1%. Sự giảm này chủ yếu do giảm giá trị của cả nợ ngắn hạn và nợ dài hạn. Nợ ngắn hạn giảm mạnh từ 5,986 tỷ đồng xuống 3,945 tỷ đồng, tỷ trọng giảm 34%, trong khi nợ dài hạn tăng lên đáng kể từ 1,049 tỷ đồng lên 3,007 tỷ đồng, tăng 187%. Có thể hiểu rằng, Tập đoàn đã điều chỉnh cơ cấu nợ để đáp ứng nhu cầu vốn và điều chỉnh chi phí vay.</w:t>
      </w:r>
    </w:p>
    <w:p w14:paraId="64732A0A" w14:textId="77777777" w:rsidR="007E5A27" w:rsidRPr="007E5A27" w:rsidRDefault="007E5A27" w:rsidP="007E5A27">
      <w:pPr>
        <w:pStyle w:val="ListParagraph"/>
        <w:spacing w:line="276" w:lineRule="auto"/>
        <w:ind w:left="450" w:firstLine="270"/>
        <w:rPr>
          <w:rFonts w:ascii="Times New Roman" w:hAnsi="Times New Roman" w:cs="Times New Roman"/>
          <w:sz w:val="26"/>
          <w:szCs w:val="26"/>
        </w:rPr>
      </w:pPr>
      <w:r w:rsidRPr="007E5A27">
        <w:rPr>
          <w:rFonts w:ascii="Times New Roman" w:hAnsi="Times New Roman" w:cs="Times New Roman"/>
          <w:sz w:val="26"/>
          <w:szCs w:val="26"/>
        </w:rPr>
        <w:t>Phần vốn chủ sở hữu tăng từ 4,790 tỷ đồng lên 7,794 tỷ đồng, tăng 63%, nhưng tỷ trọng so với tổng nguồn vốn tăng từ 40.50% lên 52.85%. Sự tăng này có thể phản ánh sự tăng trưởng tích cực của công ty và khả năng quản lý lợi nhuận. Tuy nhiên, có thể cần xem xét việc đa dạng hóa nguồn vốn để giảm rủi ro và đảm bảo sự linh hoạt trong quản lý nguồn vốn.</w:t>
      </w:r>
    </w:p>
    <w:p w14:paraId="2360BA33" w14:textId="3BC128E1" w:rsidR="00B66947" w:rsidRDefault="007E5A27" w:rsidP="007E5A27">
      <w:pPr>
        <w:pStyle w:val="ListParagraph"/>
        <w:spacing w:line="276" w:lineRule="auto"/>
        <w:ind w:left="450" w:firstLine="270"/>
        <w:rPr>
          <w:rFonts w:ascii="Times New Roman" w:hAnsi="Times New Roman" w:cs="Times New Roman"/>
          <w:sz w:val="26"/>
          <w:szCs w:val="26"/>
        </w:rPr>
      </w:pPr>
      <w:r w:rsidRPr="007E5A27">
        <w:rPr>
          <w:rFonts w:ascii="Times New Roman" w:hAnsi="Times New Roman" w:cs="Times New Roman"/>
          <w:sz w:val="26"/>
          <w:szCs w:val="26"/>
        </w:rPr>
        <w:t>Tổng cảnh đánh giá cho thấy Tập đoàn DIC Group đã có những điều chỉnh đáng kể trong cơ cấu nguồn vốn của mình, tập trung vào việc giảm nợ và tăng tỷ trọng của vốn chủ sở hữu. Các điều này có thể là một chiến lược cân nhắc để tối ưu hóa cơ cấu tài chính và đạt được sự ổn định trong điều kiện kinh doanh.</w:t>
      </w:r>
    </w:p>
    <w:p w14:paraId="7C4A0C9D" w14:textId="397A353C" w:rsidR="00B66947" w:rsidRPr="00B66947" w:rsidRDefault="00B66947" w:rsidP="00B66947">
      <w:pPr>
        <w:pStyle w:val="ListParagraph"/>
        <w:numPr>
          <w:ilvl w:val="0"/>
          <w:numId w:val="3"/>
        </w:numPr>
        <w:spacing w:line="360" w:lineRule="auto"/>
        <w:rPr>
          <w:rFonts w:ascii="Times New Roman" w:hAnsi="Times New Roman" w:cs="Times New Roman"/>
          <w:b/>
          <w:bCs/>
          <w:sz w:val="26"/>
          <w:szCs w:val="26"/>
        </w:rPr>
      </w:pPr>
      <w:r>
        <w:rPr>
          <w:rFonts w:ascii="Times New Roman" w:hAnsi="Times New Roman" w:cs="Times New Roman"/>
          <w:sz w:val="26"/>
          <w:szCs w:val="26"/>
        </w:rPr>
        <w:br w:type="page"/>
      </w:r>
      <w:r w:rsidRPr="00B66947">
        <w:rPr>
          <w:rFonts w:ascii="Times New Roman" w:hAnsi="Times New Roman" w:cs="Times New Roman"/>
          <w:b/>
          <w:bCs/>
          <w:sz w:val="26"/>
          <w:szCs w:val="26"/>
        </w:rPr>
        <w:lastRenderedPageBreak/>
        <w:t>Phân tích hiệu quả kinh doanh</w:t>
      </w:r>
    </w:p>
    <w:p w14:paraId="60190AD3" w14:textId="4DD1D43D" w:rsidR="007E5A27" w:rsidRDefault="00E741B4" w:rsidP="00B66947">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Phân tích khả năng sinh lời</w:t>
      </w:r>
    </w:p>
    <w:p w14:paraId="42A8C175" w14:textId="06DE357D" w:rsidR="00217F80" w:rsidRPr="00217F80" w:rsidRDefault="00217F80" w:rsidP="00217F80">
      <w:pPr>
        <w:pStyle w:val="ListParagraph"/>
        <w:spacing w:line="360" w:lineRule="auto"/>
        <w:ind w:left="1530" w:firstLine="630"/>
        <w:rPr>
          <w:rFonts w:ascii="Times New Roman" w:hAnsi="Times New Roman" w:cs="Times New Roman"/>
          <w:b/>
          <w:bCs/>
          <w:sz w:val="26"/>
          <w:szCs w:val="26"/>
        </w:rPr>
      </w:pPr>
      <w:r w:rsidRPr="00217F80">
        <w:rPr>
          <w:rFonts w:ascii="Times New Roman" w:hAnsi="Times New Roman" w:cs="Times New Roman"/>
          <w:b/>
          <w:bCs/>
          <w:sz w:val="26"/>
          <w:szCs w:val="26"/>
        </w:rPr>
        <w:t>Bảng 1.</w:t>
      </w:r>
      <w:r>
        <w:rPr>
          <w:rFonts w:ascii="Times New Roman" w:hAnsi="Times New Roman" w:cs="Times New Roman"/>
          <w:b/>
          <w:bCs/>
          <w:sz w:val="26"/>
          <w:szCs w:val="26"/>
        </w:rPr>
        <w:t>4</w:t>
      </w:r>
      <w:r w:rsidRPr="00217F80">
        <w:rPr>
          <w:rFonts w:ascii="Times New Roman" w:hAnsi="Times New Roman" w:cs="Times New Roman"/>
          <w:b/>
          <w:bCs/>
          <w:sz w:val="26"/>
          <w:szCs w:val="26"/>
        </w:rPr>
        <w:t xml:space="preserve">. </w:t>
      </w:r>
      <w:r>
        <w:rPr>
          <w:rFonts w:ascii="Times New Roman" w:hAnsi="Times New Roman" w:cs="Times New Roman"/>
          <w:b/>
          <w:bCs/>
          <w:sz w:val="26"/>
          <w:szCs w:val="26"/>
        </w:rPr>
        <w:t>Các chỉ số tài chính về khả năng sinh lời của công ty từ 2020 - 2022</w:t>
      </w:r>
    </w:p>
    <w:tbl>
      <w:tblPr>
        <w:tblW w:w="7300" w:type="dxa"/>
        <w:tblInd w:w="3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240"/>
        <w:gridCol w:w="1240"/>
        <w:gridCol w:w="1240"/>
      </w:tblGrid>
      <w:tr w:rsidR="00A169E3" w:rsidRPr="00A169E3" w14:paraId="1500B16D" w14:textId="77777777" w:rsidTr="00A169E3">
        <w:trPr>
          <w:trHeight w:val="458"/>
        </w:trPr>
        <w:tc>
          <w:tcPr>
            <w:tcW w:w="3580" w:type="dxa"/>
            <w:shd w:val="clear" w:color="auto" w:fill="auto"/>
            <w:noWrap/>
            <w:vAlign w:val="center"/>
          </w:tcPr>
          <w:p w14:paraId="3FBE2300" w14:textId="1DD38658" w:rsidR="00A169E3" w:rsidRPr="00A169E3" w:rsidRDefault="00A169E3" w:rsidP="00A169E3">
            <w:pPr>
              <w:spacing w:after="0" w:line="240" w:lineRule="auto"/>
              <w:jc w:val="center"/>
              <w:rPr>
                <w:rFonts w:ascii="Arial" w:eastAsia="Times New Roman" w:hAnsi="Arial" w:cs="Arial"/>
                <w:b/>
                <w:bCs/>
                <w:color w:val="000000"/>
                <w:kern w:val="0"/>
                <w:lang w:bidi="th-TH"/>
                <w14:ligatures w14:val="none"/>
              </w:rPr>
            </w:pPr>
            <w:r w:rsidRPr="00A169E3">
              <w:rPr>
                <w:rFonts w:ascii="Arial" w:eastAsia="Times New Roman" w:hAnsi="Arial" w:cs="Arial"/>
                <w:b/>
                <w:bCs/>
                <w:color w:val="000000"/>
                <w:kern w:val="0"/>
                <w:lang w:bidi="th-TH"/>
                <w14:ligatures w14:val="none"/>
              </w:rPr>
              <w:t>Chỉ số</w:t>
            </w:r>
          </w:p>
        </w:tc>
        <w:tc>
          <w:tcPr>
            <w:tcW w:w="1240" w:type="dxa"/>
            <w:shd w:val="clear" w:color="auto" w:fill="auto"/>
            <w:noWrap/>
            <w:vAlign w:val="center"/>
          </w:tcPr>
          <w:p w14:paraId="7C519A5A" w14:textId="77E8F1B6" w:rsidR="00A169E3" w:rsidRPr="00A169E3" w:rsidRDefault="00A169E3" w:rsidP="00A169E3">
            <w:pPr>
              <w:spacing w:after="0" w:line="240" w:lineRule="auto"/>
              <w:jc w:val="center"/>
              <w:rPr>
                <w:rFonts w:ascii="Arial" w:eastAsia="Times New Roman" w:hAnsi="Arial" w:cs="Arial"/>
                <w:b/>
                <w:bCs/>
                <w:color w:val="000000"/>
                <w:kern w:val="0"/>
                <w:lang w:bidi="th-TH"/>
                <w14:ligatures w14:val="none"/>
              </w:rPr>
            </w:pPr>
            <w:r>
              <w:rPr>
                <w:rFonts w:ascii="Arial" w:eastAsia="Times New Roman" w:hAnsi="Arial" w:cs="Arial"/>
                <w:b/>
                <w:bCs/>
                <w:color w:val="000000"/>
                <w:kern w:val="0"/>
                <w:lang w:bidi="th-TH"/>
                <w14:ligatures w14:val="none"/>
              </w:rPr>
              <w:t>2020</w:t>
            </w:r>
          </w:p>
        </w:tc>
        <w:tc>
          <w:tcPr>
            <w:tcW w:w="1240" w:type="dxa"/>
            <w:shd w:val="clear" w:color="auto" w:fill="auto"/>
            <w:noWrap/>
            <w:vAlign w:val="center"/>
          </w:tcPr>
          <w:p w14:paraId="619B695A" w14:textId="4DD19EF0" w:rsidR="00A169E3" w:rsidRPr="00A169E3" w:rsidRDefault="00A169E3" w:rsidP="00A169E3">
            <w:pPr>
              <w:spacing w:after="0" w:line="240" w:lineRule="auto"/>
              <w:jc w:val="center"/>
              <w:rPr>
                <w:rFonts w:ascii="Arial" w:eastAsia="Times New Roman" w:hAnsi="Arial" w:cs="Arial"/>
                <w:b/>
                <w:bCs/>
                <w:color w:val="000000"/>
                <w:kern w:val="0"/>
                <w:lang w:bidi="th-TH"/>
                <w14:ligatures w14:val="none"/>
              </w:rPr>
            </w:pPr>
            <w:r>
              <w:rPr>
                <w:rFonts w:ascii="Arial" w:eastAsia="Times New Roman" w:hAnsi="Arial" w:cs="Arial"/>
                <w:b/>
                <w:bCs/>
                <w:color w:val="000000"/>
                <w:kern w:val="0"/>
                <w:lang w:bidi="th-TH"/>
                <w14:ligatures w14:val="none"/>
              </w:rPr>
              <w:t>2021</w:t>
            </w:r>
          </w:p>
        </w:tc>
        <w:tc>
          <w:tcPr>
            <w:tcW w:w="1240" w:type="dxa"/>
            <w:shd w:val="clear" w:color="auto" w:fill="auto"/>
            <w:noWrap/>
            <w:vAlign w:val="center"/>
          </w:tcPr>
          <w:p w14:paraId="222588E0" w14:textId="4538B626" w:rsidR="00A169E3" w:rsidRPr="00A169E3" w:rsidRDefault="00A169E3" w:rsidP="00A169E3">
            <w:pPr>
              <w:spacing w:after="0" w:line="240" w:lineRule="auto"/>
              <w:jc w:val="center"/>
              <w:rPr>
                <w:rFonts w:ascii="Arial" w:eastAsia="Times New Roman" w:hAnsi="Arial" w:cs="Arial"/>
                <w:b/>
                <w:bCs/>
                <w:color w:val="000000"/>
                <w:kern w:val="0"/>
                <w:lang w:bidi="th-TH"/>
                <w14:ligatures w14:val="none"/>
              </w:rPr>
            </w:pPr>
            <w:r>
              <w:rPr>
                <w:rFonts w:ascii="Arial" w:eastAsia="Times New Roman" w:hAnsi="Arial" w:cs="Arial"/>
                <w:b/>
                <w:bCs/>
                <w:color w:val="000000"/>
                <w:kern w:val="0"/>
                <w:lang w:bidi="th-TH"/>
                <w14:ligatures w14:val="none"/>
              </w:rPr>
              <w:t>2022</w:t>
            </w:r>
          </w:p>
        </w:tc>
      </w:tr>
      <w:tr w:rsidR="00A169E3" w:rsidRPr="00A169E3" w14:paraId="170CA04D" w14:textId="77777777" w:rsidTr="00A169E3">
        <w:trPr>
          <w:trHeight w:val="300"/>
        </w:trPr>
        <w:tc>
          <w:tcPr>
            <w:tcW w:w="3580" w:type="dxa"/>
            <w:shd w:val="clear" w:color="auto" w:fill="auto"/>
            <w:noWrap/>
            <w:vAlign w:val="bottom"/>
            <w:hideMark/>
          </w:tcPr>
          <w:p w14:paraId="6AD1A9E2" w14:textId="77777777"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Tỷ suất lợi nhuận trên vốn đầu tư</w:t>
            </w:r>
          </w:p>
        </w:tc>
        <w:tc>
          <w:tcPr>
            <w:tcW w:w="1240" w:type="dxa"/>
            <w:shd w:val="clear" w:color="auto" w:fill="auto"/>
            <w:noWrap/>
            <w:vAlign w:val="bottom"/>
            <w:hideMark/>
          </w:tcPr>
          <w:p w14:paraId="086F355F" w14:textId="3C574F5B"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16.05%</w:t>
            </w:r>
          </w:p>
        </w:tc>
        <w:tc>
          <w:tcPr>
            <w:tcW w:w="1240" w:type="dxa"/>
            <w:shd w:val="clear" w:color="auto" w:fill="auto"/>
            <w:noWrap/>
            <w:vAlign w:val="bottom"/>
            <w:hideMark/>
          </w:tcPr>
          <w:p w14:paraId="2D5F3124" w14:textId="2A77EC52"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11.31%</w:t>
            </w:r>
          </w:p>
        </w:tc>
        <w:tc>
          <w:tcPr>
            <w:tcW w:w="1240" w:type="dxa"/>
            <w:shd w:val="clear" w:color="auto" w:fill="auto"/>
            <w:noWrap/>
            <w:vAlign w:val="bottom"/>
            <w:hideMark/>
          </w:tcPr>
          <w:p w14:paraId="37ECEB53" w14:textId="229543E8"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4.09%</w:t>
            </w:r>
          </w:p>
        </w:tc>
      </w:tr>
      <w:tr w:rsidR="00A169E3" w:rsidRPr="00A169E3" w14:paraId="080B0F0C" w14:textId="77777777" w:rsidTr="00A169E3">
        <w:trPr>
          <w:trHeight w:val="315"/>
        </w:trPr>
        <w:tc>
          <w:tcPr>
            <w:tcW w:w="3580" w:type="dxa"/>
            <w:shd w:val="clear" w:color="auto" w:fill="auto"/>
            <w:noWrap/>
            <w:vAlign w:val="bottom"/>
            <w:hideMark/>
          </w:tcPr>
          <w:p w14:paraId="23ECD749" w14:textId="77777777"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 xml:space="preserve"> Tỷ suất lợi nhuận trên doanh thu </w:t>
            </w:r>
          </w:p>
        </w:tc>
        <w:tc>
          <w:tcPr>
            <w:tcW w:w="1240" w:type="dxa"/>
            <w:shd w:val="clear" w:color="auto" w:fill="auto"/>
            <w:noWrap/>
            <w:vAlign w:val="bottom"/>
            <w:hideMark/>
          </w:tcPr>
          <w:p w14:paraId="500BD0E7" w14:textId="2EA2A2FB"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37.68%</w:t>
            </w:r>
          </w:p>
        </w:tc>
        <w:tc>
          <w:tcPr>
            <w:tcW w:w="1240" w:type="dxa"/>
            <w:shd w:val="clear" w:color="auto" w:fill="auto"/>
            <w:noWrap/>
            <w:vAlign w:val="bottom"/>
            <w:hideMark/>
          </w:tcPr>
          <w:p w14:paraId="705A0F66" w14:textId="05303DB0"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53.63%</w:t>
            </w:r>
          </w:p>
        </w:tc>
        <w:tc>
          <w:tcPr>
            <w:tcW w:w="1240" w:type="dxa"/>
            <w:shd w:val="clear" w:color="auto" w:fill="auto"/>
            <w:noWrap/>
            <w:vAlign w:val="bottom"/>
            <w:hideMark/>
          </w:tcPr>
          <w:p w14:paraId="4A0DA1F5" w14:textId="75D059C9"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23.30%</w:t>
            </w:r>
          </w:p>
        </w:tc>
      </w:tr>
      <w:tr w:rsidR="00A169E3" w:rsidRPr="00A169E3" w14:paraId="2494130D" w14:textId="77777777" w:rsidTr="00A169E3">
        <w:trPr>
          <w:trHeight w:val="300"/>
        </w:trPr>
        <w:tc>
          <w:tcPr>
            <w:tcW w:w="3580" w:type="dxa"/>
            <w:shd w:val="clear" w:color="auto" w:fill="auto"/>
            <w:noWrap/>
            <w:vAlign w:val="bottom"/>
            <w:hideMark/>
          </w:tcPr>
          <w:p w14:paraId="72AAE4F5" w14:textId="77777777"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ROE</w:t>
            </w:r>
          </w:p>
        </w:tc>
        <w:tc>
          <w:tcPr>
            <w:tcW w:w="1240" w:type="dxa"/>
            <w:shd w:val="clear" w:color="auto" w:fill="auto"/>
            <w:noWrap/>
            <w:vAlign w:val="bottom"/>
            <w:hideMark/>
          </w:tcPr>
          <w:p w14:paraId="211E86A3" w14:textId="6E7BC0F3"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15.07%</w:t>
            </w:r>
          </w:p>
        </w:tc>
        <w:tc>
          <w:tcPr>
            <w:tcW w:w="1240" w:type="dxa"/>
            <w:shd w:val="clear" w:color="auto" w:fill="auto"/>
            <w:noWrap/>
            <w:vAlign w:val="bottom"/>
            <w:hideMark/>
          </w:tcPr>
          <w:p w14:paraId="2B1FE9F7" w14:textId="2ADB8356"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12.90%</w:t>
            </w:r>
          </w:p>
        </w:tc>
        <w:tc>
          <w:tcPr>
            <w:tcW w:w="1240" w:type="dxa"/>
            <w:shd w:val="clear" w:color="auto" w:fill="auto"/>
            <w:noWrap/>
            <w:vAlign w:val="bottom"/>
            <w:hideMark/>
          </w:tcPr>
          <w:p w14:paraId="025F7EE7" w14:textId="34F9444C"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2.46%</w:t>
            </w:r>
          </w:p>
        </w:tc>
      </w:tr>
      <w:tr w:rsidR="00A169E3" w:rsidRPr="00A169E3" w14:paraId="5C532BD7" w14:textId="77777777" w:rsidTr="00A169E3">
        <w:trPr>
          <w:trHeight w:val="300"/>
        </w:trPr>
        <w:tc>
          <w:tcPr>
            <w:tcW w:w="3580" w:type="dxa"/>
            <w:shd w:val="clear" w:color="auto" w:fill="auto"/>
            <w:noWrap/>
            <w:vAlign w:val="bottom"/>
            <w:hideMark/>
          </w:tcPr>
          <w:p w14:paraId="44F31E6F" w14:textId="437948EC" w:rsidR="00A169E3" w:rsidRPr="00A169E3" w:rsidRDefault="00A169E3" w:rsidP="00A169E3">
            <w:pPr>
              <w:spacing w:after="0" w:line="240" w:lineRule="auto"/>
              <w:rPr>
                <w:rFonts w:ascii="Arial" w:eastAsia="Times New Roman" w:hAnsi="Arial" w:cs="Arial"/>
                <w:color w:val="000000"/>
                <w:kern w:val="0"/>
                <w:lang w:bidi="th-TH"/>
                <w14:ligatures w14:val="none"/>
              </w:rPr>
            </w:pPr>
            <w:r>
              <w:rPr>
                <w:rFonts w:ascii="Arial" w:hAnsi="Arial" w:cs="Arial"/>
                <w:color w:val="000000"/>
              </w:rPr>
              <w:t>ROA</w:t>
            </w:r>
          </w:p>
        </w:tc>
        <w:tc>
          <w:tcPr>
            <w:tcW w:w="1240" w:type="dxa"/>
            <w:shd w:val="clear" w:color="auto" w:fill="auto"/>
            <w:noWrap/>
            <w:vAlign w:val="bottom"/>
            <w:hideMark/>
          </w:tcPr>
          <w:p w14:paraId="3DE3526E" w14:textId="1C955885"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6.10%</w:t>
            </w:r>
          </w:p>
        </w:tc>
        <w:tc>
          <w:tcPr>
            <w:tcW w:w="1240" w:type="dxa"/>
            <w:shd w:val="clear" w:color="auto" w:fill="auto"/>
            <w:noWrap/>
            <w:vAlign w:val="bottom"/>
            <w:hideMark/>
          </w:tcPr>
          <w:p w14:paraId="54DE1216" w14:textId="2B0E7C6F"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5.88%</w:t>
            </w:r>
          </w:p>
        </w:tc>
        <w:tc>
          <w:tcPr>
            <w:tcW w:w="1240" w:type="dxa"/>
            <w:shd w:val="clear" w:color="auto" w:fill="auto"/>
            <w:noWrap/>
            <w:vAlign w:val="bottom"/>
            <w:hideMark/>
          </w:tcPr>
          <w:p w14:paraId="6668C4CF" w14:textId="578A1709"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1.30%</w:t>
            </w:r>
          </w:p>
        </w:tc>
      </w:tr>
      <w:tr w:rsidR="00A169E3" w:rsidRPr="00A169E3" w14:paraId="7DF65227" w14:textId="77777777" w:rsidTr="00A169E3">
        <w:trPr>
          <w:trHeight w:val="315"/>
        </w:trPr>
        <w:tc>
          <w:tcPr>
            <w:tcW w:w="3580" w:type="dxa"/>
            <w:shd w:val="clear" w:color="auto" w:fill="auto"/>
            <w:noWrap/>
            <w:vAlign w:val="bottom"/>
            <w:hideMark/>
          </w:tcPr>
          <w:p w14:paraId="1F92A4BB" w14:textId="77777777"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ROS</w:t>
            </w:r>
          </w:p>
        </w:tc>
        <w:tc>
          <w:tcPr>
            <w:tcW w:w="1240" w:type="dxa"/>
            <w:shd w:val="clear" w:color="auto" w:fill="auto"/>
            <w:noWrap/>
            <w:vAlign w:val="bottom"/>
            <w:hideMark/>
          </w:tcPr>
          <w:p w14:paraId="57C66948" w14:textId="1DC7624D"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29.02%</w:t>
            </w:r>
          </w:p>
        </w:tc>
        <w:tc>
          <w:tcPr>
            <w:tcW w:w="1240" w:type="dxa"/>
            <w:shd w:val="clear" w:color="auto" w:fill="auto"/>
            <w:noWrap/>
            <w:vAlign w:val="bottom"/>
            <w:hideMark/>
          </w:tcPr>
          <w:p w14:paraId="71C1D6B4" w14:textId="40FC9023"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38.54%</w:t>
            </w:r>
          </w:p>
        </w:tc>
        <w:tc>
          <w:tcPr>
            <w:tcW w:w="1240" w:type="dxa"/>
            <w:shd w:val="clear" w:color="auto" w:fill="auto"/>
            <w:noWrap/>
            <w:vAlign w:val="bottom"/>
            <w:hideMark/>
          </w:tcPr>
          <w:p w14:paraId="3456B8A5" w14:textId="0BB12EF8" w:rsidR="00A169E3" w:rsidRPr="00A169E3" w:rsidRDefault="00A169E3" w:rsidP="00A169E3">
            <w:pPr>
              <w:spacing w:after="0" w:line="240" w:lineRule="auto"/>
              <w:jc w:val="right"/>
              <w:rPr>
                <w:rFonts w:ascii="Arial" w:eastAsia="Times New Roman" w:hAnsi="Arial" w:cs="Arial"/>
                <w:b/>
                <w:bCs/>
                <w:color w:val="000000"/>
                <w:kern w:val="0"/>
                <w:lang w:bidi="th-TH"/>
                <w14:ligatures w14:val="none"/>
              </w:rPr>
            </w:pPr>
            <w:r w:rsidRPr="00A169E3">
              <w:rPr>
                <w:rFonts w:ascii="Arial" w:eastAsia="Times New Roman" w:hAnsi="Arial" w:cs="Arial"/>
                <w:color w:val="000000"/>
                <w:kern w:val="0"/>
                <w:lang w:bidi="th-TH"/>
                <w14:ligatures w14:val="none"/>
              </w:rPr>
              <w:t>10.09%</w:t>
            </w:r>
          </w:p>
        </w:tc>
      </w:tr>
      <w:tr w:rsidR="00A169E3" w:rsidRPr="00A169E3" w14:paraId="523B1CC4" w14:textId="77777777" w:rsidTr="00A169E3">
        <w:trPr>
          <w:trHeight w:val="120"/>
        </w:trPr>
        <w:tc>
          <w:tcPr>
            <w:tcW w:w="3580" w:type="dxa"/>
            <w:shd w:val="clear" w:color="auto" w:fill="auto"/>
            <w:noWrap/>
            <w:vAlign w:val="bottom"/>
            <w:hideMark/>
          </w:tcPr>
          <w:p w14:paraId="24F1AA28" w14:textId="7183A30D"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Tỉ lệ quay vòng tài sản cố định</w:t>
            </w:r>
          </w:p>
        </w:tc>
        <w:tc>
          <w:tcPr>
            <w:tcW w:w="1240" w:type="dxa"/>
            <w:shd w:val="clear" w:color="auto" w:fill="auto"/>
            <w:noWrap/>
            <w:vAlign w:val="bottom"/>
            <w:hideMark/>
          </w:tcPr>
          <w:p w14:paraId="6619907A" w14:textId="7455EE44"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 xml:space="preserve">         3.25 </w:t>
            </w:r>
          </w:p>
        </w:tc>
        <w:tc>
          <w:tcPr>
            <w:tcW w:w="1240" w:type="dxa"/>
            <w:shd w:val="clear" w:color="auto" w:fill="auto"/>
            <w:noWrap/>
            <w:vAlign w:val="bottom"/>
            <w:hideMark/>
          </w:tcPr>
          <w:p w14:paraId="7DC89140" w14:textId="3B757FC5"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 xml:space="preserve">        3.54 </w:t>
            </w:r>
          </w:p>
        </w:tc>
        <w:tc>
          <w:tcPr>
            <w:tcW w:w="1240" w:type="dxa"/>
            <w:shd w:val="clear" w:color="auto" w:fill="auto"/>
            <w:noWrap/>
            <w:vAlign w:val="bottom"/>
            <w:hideMark/>
          </w:tcPr>
          <w:p w14:paraId="12794AE6" w14:textId="038025E2"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 xml:space="preserve">        2.64 </w:t>
            </w:r>
          </w:p>
        </w:tc>
      </w:tr>
      <w:tr w:rsidR="00A169E3" w:rsidRPr="00A169E3" w14:paraId="799C1C6D" w14:textId="77777777" w:rsidTr="00A169E3">
        <w:trPr>
          <w:trHeight w:val="120"/>
        </w:trPr>
        <w:tc>
          <w:tcPr>
            <w:tcW w:w="3580" w:type="dxa"/>
            <w:shd w:val="clear" w:color="auto" w:fill="auto"/>
            <w:noWrap/>
            <w:vAlign w:val="bottom"/>
          </w:tcPr>
          <w:p w14:paraId="3CE10DBE" w14:textId="6D0DA7BF"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Vòng quay vốn lưu động</w:t>
            </w:r>
          </w:p>
        </w:tc>
        <w:tc>
          <w:tcPr>
            <w:tcW w:w="1240" w:type="dxa"/>
            <w:shd w:val="clear" w:color="auto" w:fill="auto"/>
            <w:noWrap/>
            <w:vAlign w:val="bottom"/>
          </w:tcPr>
          <w:p w14:paraId="20D8F935" w14:textId="00BA2361" w:rsidR="00A169E3" w:rsidRPr="00A169E3" w:rsidRDefault="00A169E3" w:rsidP="00A169E3">
            <w:pPr>
              <w:spacing w:after="0" w:line="240" w:lineRule="auto"/>
              <w:rPr>
                <w:rFonts w:ascii="Times New Roman" w:eastAsia="Times New Roman" w:hAnsi="Times New Roman" w:cs="Times New Roman"/>
                <w:kern w:val="0"/>
                <w:sz w:val="20"/>
                <w:szCs w:val="20"/>
                <w:lang w:bidi="th-TH"/>
                <w14:ligatures w14:val="none"/>
              </w:rPr>
            </w:pPr>
            <w:r>
              <w:rPr>
                <w:rFonts w:ascii="Arial" w:hAnsi="Arial" w:cs="Arial"/>
                <w:color w:val="000000"/>
              </w:rPr>
              <w:t xml:space="preserve">      1.90 </w:t>
            </w:r>
          </w:p>
        </w:tc>
        <w:tc>
          <w:tcPr>
            <w:tcW w:w="1240" w:type="dxa"/>
            <w:shd w:val="clear" w:color="auto" w:fill="auto"/>
            <w:noWrap/>
            <w:vAlign w:val="bottom"/>
          </w:tcPr>
          <w:p w14:paraId="3EDD2F29" w14:textId="18173A7F" w:rsidR="00A169E3" w:rsidRPr="00A169E3" w:rsidRDefault="00A169E3" w:rsidP="00A169E3">
            <w:pPr>
              <w:spacing w:after="0" w:line="240" w:lineRule="auto"/>
              <w:rPr>
                <w:rFonts w:ascii="Times New Roman" w:eastAsia="Times New Roman" w:hAnsi="Times New Roman" w:cs="Times New Roman"/>
                <w:kern w:val="0"/>
                <w:sz w:val="20"/>
                <w:szCs w:val="20"/>
                <w:lang w:bidi="th-TH"/>
                <w14:ligatures w14:val="none"/>
              </w:rPr>
            </w:pPr>
            <w:r>
              <w:rPr>
                <w:rFonts w:ascii="Arial" w:hAnsi="Arial" w:cs="Arial"/>
                <w:color w:val="000000"/>
              </w:rPr>
              <w:t xml:space="preserve">      0.39 </w:t>
            </w:r>
          </w:p>
        </w:tc>
        <w:tc>
          <w:tcPr>
            <w:tcW w:w="1240" w:type="dxa"/>
            <w:shd w:val="clear" w:color="auto" w:fill="auto"/>
            <w:noWrap/>
            <w:vAlign w:val="bottom"/>
          </w:tcPr>
          <w:p w14:paraId="4667079E" w14:textId="0192D0AD" w:rsidR="00A169E3" w:rsidRPr="00A169E3" w:rsidRDefault="00A169E3" w:rsidP="00A169E3">
            <w:pPr>
              <w:spacing w:after="0" w:line="240" w:lineRule="auto"/>
              <w:rPr>
                <w:rFonts w:ascii="Times New Roman" w:eastAsia="Times New Roman" w:hAnsi="Times New Roman" w:cs="Times New Roman"/>
                <w:kern w:val="0"/>
                <w:sz w:val="20"/>
                <w:szCs w:val="20"/>
                <w:lang w:bidi="th-TH"/>
                <w14:ligatures w14:val="none"/>
              </w:rPr>
            </w:pPr>
            <w:r>
              <w:rPr>
                <w:rFonts w:ascii="Arial" w:hAnsi="Arial" w:cs="Arial"/>
                <w:color w:val="000000"/>
              </w:rPr>
              <w:t xml:space="preserve">      0.27 </w:t>
            </w:r>
          </w:p>
        </w:tc>
      </w:tr>
      <w:tr w:rsidR="00A169E3" w:rsidRPr="00A169E3" w14:paraId="41193E68" w14:textId="77777777" w:rsidTr="00A169E3">
        <w:trPr>
          <w:trHeight w:val="315"/>
        </w:trPr>
        <w:tc>
          <w:tcPr>
            <w:tcW w:w="3580" w:type="dxa"/>
            <w:shd w:val="clear" w:color="auto" w:fill="auto"/>
            <w:noWrap/>
            <w:vAlign w:val="bottom"/>
            <w:hideMark/>
          </w:tcPr>
          <w:p w14:paraId="4A5B6E76" w14:textId="3D5A89FB"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Vòng quay tổng tài sản</w:t>
            </w:r>
          </w:p>
        </w:tc>
        <w:tc>
          <w:tcPr>
            <w:tcW w:w="1240" w:type="dxa"/>
            <w:shd w:val="clear" w:color="auto" w:fill="auto"/>
            <w:noWrap/>
            <w:vAlign w:val="bottom"/>
            <w:hideMark/>
          </w:tcPr>
          <w:p w14:paraId="30A990EA" w14:textId="17BDDF98"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 xml:space="preserve">      0.21 </w:t>
            </w:r>
          </w:p>
        </w:tc>
        <w:tc>
          <w:tcPr>
            <w:tcW w:w="1240" w:type="dxa"/>
            <w:shd w:val="clear" w:color="auto" w:fill="auto"/>
            <w:noWrap/>
            <w:vAlign w:val="bottom"/>
            <w:hideMark/>
          </w:tcPr>
          <w:p w14:paraId="742937FF" w14:textId="724A7461"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 xml:space="preserve">      0.15 </w:t>
            </w:r>
          </w:p>
        </w:tc>
        <w:tc>
          <w:tcPr>
            <w:tcW w:w="1240" w:type="dxa"/>
            <w:shd w:val="clear" w:color="auto" w:fill="auto"/>
            <w:noWrap/>
            <w:vAlign w:val="bottom"/>
            <w:hideMark/>
          </w:tcPr>
          <w:p w14:paraId="6C562D6A" w14:textId="489F300B"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 xml:space="preserve">      0.13 </w:t>
            </w:r>
          </w:p>
        </w:tc>
      </w:tr>
      <w:tr w:rsidR="00A169E3" w:rsidRPr="00A169E3" w14:paraId="52425D37" w14:textId="77777777" w:rsidTr="00A169E3">
        <w:trPr>
          <w:trHeight w:val="315"/>
        </w:trPr>
        <w:tc>
          <w:tcPr>
            <w:tcW w:w="3580" w:type="dxa"/>
            <w:shd w:val="clear" w:color="auto" w:fill="auto"/>
            <w:noWrap/>
            <w:vAlign w:val="bottom"/>
          </w:tcPr>
          <w:p w14:paraId="48C70E37" w14:textId="2EEF70F1" w:rsidR="00A169E3" w:rsidRPr="00A169E3" w:rsidRDefault="00A169E3" w:rsidP="00A169E3">
            <w:pPr>
              <w:spacing w:after="0" w:line="240" w:lineRule="auto"/>
              <w:rPr>
                <w:rFonts w:ascii="Arial" w:eastAsia="Times New Roman" w:hAnsi="Arial" w:cs="Arial"/>
                <w:color w:val="000000"/>
                <w:kern w:val="0"/>
                <w:lang w:bidi="th-TH"/>
                <w14:ligatures w14:val="none"/>
              </w:rPr>
            </w:pPr>
            <w:r w:rsidRPr="00A169E3">
              <w:rPr>
                <w:rFonts w:ascii="Arial" w:eastAsia="Times New Roman" w:hAnsi="Arial" w:cs="Arial"/>
                <w:color w:val="000000"/>
                <w:kern w:val="0"/>
                <w:lang w:bidi="th-TH"/>
                <w14:ligatures w14:val="none"/>
              </w:rPr>
              <w:t>Lợi nhuận gộp</w:t>
            </w:r>
          </w:p>
        </w:tc>
        <w:tc>
          <w:tcPr>
            <w:tcW w:w="1240" w:type="dxa"/>
            <w:shd w:val="clear" w:color="auto" w:fill="auto"/>
            <w:noWrap/>
            <w:vAlign w:val="bottom"/>
          </w:tcPr>
          <w:p w14:paraId="177920B6" w14:textId="2721DDB1"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25.75%</w:t>
            </w:r>
          </w:p>
        </w:tc>
        <w:tc>
          <w:tcPr>
            <w:tcW w:w="1240" w:type="dxa"/>
            <w:shd w:val="clear" w:color="auto" w:fill="auto"/>
            <w:noWrap/>
            <w:vAlign w:val="bottom"/>
          </w:tcPr>
          <w:p w14:paraId="1CE89998" w14:textId="6C62A721"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32.68%</w:t>
            </w:r>
          </w:p>
        </w:tc>
        <w:tc>
          <w:tcPr>
            <w:tcW w:w="1240" w:type="dxa"/>
            <w:shd w:val="clear" w:color="auto" w:fill="auto"/>
            <w:noWrap/>
            <w:vAlign w:val="bottom"/>
          </w:tcPr>
          <w:p w14:paraId="22592DE5" w14:textId="1F0F1789" w:rsidR="00A169E3" w:rsidRPr="00A169E3" w:rsidRDefault="00A169E3" w:rsidP="00A169E3">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33.34%</w:t>
            </w:r>
          </w:p>
        </w:tc>
      </w:tr>
      <w:tr w:rsidR="00A169E3" w:rsidRPr="00A169E3" w14:paraId="20D769C7" w14:textId="77777777" w:rsidTr="00A169E3">
        <w:trPr>
          <w:trHeight w:val="315"/>
        </w:trPr>
        <w:tc>
          <w:tcPr>
            <w:tcW w:w="3580" w:type="dxa"/>
            <w:shd w:val="clear" w:color="auto" w:fill="auto"/>
            <w:noWrap/>
            <w:vAlign w:val="bottom"/>
          </w:tcPr>
          <w:p w14:paraId="534D9141" w14:textId="2B95A4A9" w:rsidR="00A169E3" w:rsidRPr="00A169E3" w:rsidRDefault="00A169E3" w:rsidP="00A169E3">
            <w:pPr>
              <w:spacing w:after="0" w:line="240" w:lineRule="auto"/>
              <w:rPr>
                <w:rFonts w:ascii="Arial" w:eastAsia="Times New Roman" w:hAnsi="Arial" w:cs="Arial"/>
                <w:color w:val="000000"/>
                <w:kern w:val="0"/>
                <w:lang w:bidi="th-TH"/>
                <w14:ligatures w14:val="none"/>
              </w:rPr>
            </w:pPr>
            <w:r>
              <w:rPr>
                <w:rFonts w:ascii="Arial" w:hAnsi="Arial" w:cs="Arial"/>
                <w:color w:val="000000"/>
              </w:rPr>
              <w:t>Vòng quay vốn</w:t>
            </w:r>
          </w:p>
        </w:tc>
        <w:tc>
          <w:tcPr>
            <w:tcW w:w="1240" w:type="dxa"/>
            <w:shd w:val="clear" w:color="auto" w:fill="auto"/>
            <w:noWrap/>
            <w:vAlign w:val="bottom"/>
          </w:tcPr>
          <w:p w14:paraId="61CA475F" w14:textId="5EDC81F1" w:rsidR="00A169E3" w:rsidRDefault="00A169E3" w:rsidP="00A169E3">
            <w:pPr>
              <w:spacing w:after="0" w:line="240" w:lineRule="auto"/>
              <w:jc w:val="right"/>
              <w:rPr>
                <w:rFonts w:ascii="Arial" w:hAnsi="Arial" w:cs="Arial"/>
                <w:color w:val="000000"/>
              </w:rPr>
            </w:pPr>
            <w:r>
              <w:rPr>
                <w:rFonts w:ascii="Arial" w:hAnsi="Arial" w:cs="Arial"/>
                <w:color w:val="000000"/>
              </w:rPr>
              <w:t xml:space="preserve">      0.43 </w:t>
            </w:r>
          </w:p>
        </w:tc>
        <w:tc>
          <w:tcPr>
            <w:tcW w:w="1240" w:type="dxa"/>
            <w:shd w:val="clear" w:color="auto" w:fill="auto"/>
            <w:noWrap/>
            <w:vAlign w:val="bottom"/>
          </w:tcPr>
          <w:p w14:paraId="282102C5" w14:textId="47F33AB9" w:rsidR="00A169E3" w:rsidRDefault="00A169E3" w:rsidP="00A169E3">
            <w:pPr>
              <w:spacing w:after="0" w:line="240" w:lineRule="auto"/>
              <w:jc w:val="right"/>
              <w:rPr>
                <w:rFonts w:ascii="Arial" w:hAnsi="Arial" w:cs="Arial"/>
                <w:color w:val="000000"/>
              </w:rPr>
            </w:pPr>
            <w:r>
              <w:rPr>
                <w:rFonts w:ascii="Arial" w:hAnsi="Arial" w:cs="Arial"/>
                <w:color w:val="000000"/>
              </w:rPr>
              <w:t xml:space="preserve">      0.21 </w:t>
            </w:r>
          </w:p>
        </w:tc>
        <w:tc>
          <w:tcPr>
            <w:tcW w:w="1240" w:type="dxa"/>
            <w:shd w:val="clear" w:color="auto" w:fill="auto"/>
            <w:noWrap/>
            <w:vAlign w:val="bottom"/>
          </w:tcPr>
          <w:p w14:paraId="157411B1" w14:textId="5268E60D" w:rsidR="00A169E3" w:rsidRDefault="00A169E3" w:rsidP="00A169E3">
            <w:pPr>
              <w:spacing w:after="0" w:line="240" w:lineRule="auto"/>
              <w:jc w:val="right"/>
              <w:rPr>
                <w:rFonts w:ascii="Arial" w:hAnsi="Arial" w:cs="Arial"/>
                <w:color w:val="000000"/>
              </w:rPr>
            </w:pPr>
            <w:r>
              <w:rPr>
                <w:rFonts w:ascii="Arial" w:hAnsi="Arial" w:cs="Arial"/>
                <w:color w:val="000000"/>
              </w:rPr>
              <w:t xml:space="preserve">      0.18 </w:t>
            </w:r>
          </w:p>
        </w:tc>
      </w:tr>
      <w:tr w:rsidR="00A169E3" w:rsidRPr="00A169E3" w14:paraId="1CB1A3A8" w14:textId="77777777" w:rsidTr="00A169E3">
        <w:trPr>
          <w:trHeight w:val="315"/>
        </w:trPr>
        <w:tc>
          <w:tcPr>
            <w:tcW w:w="3580" w:type="dxa"/>
            <w:shd w:val="clear" w:color="auto" w:fill="auto"/>
            <w:noWrap/>
            <w:vAlign w:val="bottom"/>
          </w:tcPr>
          <w:p w14:paraId="61A8C8C3" w14:textId="22E5E356" w:rsidR="00A169E3" w:rsidRPr="00A169E3" w:rsidRDefault="00A169E3" w:rsidP="00A169E3">
            <w:pPr>
              <w:spacing w:after="0" w:line="240" w:lineRule="auto"/>
              <w:rPr>
                <w:rFonts w:ascii="Arial" w:eastAsia="Times New Roman" w:hAnsi="Arial" w:cs="Arial"/>
                <w:color w:val="000000"/>
                <w:kern w:val="0"/>
                <w:lang w:bidi="th-TH"/>
                <w14:ligatures w14:val="none"/>
              </w:rPr>
            </w:pPr>
            <w:r>
              <w:rPr>
                <w:rFonts w:ascii="Arial" w:hAnsi="Arial" w:cs="Arial"/>
                <w:color w:val="000000"/>
              </w:rPr>
              <w:t>Chi phí hạ tầng/ doanh thu</w:t>
            </w:r>
          </w:p>
        </w:tc>
        <w:tc>
          <w:tcPr>
            <w:tcW w:w="1240" w:type="dxa"/>
            <w:shd w:val="clear" w:color="auto" w:fill="auto"/>
            <w:noWrap/>
            <w:vAlign w:val="bottom"/>
          </w:tcPr>
          <w:p w14:paraId="232AC193" w14:textId="63BE1CB7" w:rsidR="00A169E3" w:rsidRDefault="00A169E3" w:rsidP="00A169E3">
            <w:pPr>
              <w:spacing w:after="0" w:line="240" w:lineRule="auto"/>
              <w:jc w:val="right"/>
              <w:rPr>
                <w:rFonts w:ascii="Arial" w:hAnsi="Arial" w:cs="Arial"/>
                <w:color w:val="000000"/>
              </w:rPr>
            </w:pPr>
            <w:r>
              <w:rPr>
                <w:rFonts w:ascii="Arial" w:hAnsi="Arial" w:cs="Arial"/>
                <w:color w:val="000000"/>
              </w:rPr>
              <w:t>10.43%</w:t>
            </w:r>
          </w:p>
        </w:tc>
        <w:tc>
          <w:tcPr>
            <w:tcW w:w="1240" w:type="dxa"/>
            <w:shd w:val="clear" w:color="auto" w:fill="auto"/>
            <w:noWrap/>
            <w:vAlign w:val="bottom"/>
          </w:tcPr>
          <w:p w14:paraId="3A50EAFC" w14:textId="023103EA" w:rsidR="00A169E3" w:rsidRDefault="00A169E3" w:rsidP="00A169E3">
            <w:pPr>
              <w:spacing w:after="0" w:line="240" w:lineRule="auto"/>
              <w:jc w:val="right"/>
              <w:rPr>
                <w:rFonts w:ascii="Arial" w:hAnsi="Arial" w:cs="Arial"/>
                <w:color w:val="000000"/>
              </w:rPr>
            </w:pPr>
            <w:r>
              <w:rPr>
                <w:rFonts w:ascii="Arial" w:hAnsi="Arial" w:cs="Arial"/>
                <w:color w:val="000000"/>
              </w:rPr>
              <w:t>17.21%</w:t>
            </w:r>
          </w:p>
        </w:tc>
        <w:tc>
          <w:tcPr>
            <w:tcW w:w="1240" w:type="dxa"/>
            <w:shd w:val="clear" w:color="auto" w:fill="auto"/>
            <w:noWrap/>
            <w:vAlign w:val="bottom"/>
          </w:tcPr>
          <w:p w14:paraId="4D53A36E" w14:textId="358949A3" w:rsidR="00A169E3" w:rsidRDefault="00A169E3" w:rsidP="00A169E3">
            <w:pPr>
              <w:spacing w:after="0" w:line="240" w:lineRule="auto"/>
              <w:jc w:val="right"/>
              <w:rPr>
                <w:rFonts w:ascii="Arial" w:hAnsi="Arial" w:cs="Arial"/>
                <w:color w:val="000000"/>
              </w:rPr>
            </w:pPr>
            <w:r>
              <w:rPr>
                <w:rFonts w:ascii="Arial" w:hAnsi="Arial" w:cs="Arial"/>
                <w:color w:val="000000"/>
              </w:rPr>
              <w:t>-22.86%</w:t>
            </w:r>
          </w:p>
        </w:tc>
      </w:tr>
      <w:tr w:rsidR="00A169E3" w:rsidRPr="00A169E3" w14:paraId="4CB125DC" w14:textId="77777777" w:rsidTr="00A169E3">
        <w:trPr>
          <w:trHeight w:val="315"/>
        </w:trPr>
        <w:tc>
          <w:tcPr>
            <w:tcW w:w="3580" w:type="dxa"/>
            <w:shd w:val="clear" w:color="auto" w:fill="auto"/>
            <w:noWrap/>
            <w:vAlign w:val="bottom"/>
          </w:tcPr>
          <w:p w14:paraId="5DD644A7" w14:textId="709C8A99" w:rsidR="00A169E3" w:rsidRDefault="00A169E3" w:rsidP="00A169E3">
            <w:pPr>
              <w:spacing w:after="0" w:line="240" w:lineRule="auto"/>
              <w:rPr>
                <w:rFonts w:ascii="Arial" w:hAnsi="Arial" w:cs="Arial"/>
                <w:color w:val="000000"/>
              </w:rPr>
            </w:pPr>
            <w:r>
              <w:rPr>
                <w:rFonts w:ascii="Arial" w:hAnsi="Arial" w:cs="Arial"/>
                <w:color w:val="000000"/>
              </w:rPr>
              <w:t>Tỷ suất lợi nhuận trên doanh thu</w:t>
            </w:r>
          </w:p>
        </w:tc>
        <w:tc>
          <w:tcPr>
            <w:tcW w:w="1240" w:type="dxa"/>
            <w:shd w:val="clear" w:color="auto" w:fill="auto"/>
            <w:noWrap/>
            <w:vAlign w:val="bottom"/>
          </w:tcPr>
          <w:p w14:paraId="001496C2" w14:textId="47274FE7" w:rsidR="00A169E3" w:rsidRDefault="00A169E3" w:rsidP="00A169E3">
            <w:pPr>
              <w:spacing w:after="0" w:line="240" w:lineRule="auto"/>
              <w:jc w:val="right"/>
              <w:rPr>
                <w:rFonts w:ascii="Arial" w:hAnsi="Arial" w:cs="Arial"/>
                <w:color w:val="000000"/>
              </w:rPr>
            </w:pPr>
            <w:r>
              <w:rPr>
                <w:rFonts w:ascii="Arial" w:hAnsi="Arial" w:cs="Arial"/>
                <w:color w:val="000000"/>
              </w:rPr>
              <w:t>37.68%</w:t>
            </w:r>
          </w:p>
        </w:tc>
        <w:tc>
          <w:tcPr>
            <w:tcW w:w="1240" w:type="dxa"/>
            <w:shd w:val="clear" w:color="auto" w:fill="auto"/>
            <w:noWrap/>
            <w:vAlign w:val="bottom"/>
          </w:tcPr>
          <w:p w14:paraId="30E84D05" w14:textId="5D7B4C8A" w:rsidR="00A169E3" w:rsidRDefault="00A169E3" w:rsidP="00A169E3">
            <w:pPr>
              <w:spacing w:after="0" w:line="240" w:lineRule="auto"/>
              <w:jc w:val="right"/>
              <w:rPr>
                <w:rFonts w:ascii="Arial" w:hAnsi="Arial" w:cs="Arial"/>
                <w:color w:val="000000"/>
              </w:rPr>
            </w:pPr>
            <w:r>
              <w:rPr>
                <w:rFonts w:ascii="Arial" w:hAnsi="Arial" w:cs="Arial"/>
                <w:color w:val="000000"/>
              </w:rPr>
              <w:t>53.63%</w:t>
            </w:r>
          </w:p>
        </w:tc>
        <w:tc>
          <w:tcPr>
            <w:tcW w:w="1240" w:type="dxa"/>
            <w:shd w:val="clear" w:color="auto" w:fill="auto"/>
            <w:noWrap/>
            <w:vAlign w:val="bottom"/>
          </w:tcPr>
          <w:p w14:paraId="5ADF89AA" w14:textId="1576A98A" w:rsidR="00A169E3" w:rsidRDefault="00A169E3" w:rsidP="00A169E3">
            <w:pPr>
              <w:spacing w:after="0" w:line="240" w:lineRule="auto"/>
              <w:jc w:val="right"/>
              <w:rPr>
                <w:rFonts w:ascii="Arial" w:hAnsi="Arial" w:cs="Arial"/>
                <w:color w:val="000000"/>
              </w:rPr>
            </w:pPr>
            <w:r>
              <w:rPr>
                <w:rFonts w:ascii="Arial" w:hAnsi="Arial" w:cs="Arial"/>
                <w:color w:val="000000"/>
              </w:rPr>
              <w:t>23.30%</w:t>
            </w:r>
          </w:p>
        </w:tc>
      </w:tr>
    </w:tbl>
    <w:p w14:paraId="646372C8" w14:textId="77777777" w:rsidR="00E741B4" w:rsidRDefault="00E741B4" w:rsidP="00E741B4">
      <w:pPr>
        <w:pStyle w:val="ListParagraph"/>
        <w:spacing w:line="360" w:lineRule="auto"/>
        <w:ind w:left="1242"/>
        <w:rPr>
          <w:rFonts w:ascii="Times New Roman" w:hAnsi="Times New Roman" w:cs="Times New Roman"/>
          <w:sz w:val="26"/>
          <w:szCs w:val="26"/>
        </w:rPr>
      </w:pPr>
    </w:p>
    <w:p w14:paraId="51ADE0FE" w14:textId="77777777" w:rsidR="002B2C55" w:rsidRDefault="002B2C55" w:rsidP="002B2C55">
      <w:pPr>
        <w:pStyle w:val="ListParagraph"/>
        <w:spacing w:line="276" w:lineRule="auto"/>
        <w:ind w:left="450" w:firstLine="270"/>
        <w:rPr>
          <w:rFonts w:ascii="Times New Roman" w:hAnsi="Times New Roman" w:cs="Times New Roman"/>
          <w:sz w:val="26"/>
          <w:szCs w:val="26"/>
        </w:rPr>
      </w:pPr>
      <w:r w:rsidRPr="002B2C55">
        <w:rPr>
          <w:rFonts w:ascii="Times New Roman" w:hAnsi="Times New Roman" w:cs="Times New Roman"/>
          <w:sz w:val="26"/>
          <w:szCs w:val="26"/>
        </w:rPr>
        <w:t>Dựa trên các chỉ số chỉ tiêu tài chính cung cấp, dưới đây là một đánh giá và phân tích về khả năng sinh lời của Công ty cổ phần Đầu tư Phát triển Xây dựng - Tập Đoàn DIC - Group:</w:t>
      </w:r>
    </w:p>
    <w:p w14:paraId="11EFC524" w14:textId="77777777" w:rsidR="002B2C55" w:rsidRPr="002B2C55" w:rsidRDefault="002B2C55" w:rsidP="002B2C55">
      <w:pPr>
        <w:pStyle w:val="ListParagraph"/>
        <w:spacing w:line="276" w:lineRule="auto"/>
        <w:ind w:left="450" w:firstLine="270"/>
        <w:rPr>
          <w:rFonts w:ascii="Times New Roman" w:hAnsi="Times New Roman" w:cs="Times New Roman"/>
          <w:sz w:val="26"/>
          <w:szCs w:val="26"/>
        </w:rPr>
      </w:pPr>
    </w:p>
    <w:p w14:paraId="169D4000" w14:textId="77777777" w:rsidR="002B2C55" w:rsidRPr="002B2C55" w:rsidRDefault="002B2C55" w:rsidP="002B2C55">
      <w:pPr>
        <w:pStyle w:val="ListParagraph"/>
        <w:spacing w:line="276" w:lineRule="auto"/>
        <w:ind w:left="450" w:firstLine="270"/>
        <w:rPr>
          <w:rFonts w:ascii="Times New Roman" w:hAnsi="Times New Roman" w:cs="Times New Roman"/>
          <w:sz w:val="26"/>
          <w:szCs w:val="26"/>
        </w:rPr>
      </w:pPr>
    </w:p>
    <w:p w14:paraId="5DCF0ACB" w14:textId="21920D4E" w:rsidR="002B2C55" w:rsidRPr="000638C2" w:rsidRDefault="002B2C55" w:rsidP="000638C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T</w:t>
      </w:r>
      <w:r w:rsidRPr="002B2C55">
        <w:rPr>
          <w:rFonts w:ascii="Times New Roman" w:hAnsi="Times New Roman" w:cs="Times New Roman"/>
          <w:sz w:val="26"/>
          <w:szCs w:val="26"/>
        </w:rPr>
        <w:t>ỷ suất lợi nhuận trên vốn đầu tư</w:t>
      </w:r>
      <w:r>
        <w:rPr>
          <w:rFonts w:ascii="Times New Roman" w:hAnsi="Times New Roman" w:cs="Times New Roman"/>
          <w:sz w:val="26"/>
          <w:szCs w:val="26"/>
        </w:rPr>
        <w:t>:</w:t>
      </w:r>
      <w:r w:rsidRPr="002B2C55">
        <w:rPr>
          <w:rFonts w:ascii="Times New Roman" w:hAnsi="Times New Roman" w:cs="Times New Roman"/>
          <w:sz w:val="26"/>
          <w:szCs w:val="26"/>
        </w:rPr>
        <w:t xml:space="preserve">  Giảm mạnh từ 16.05% (2020) xuống 4.09% (2022), đề xuất mức giảm hiệu suất đáng kể trong việc sinh lời từ vốn đầu tư. Điều này có thể là kết quả của chi phí tăng, giảm hiệu suất hoạt động, hay thậm chí là sự giảm giá cả trong lĩnh vực kinh doanh.</w:t>
      </w:r>
      <w:r w:rsidR="00AA0478">
        <w:rPr>
          <w:rFonts w:ascii="Times New Roman" w:hAnsi="Times New Roman" w:cs="Times New Roman"/>
          <w:sz w:val="26"/>
          <w:szCs w:val="26"/>
        </w:rPr>
        <w:t xml:space="preserve"> Có thể đánh giá được </w:t>
      </w:r>
      <w:r w:rsidR="00AA0478" w:rsidRPr="002B2C55">
        <w:rPr>
          <w:rFonts w:ascii="Times New Roman" w:hAnsi="Times New Roman" w:cs="Times New Roman"/>
          <w:sz w:val="26"/>
          <w:szCs w:val="26"/>
        </w:rPr>
        <w:t>khả năng sinh lời từ vốn sở hữu không cao</w:t>
      </w:r>
      <w:r w:rsidR="00AA0478">
        <w:rPr>
          <w:rFonts w:ascii="Times New Roman" w:hAnsi="Times New Roman" w:cs="Times New Roman"/>
          <w:sz w:val="26"/>
          <w:szCs w:val="26"/>
        </w:rPr>
        <w:t xml:space="preserve"> trong năm 2022</w:t>
      </w:r>
      <w:r w:rsidR="00AA0478" w:rsidRPr="002B2C55">
        <w:rPr>
          <w:rFonts w:ascii="Times New Roman" w:hAnsi="Times New Roman" w:cs="Times New Roman"/>
          <w:sz w:val="26"/>
          <w:szCs w:val="26"/>
        </w:rPr>
        <w:t>. Cổ đông có thể mong đợi hiệu suất sinh lời tốt hơn từ vốn đầu tư của họ.</w:t>
      </w:r>
      <w:r w:rsidR="00AA0478">
        <w:rPr>
          <w:rFonts w:ascii="Times New Roman" w:hAnsi="Times New Roman" w:cs="Times New Roman"/>
          <w:sz w:val="26"/>
          <w:szCs w:val="26"/>
        </w:rPr>
        <w:t xml:space="preserve"> </w:t>
      </w:r>
    </w:p>
    <w:p w14:paraId="50CCEA1E" w14:textId="2D13428D" w:rsidR="002B2C55" w:rsidRPr="000638C2" w:rsidRDefault="002B2C55" w:rsidP="000638C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T</w:t>
      </w:r>
      <w:r w:rsidRPr="002B2C55">
        <w:rPr>
          <w:rFonts w:ascii="Times New Roman" w:hAnsi="Times New Roman" w:cs="Times New Roman"/>
          <w:sz w:val="26"/>
          <w:szCs w:val="26"/>
        </w:rPr>
        <w:t>ỷ suất lợi nhuận trên doanh thu</w:t>
      </w:r>
      <w:r>
        <w:rPr>
          <w:rFonts w:ascii="Times New Roman" w:hAnsi="Times New Roman" w:cs="Times New Roman"/>
          <w:sz w:val="26"/>
          <w:szCs w:val="26"/>
        </w:rPr>
        <w:t xml:space="preserve">: </w:t>
      </w:r>
      <w:r w:rsidRPr="002B2C55">
        <w:rPr>
          <w:rFonts w:ascii="Times New Roman" w:hAnsi="Times New Roman" w:cs="Times New Roman"/>
          <w:sz w:val="26"/>
          <w:szCs w:val="26"/>
        </w:rPr>
        <w:t>Giảm đột ngột từ 37.68% (2020) xuống 23.30% (2022). Điều này có thể do nhiều yếu tố như chi phí sản xuất tăng, giảm giá cả, hay sự biến động trong cơ cấu giá cả..</w:t>
      </w:r>
    </w:p>
    <w:p w14:paraId="36692B90" w14:textId="3B63984C" w:rsidR="002B2C55" w:rsidRPr="000638C2" w:rsidRDefault="002B2C55" w:rsidP="000638C2">
      <w:pPr>
        <w:pStyle w:val="ListParagraph"/>
        <w:numPr>
          <w:ilvl w:val="0"/>
          <w:numId w:val="4"/>
        </w:numPr>
        <w:spacing w:line="276" w:lineRule="auto"/>
        <w:rPr>
          <w:rFonts w:ascii="Times New Roman" w:hAnsi="Times New Roman" w:cs="Times New Roman"/>
          <w:sz w:val="26"/>
          <w:szCs w:val="26"/>
        </w:rPr>
      </w:pPr>
      <w:r w:rsidRPr="002B2C5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B2C55">
        <w:rPr>
          <w:rFonts w:ascii="Times New Roman" w:hAnsi="Times New Roman" w:cs="Times New Roman"/>
          <w:sz w:val="26"/>
          <w:szCs w:val="26"/>
        </w:rPr>
        <w:t>ROE giảm mạnh từ 15.07% năm 2020 xuống còn 2.46% năm 2022. Sự suy giảm này có thể chỉ ra rằng công ty đang gặp khó khăn trong việc sinh lời từ vốn chủ sở hữu của mình.</w:t>
      </w:r>
    </w:p>
    <w:p w14:paraId="7DEC996D" w14:textId="76D67CA3" w:rsidR="00AA0478" w:rsidRPr="002B2C55" w:rsidRDefault="00AA0478" w:rsidP="000638C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 xml:space="preserve">ROA của công ty ở </w:t>
      </w:r>
      <w:r w:rsidRPr="002B2C55">
        <w:rPr>
          <w:rFonts w:ascii="Times New Roman" w:hAnsi="Times New Roman" w:cs="Times New Roman"/>
          <w:sz w:val="26"/>
          <w:szCs w:val="26"/>
        </w:rPr>
        <w:t>mức này khá cao và cho biết công ty có khả năng tạo ra lợi nhuận từ tài sản tổng cộng một cách hiệu quả</w:t>
      </w:r>
      <w:r>
        <w:rPr>
          <w:rFonts w:ascii="Times New Roman" w:hAnsi="Times New Roman" w:cs="Times New Roman"/>
          <w:sz w:val="26"/>
          <w:szCs w:val="26"/>
        </w:rPr>
        <w:t>, tuy nhiên</w:t>
      </w:r>
      <w:r w:rsidR="002B2C55" w:rsidRPr="002B2C55">
        <w:rPr>
          <w:rFonts w:ascii="Times New Roman" w:hAnsi="Times New Roman" w:cs="Times New Roman"/>
          <w:sz w:val="26"/>
          <w:szCs w:val="26"/>
        </w:rPr>
        <w:t xml:space="preserve"> ROA</w:t>
      </w:r>
      <w:r>
        <w:rPr>
          <w:rFonts w:ascii="Times New Roman" w:hAnsi="Times New Roman" w:cs="Times New Roman"/>
          <w:sz w:val="26"/>
          <w:szCs w:val="26"/>
        </w:rPr>
        <w:t xml:space="preserve"> đã</w:t>
      </w:r>
      <w:r w:rsidR="002B2C55" w:rsidRPr="002B2C55">
        <w:rPr>
          <w:rFonts w:ascii="Times New Roman" w:hAnsi="Times New Roman" w:cs="Times New Roman"/>
          <w:sz w:val="26"/>
          <w:szCs w:val="26"/>
        </w:rPr>
        <w:t xml:space="preserve"> giảm đáng kể</w:t>
      </w:r>
      <w:r>
        <w:rPr>
          <w:rFonts w:ascii="Times New Roman" w:hAnsi="Times New Roman" w:cs="Times New Roman"/>
          <w:sz w:val="26"/>
          <w:szCs w:val="26"/>
        </w:rPr>
        <w:t xml:space="preserve"> qua các năm</w:t>
      </w:r>
      <w:r w:rsidR="002B2C55" w:rsidRPr="002B2C55">
        <w:rPr>
          <w:rFonts w:ascii="Times New Roman" w:hAnsi="Times New Roman" w:cs="Times New Roman"/>
          <w:sz w:val="26"/>
          <w:szCs w:val="26"/>
        </w:rPr>
        <w:t>,</w:t>
      </w:r>
      <w:r w:rsidRPr="00AA0478">
        <w:rPr>
          <w:rFonts w:ascii="Times New Roman" w:hAnsi="Times New Roman" w:cs="Times New Roman"/>
          <w:sz w:val="26"/>
          <w:szCs w:val="26"/>
        </w:rPr>
        <w:t xml:space="preserve"> </w:t>
      </w:r>
      <w:r w:rsidRPr="002B2C55">
        <w:rPr>
          <w:rFonts w:ascii="Times New Roman" w:hAnsi="Times New Roman" w:cs="Times New Roman"/>
          <w:sz w:val="26"/>
          <w:szCs w:val="26"/>
        </w:rPr>
        <w:t>giảm mạnh, từ 29.02% năm 2020 xuống 10.09% năm 2022</w:t>
      </w:r>
      <w:r>
        <w:rPr>
          <w:rFonts w:ascii="Times New Roman" w:hAnsi="Times New Roman" w:cs="Times New Roman"/>
          <w:sz w:val="26"/>
          <w:szCs w:val="26"/>
        </w:rPr>
        <w:t>,</w:t>
      </w:r>
      <w:r w:rsidR="002B2C55" w:rsidRPr="002B2C55">
        <w:rPr>
          <w:rFonts w:ascii="Times New Roman" w:hAnsi="Times New Roman" w:cs="Times New Roman"/>
          <w:sz w:val="26"/>
          <w:szCs w:val="26"/>
        </w:rPr>
        <w:t xml:space="preserve"> chỉ ra rằng công ty đang gặp khó khăn trong việc sinh lời từ tài sản tổng cộng của mình.</w:t>
      </w:r>
      <w:r w:rsidRPr="00AA0478">
        <w:rPr>
          <w:rFonts w:ascii="Times New Roman" w:hAnsi="Times New Roman" w:cs="Times New Roman"/>
          <w:sz w:val="26"/>
          <w:szCs w:val="26"/>
        </w:rPr>
        <w:t xml:space="preserve"> </w:t>
      </w:r>
      <w:r w:rsidRPr="002B2C55">
        <w:rPr>
          <w:rFonts w:ascii="Times New Roman" w:hAnsi="Times New Roman" w:cs="Times New Roman"/>
          <w:sz w:val="26"/>
          <w:szCs w:val="26"/>
        </w:rPr>
        <w:t>Điều này có thể là do chi phí sản xuất tăng, giảm giá cả hoặc sự giảm hiệu suất trong quá trình sản xuất.</w:t>
      </w:r>
    </w:p>
    <w:p w14:paraId="59741609" w14:textId="37F06AAE" w:rsidR="00AA0478" w:rsidRPr="002B2C55" w:rsidRDefault="00AA0478" w:rsidP="000638C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 xml:space="preserve">Chỉ số ROS: </w:t>
      </w:r>
      <w:r w:rsidRPr="002B2C55">
        <w:rPr>
          <w:rFonts w:ascii="Times New Roman" w:hAnsi="Times New Roman" w:cs="Times New Roman"/>
          <w:sz w:val="26"/>
          <w:szCs w:val="26"/>
        </w:rPr>
        <w:t>Lợi nhuận gộp đạt 33.34%, có vẻ là một tỷ lệ lợi nhuận gộp tốt, nhưng ROS là -22.86%, biểu thị rằng sau khi trừ đi chi phí hạ tầng, công ty gặp khó khăn trong việc duy trì lợi nhuận ròng.</w:t>
      </w:r>
      <w:r>
        <w:rPr>
          <w:rFonts w:ascii="Times New Roman" w:hAnsi="Times New Roman" w:cs="Times New Roman"/>
          <w:sz w:val="26"/>
          <w:szCs w:val="26"/>
        </w:rPr>
        <w:t xml:space="preserve"> </w:t>
      </w:r>
      <w:r w:rsidRPr="00AA0478">
        <w:rPr>
          <w:rFonts w:ascii="Times New Roman" w:hAnsi="Times New Roman" w:cs="Times New Roman"/>
          <w:sz w:val="26"/>
          <w:szCs w:val="26"/>
        </w:rPr>
        <w:t>Giảm từ 29.02% (2020) xuống 10.09% (2022). Điều này có thể là kết quả của sự giảm hiệu suất trong quá trình sản xuất hoặc chi phí tăng.</w:t>
      </w:r>
    </w:p>
    <w:p w14:paraId="53817AB7" w14:textId="7C1AD0D1" w:rsidR="002B2C55" w:rsidRPr="002B2C55" w:rsidRDefault="000638C2" w:rsidP="000638C2">
      <w:pPr>
        <w:pStyle w:val="ListParagraph"/>
        <w:numPr>
          <w:ilvl w:val="0"/>
          <w:numId w:val="4"/>
        </w:numPr>
        <w:spacing w:line="276" w:lineRule="auto"/>
        <w:rPr>
          <w:rFonts w:ascii="Times New Roman" w:hAnsi="Times New Roman" w:cs="Times New Roman"/>
          <w:sz w:val="26"/>
          <w:szCs w:val="26"/>
        </w:rPr>
      </w:pPr>
      <w:r w:rsidRPr="000638C2">
        <w:rPr>
          <w:rFonts w:ascii="Times New Roman" w:hAnsi="Times New Roman" w:cs="Times New Roman"/>
          <w:sz w:val="26"/>
          <w:szCs w:val="26"/>
        </w:rPr>
        <w:t>Tỉ lệ quay vòng tài sản cố định và vòng quay vốn: Tỉ lệ quay vòng tài sản lưu động và tỉ lệ quay vòng tổng tài sản là khá thấp, có thể chỉ ra sự chậm trễ trong quá trình quay vòng tài sản và vốn lưu động. Trong 3 năm thì c</w:t>
      </w:r>
      <w:r w:rsidR="002B2C55" w:rsidRPr="000638C2">
        <w:rPr>
          <w:rFonts w:ascii="Times New Roman" w:hAnsi="Times New Roman" w:cs="Times New Roman"/>
          <w:sz w:val="26"/>
          <w:szCs w:val="26"/>
        </w:rPr>
        <w:t xml:space="preserve">ả hai chỉ số này đều giảm, </w:t>
      </w:r>
      <w:r w:rsidRPr="000638C2">
        <w:rPr>
          <w:rFonts w:ascii="Times New Roman" w:hAnsi="Times New Roman" w:cs="Times New Roman"/>
          <w:sz w:val="26"/>
          <w:szCs w:val="26"/>
        </w:rPr>
        <w:t xml:space="preserve">càng </w:t>
      </w:r>
      <w:r w:rsidR="002B2C55" w:rsidRPr="000638C2">
        <w:rPr>
          <w:rFonts w:ascii="Times New Roman" w:hAnsi="Times New Roman" w:cs="Times New Roman"/>
          <w:sz w:val="26"/>
          <w:szCs w:val="26"/>
        </w:rPr>
        <w:t>cho thấy sự chậm trễ trong việc quản lý và sử dụng tài sản cố định, cũng như sự giảm hiệu suất trong việc quản lý vốn.Vòng quay tổng tài sản giảm, chỉ ra sự giảm hiệu suất trong việc chuyển đổi tài sản thành doanh thu.</w:t>
      </w:r>
      <w:r w:rsidRPr="000638C2">
        <w:rPr>
          <w:rFonts w:ascii="Times New Roman" w:hAnsi="Times New Roman" w:cs="Times New Roman"/>
          <w:sz w:val="26"/>
          <w:szCs w:val="26"/>
        </w:rPr>
        <w:t xml:space="preserve"> Trong khi đó, l</w:t>
      </w:r>
      <w:r w:rsidR="002B2C55" w:rsidRPr="000638C2">
        <w:rPr>
          <w:rFonts w:ascii="Times New Roman" w:hAnsi="Times New Roman" w:cs="Times New Roman"/>
          <w:sz w:val="26"/>
          <w:szCs w:val="26"/>
        </w:rPr>
        <w:t>ợi nhuận gộp tăng, điều này có thể là một dấu hiệu tích cực</w:t>
      </w:r>
      <w:r w:rsidRPr="000638C2">
        <w:rPr>
          <w:rFonts w:ascii="Times New Roman" w:hAnsi="Times New Roman" w:cs="Times New Roman"/>
          <w:sz w:val="26"/>
          <w:szCs w:val="26"/>
        </w:rPr>
        <w:t xml:space="preserve"> </w:t>
      </w:r>
      <w:r>
        <w:rPr>
          <w:rFonts w:ascii="Times New Roman" w:hAnsi="Times New Roman" w:cs="Times New Roman"/>
          <w:sz w:val="26"/>
          <w:szCs w:val="26"/>
        </w:rPr>
        <w:t xml:space="preserve">về khả năng sử dụng vốn. </w:t>
      </w:r>
    </w:p>
    <w:p w14:paraId="3DF31999" w14:textId="62DC8D0A" w:rsidR="00592A2A" w:rsidRDefault="000638C2" w:rsidP="00592A2A">
      <w:pPr>
        <w:spacing w:line="276" w:lineRule="auto"/>
        <w:ind w:left="720"/>
        <w:rPr>
          <w:rFonts w:ascii="Times New Roman" w:hAnsi="Times New Roman" w:cs="Times New Roman"/>
          <w:sz w:val="26"/>
          <w:szCs w:val="26"/>
        </w:rPr>
      </w:pPr>
      <w:r w:rsidRPr="000638C2">
        <w:rPr>
          <w:rFonts w:ascii="Times New Roman" w:hAnsi="Times New Roman" w:cs="Times New Roman"/>
          <w:sz w:val="26"/>
          <w:szCs w:val="26"/>
        </w:rPr>
        <w:t>Tổng quan lại</w:t>
      </w:r>
      <w:r w:rsidR="002B2C55" w:rsidRPr="000638C2">
        <w:rPr>
          <w:rFonts w:ascii="Times New Roman" w:hAnsi="Times New Roman" w:cs="Times New Roman"/>
          <w:sz w:val="26"/>
          <w:szCs w:val="26"/>
        </w:rPr>
        <w:t xml:space="preserve">, các chỉ số tài chính của Tập Đoàn DIC - Group đều cho thấy sự giảm sút trong hiệu suất tài chính từ năm 2020 đến năm 2022. </w:t>
      </w:r>
      <w:r w:rsidR="00592A2A" w:rsidRPr="00592A2A">
        <w:rPr>
          <w:rFonts w:ascii="Times New Roman" w:hAnsi="Times New Roman" w:cs="Times New Roman"/>
          <w:sz w:val="26"/>
          <w:szCs w:val="26"/>
        </w:rPr>
        <w:t>Công ty có khả năng sinh lời từ tài sản tổng cộng (ROA cao), nhưng khả năng sinh lời từ vốn sở hữu (ROE) còn hạn chế.</w:t>
      </w:r>
      <w:r w:rsidR="00592A2A">
        <w:rPr>
          <w:rFonts w:ascii="Times New Roman" w:hAnsi="Times New Roman" w:cs="Times New Roman"/>
          <w:sz w:val="26"/>
          <w:szCs w:val="26"/>
        </w:rPr>
        <w:t xml:space="preserve"> </w:t>
      </w:r>
      <w:r w:rsidR="00592A2A" w:rsidRPr="002B2C55">
        <w:rPr>
          <w:rFonts w:ascii="Times New Roman" w:hAnsi="Times New Roman" w:cs="Times New Roman"/>
          <w:sz w:val="26"/>
          <w:szCs w:val="26"/>
        </w:rPr>
        <w:t>Hiệu suất lợi nhuận ròng sau khi trừ đi chi phí hạ tầng (ROS) đang gặp khó khăn, và cần được quản lý để đảm bảo sự bền vững của doanh nghiệp</w:t>
      </w:r>
      <w:r w:rsidR="00592A2A">
        <w:rPr>
          <w:rFonts w:ascii="Times New Roman" w:hAnsi="Times New Roman" w:cs="Times New Roman"/>
          <w:sz w:val="26"/>
          <w:szCs w:val="26"/>
        </w:rPr>
        <w:t xml:space="preserve">. </w:t>
      </w:r>
      <w:r w:rsidR="002B2C55" w:rsidRPr="000638C2">
        <w:rPr>
          <w:rFonts w:ascii="Times New Roman" w:hAnsi="Times New Roman" w:cs="Times New Roman"/>
          <w:sz w:val="26"/>
          <w:szCs w:val="26"/>
        </w:rPr>
        <w:t>Điều này có thể là dấu hiệu của những thách thức kinh doanh hoặc chiến lược kinh doanh không hiệu quả</w:t>
      </w:r>
      <w:r w:rsidRPr="000638C2">
        <w:rPr>
          <w:rFonts w:ascii="Times New Roman" w:hAnsi="Times New Roman" w:cs="Times New Roman"/>
          <w:sz w:val="26"/>
          <w:szCs w:val="26"/>
        </w:rPr>
        <w:t>, cũng như các tác động từ đại dịch Covid – 19 và suy thoái kinh tế trong các năm trở lại đây</w:t>
      </w:r>
      <w:r w:rsidR="002B2C55" w:rsidRPr="000638C2">
        <w:rPr>
          <w:rFonts w:ascii="Times New Roman" w:hAnsi="Times New Roman" w:cs="Times New Roman"/>
          <w:sz w:val="26"/>
          <w:szCs w:val="26"/>
        </w:rPr>
        <w:t>. Để đảm bảo sự bền vững và phục hồi hiệu suất, công ty có thể cần xem xét lại chiến lược kinh doanh, quản lý chi phí và tối ưu hóa cơ cấu tài chính.</w:t>
      </w:r>
      <w:r w:rsidR="00592A2A" w:rsidRPr="00592A2A">
        <w:rPr>
          <w:rFonts w:ascii="Times New Roman" w:hAnsi="Times New Roman" w:cs="Times New Roman"/>
          <w:sz w:val="26"/>
          <w:szCs w:val="26"/>
        </w:rPr>
        <w:t xml:space="preserve"> </w:t>
      </w:r>
    </w:p>
    <w:p w14:paraId="421B922C" w14:textId="77777777" w:rsidR="00592A2A" w:rsidRDefault="00592A2A">
      <w:pPr>
        <w:rPr>
          <w:rFonts w:ascii="Times New Roman" w:hAnsi="Times New Roman" w:cs="Times New Roman"/>
          <w:sz w:val="26"/>
          <w:szCs w:val="26"/>
        </w:rPr>
      </w:pPr>
      <w:r>
        <w:rPr>
          <w:rFonts w:ascii="Times New Roman" w:hAnsi="Times New Roman" w:cs="Times New Roman"/>
          <w:sz w:val="26"/>
          <w:szCs w:val="26"/>
        </w:rPr>
        <w:br w:type="page"/>
      </w:r>
    </w:p>
    <w:p w14:paraId="4286BDE1" w14:textId="714ACBD8" w:rsidR="003C238D" w:rsidRDefault="003C238D" w:rsidP="003C238D">
      <w:pPr>
        <w:pStyle w:val="ListParagraph"/>
        <w:numPr>
          <w:ilvl w:val="1"/>
          <w:numId w:val="3"/>
        </w:numPr>
        <w:spacing w:line="360" w:lineRule="auto"/>
        <w:rPr>
          <w:rFonts w:ascii="Times New Roman" w:hAnsi="Times New Roman" w:cs="Times New Roman"/>
          <w:sz w:val="26"/>
          <w:szCs w:val="26"/>
        </w:rPr>
      </w:pPr>
      <w:r w:rsidRPr="003C238D">
        <w:rPr>
          <w:rFonts w:ascii="Times New Roman" w:hAnsi="Times New Roman" w:cs="Times New Roman"/>
          <w:sz w:val="26"/>
          <w:szCs w:val="26"/>
        </w:rPr>
        <w:lastRenderedPageBreak/>
        <w:t>Tính thanh khoản</w:t>
      </w:r>
    </w:p>
    <w:p w14:paraId="0F497CFA" w14:textId="332E3BCD" w:rsidR="00217F80" w:rsidRPr="00217F80" w:rsidRDefault="00217F80" w:rsidP="00217F80">
      <w:pPr>
        <w:pStyle w:val="ListParagraph"/>
        <w:spacing w:line="360" w:lineRule="auto"/>
        <w:ind w:left="810"/>
        <w:jc w:val="center"/>
        <w:rPr>
          <w:rFonts w:ascii="Times New Roman" w:hAnsi="Times New Roman" w:cs="Times New Roman"/>
          <w:b/>
          <w:bCs/>
          <w:sz w:val="26"/>
          <w:szCs w:val="26"/>
        </w:rPr>
      </w:pPr>
      <w:r w:rsidRPr="00217F80">
        <w:rPr>
          <w:rFonts w:ascii="Times New Roman" w:hAnsi="Times New Roman" w:cs="Times New Roman"/>
          <w:b/>
          <w:bCs/>
          <w:sz w:val="26"/>
          <w:szCs w:val="26"/>
        </w:rPr>
        <w:t>Bảng 1.</w:t>
      </w:r>
      <w:r>
        <w:rPr>
          <w:rFonts w:ascii="Times New Roman" w:hAnsi="Times New Roman" w:cs="Times New Roman"/>
          <w:b/>
          <w:bCs/>
          <w:sz w:val="26"/>
          <w:szCs w:val="26"/>
        </w:rPr>
        <w:t>4</w:t>
      </w:r>
      <w:r w:rsidRPr="00217F80">
        <w:rPr>
          <w:rFonts w:ascii="Times New Roman" w:hAnsi="Times New Roman" w:cs="Times New Roman"/>
          <w:b/>
          <w:bCs/>
          <w:sz w:val="26"/>
          <w:szCs w:val="26"/>
        </w:rPr>
        <w:t xml:space="preserve">. </w:t>
      </w:r>
      <w:r>
        <w:rPr>
          <w:rFonts w:ascii="Times New Roman" w:hAnsi="Times New Roman" w:cs="Times New Roman"/>
          <w:b/>
          <w:bCs/>
          <w:sz w:val="26"/>
          <w:szCs w:val="26"/>
        </w:rPr>
        <w:t>Các chỉ số tài chính về tính thanh khoản của công ty từ 2020 - 2022</w:t>
      </w:r>
    </w:p>
    <w:tbl>
      <w:tblPr>
        <w:tblW w:w="7348" w:type="dxa"/>
        <w:tblInd w:w="3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256"/>
        <w:gridCol w:w="1256"/>
        <w:gridCol w:w="1256"/>
      </w:tblGrid>
      <w:tr w:rsidR="003C238D" w:rsidRPr="003C238D" w14:paraId="4AEB84CF" w14:textId="77777777" w:rsidTr="003C238D">
        <w:trPr>
          <w:trHeight w:val="300"/>
        </w:trPr>
        <w:tc>
          <w:tcPr>
            <w:tcW w:w="3580" w:type="dxa"/>
            <w:shd w:val="clear" w:color="auto" w:fill="auto"/>
            <w:noWrap/>
            <w:vAlign w:val="bottom"/>
          </w:tcPr>
          <w:p w14:paraId="056C51E6" w14:textId="3D3D9ABF" w:rsidR="003C238D" w:rsidRPr="003C238D" w:rsidRDefault="003C238D" w:rsidP="003C238D">
            <w:pPr>
              <w:spacing w:after="0" w:line="240" w:lineRule="auto"/>
              <w:rPr>
                <w:rFonts w:ascii="Arial" w:eastAsia="Times New Roman" w:hAnsi="Arial" w:cs="Arial"/>
                <w:b/>
                <w:bCs/>
                <w:color w:val="000000"/>
                <w:kern w:val="0"/>
                <w:lang w:bidi="th-TH"/>
                <w14:ligatures w14:val="none"/>
              </w:rPr>
            </w:pPr>
            <w:r w:rsidRPr="003C238D">
              <w:rPr>
                <w:rFonts w:ascii="Arial" w:eastAsia="Times New Roman" w:hAnsi="Arial" w:cs="Arial"/>
                <w:b/>
                <w:bCs/>
                <w:color w:val="000000"/>
                <w:kern w:val="0"/>
                <w:lang w:bidi="th-TH"/>
                <w14:ligatures w14:val="none"/>
              </w:rPr>
              <w:t xml:space="preserve">Chỉ số </w:t>
            </w:r>
          </w:p>
        </w:tc>
        <w:tc>
          <w:tcPr>
            <w:tcW w:w="1256" w:type="dxa"/>
            <w:shd w:val="clear" w:color="auto" w:fill="auto"/>
            <w:noWrap/>
            <w:vAlign w:val="bottom"/>
          </w:tcPr>
          <w:p w14:paraId="278EA43F" w14:textId="50EFBD5C"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sidRPr="003C238D">
              <w:rPr>
                <w:rFonts w:ascii="Arial" w:eastAsia="Times New Roman" w:hAnsi="Arial" w:cs="Arial"/>
                <w:b/>
                <w:bCs/>
                <w:color w:val="000000"/>
                <w:kern w:val="0"/>
                <w:lang w:bidi="th-TH"/>
                <w14:ligatures w14:val="none"/>
              </w:rPr>
              <w:t>2020</w:t>
            </w:r>
          </w:p>
        </w:tc>
        <w:tc>
          <w:tcPr>
            <w:tcW w:w="1256" w:type="dxa"/>
            <w:shd w:val="clear" w:color="auto" w:fill="auto"/>
            <w:noWrap/>
            <w:vAlign w:val="bottom"/>
          </w:tcPr>
          <w:p w14:paraId="263FC780" w14:textId="025777BA"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sidRPr="003C238D">
              <w:rPr>
                <w:rFonts w:ascii="Arial" w:eastAsia="Times New Roman" w:hAnsi="Arial" w:cs="Arial"/>
                <w:b/>
                <w:bCs/>
                <w:color w:val="000000"/>
                <w:kern w:val="0"/>
                <w:lang w:bidi="th-TH"/>
                <w14:ligatures w14:val="none"/>
              </w:rPr>
              <w:t>2021</w:t>
            </w:r>
          </w:p>
        </w:tc>
        <w:tc>
          <w:tcPr>
            <w:tcW w:w="1256" w:type="dxa"/>
            <w:shd w:val="clear" w:color="auto" w:fill="auto"/>
            <w:noWrap/>
            <w:vAlign w:val="bottom"/>
          </w:tcPr>
          <w:p w14:paraId="77D53F55" w14:textId="7BBBD4BA"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sidRPr="003C238D">
              <w:rPr>
                <w:rFonts w:ascii="Arial" w:eastAsia="Times New Roman" w:hAnsi="Arial" w:cs="Arial"/>
                <w:b/>
                <w:bCs/>
                <w:color w:val="000000"/>
                <w:kern w:val="0"/>
                <w:lang w:bidi="th-TH"/>
                <w14:ligatures w14:val="none"/>
              </w:rPr>
              <w:t>2022</w:t>
            </w:r>
          </w:p>
        </w:tc>
      </w:tr>
      <w:tr w:rsidR="003C238D" w:rsidRPr="003C238D" w14:paraId="2CFED5C1" w14:textId="77777777" w:rsidTr="003C238D">
        <w:trPr>
          <w:trHeight w:val="300"/>
        </w:trPr>
        <w:tc>
          <w:tcPr>
            <w:tcW w:w="3580" w:type="dxa"/>
            <w:shd w:val="clear" w:color="auto" w:fill="auto"/>
            <w:noWrap/>
            <w:vAlign w:val="bottom"/>
            <w:hideMark/>
          </w:tcPr>
          <w:p w14:paraId="033E2D7D" w14:textId="77777777" w:rsidR="003C238D" w:rsidRPr="003C238D" w:rsidRDefault="003C238D" w:rsidP="003C238D">
            <w:pPr>
              <w:spacing w:after="0" w:line="240" w:lineRule="auto"/>
              <w:rPr>
                <w:rFonts w:ascii="Arial" w:eastAsia="Times New Roman" w:hAnsi="Arial" w:cs="Arial"/>
                <w:color w:val="000000"/>
                <w:kern w:val="0"/>
                <w:lang w:bidi="th-TH"/>
                <w14:ligatures w14:val="none"/>
              </w:rPr>
            </w:pPr>
            <w:r w:rsidRPr="003C238D">
              <w:rPr>
                <w:rFonts w:ascii="Arial" w:eastAsia="Times New Roman" w:hAnsi="Arial" w:cs="Arial"/>
                <w:color w:val="000000"/>
                <w:kern w:val="0"/>
                <w:lang w:bidi="th-TH"/>
                <w14:ligatures w14:val="none"/>
              </w:rPr>
              <w:t>Khả năng thanh toán ngắn hạn</w:t>
            </w:r>
          </w:p>
        </w:tc>
        <w:tc>
          <w:tcPr>
            <w:tcW w:w="1256" w:type="dxa"/>
            <w:shd w:val="clear" w:color="auto" w:fill="auto"/>
            <w:noWrap/>
            <w:vAlign w:val="bottom"/>
          </w:tcPr>
          <w:p w14:paraId="0363CD36" w14:textId="75B1D866"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 xml:space="preserve">         1.22 </w:t>
            </w:r>
          </w:p>
        </w:tc>
        <w:tc>
          <w:tcPr>
            <w:tcW w:w="1256" w:type="dxa"/>
            <w:shd w:val="clear" w:color="auto" w:fill="auto"/>
            <w:noWrap/>
            <w:vAlign w:val="bottom"/>
          </w:tcPr>
          <w:p w14:paraId="26C437F5" w14:textId="3AA16EFE"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 xml:space="preserve">         2.40 </w:t>
            </w:r>
          </w:p>
        </w:tc>
        <w:tc>
          <w:tcPr>
            <w:tcW w:w="1256" w:type="dxa"/>
            <w:shd w:val="clear" w:color="auto" w:fill="auto"/>
            <w:noWrap/>
            <w:vAlign w:val="bottom"/>
          </w:tcPr>
          <w:p w14:paraId="50A38A56" w14:textId="5E2BE548"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 xml:space="preserve">          2.76 </w:t>
            </w:r>
          </w:p>
        </w:tc>
      </w:tr>
      <w:tr w:rsidR="003C238D" w:rsidRPr="003C238D" w14:paraId="7B2726B3" w14:textId="77777777" w:rsidTr="003C238D">
        <w:trPr>
          <w:trHeight w:val="315"/>
        </w:trPr>
        <w:tc>
          <w:tcPr>
            <w:tcW w:w="3580" w:type="dxa"/>
            <w:shd w:val="clear" w:color="auto" w:fill="auto"/>
            <w:noWrap/>
            <w:vAlign w:val="bottom"/>
            <w:hideMark/>
          </w:tcPr>
          <w:p w14:paraId="107C8F86" w14:textId="77777777" w:rsidR="003C238D" w:rsidRPr="003C238D" w:rsidRDefault="003C238D" w:rsidP="003C238D">
            <w:pPr>
              <w:spacing w:after="0" w:line="240" w:lineRule="auto"/>
              <w:rPr>
                <w:rFonts w:ascii="Arial" w:eastAsia="Times New Roman" w:hAnsi="Arial" w:cs="Arial"/>
                <w:color w:val="000000"/>
                <w:kern w:val="0"/>
                <w:lang w:bidi="th-TH"/>
                <w14:ligatures w14:val="none"/>
              </w:rPr>
            </w:pPr>
            <w:r w:rsidRPr="003C238D">
              <w:rPr>
                <w:rFonts w:ascii="Arial" w:eastAsia="Times New Roman" w:hAnsi="Arial" w:cs="Arial"/>
                <w:color w:val="000000"/>
                <w:kern w:val="0"/>
                <w:lang w:bidi="th-TH"/>
                <w14:ligatures w14:val="none"/>
              </w:rPr>
              <w:t>Khả năng thanh toán nhanh</w:t>
            </w:r>
          </w:p>
        </w:tc>
        <w:tc>
          <w:tcPr>
            <w:tcW w:w="1256" w:type="dxa"/>
            <w:shd w:val="clear" w:color="auto" w:fill="auto"/>
            <w:noWrap/>
            <w:vAlign w:val="bottom"/>
            <w:hideMark/>
          </w:tcPr>
          <w:p w14:paraId="159ABC5B" w14:textId="00572074"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 xml:space="preserve">          0.49 </w:t>
            </w:r>
          </w:p>
        </w:tc>
        <w:tc>
          <w:tcPr>
            <w:tcW w:w="1256" w:type="dxa"/>
            <w:shd w:val="clear" w:color="auto" w:fill="auto"/>
            <w:noWrap/>
            <w:vAlign w:val="bottom"/>
            <w:hideMark/>
          </w:tcPr>
          <w:p w14:paraId="6C38BD22" w14:textId="03796E28"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 xml:space="preserve">          1.58 </w:t>
            </w:r>
          </w:p>
        </w:tc>
        <w:tc>
          <w:tcPr>
            <w:tcW w:w="1256" w:type="dxa"/>
            <w:shd w:val="clear" w:color="auto" w:fill="auto"/>
            <w:noWrap/>
            <w:vAlign w:val="bottom"/>
            <w:hideMark/>
          </w:tcPr>
          <w:p w14:paraId="57BCA588" w14:textId="6483A71B" w:rsidR="003C238D" w:rsidRPr="003C238D" w:rsidRDefault="003C238D" w:rsidP="003C238D">
            <w:pPr>
              <w:spacing w:after="0" w:line="240" w:lineRule="auto"/>
              <w:jc w:val="right"/>
              <w:rPr>
                <w:rFonts w:ascii="Arial" w:eastAsia="Times New Roman" w:hAnsi="Arial" w:cs="Arial"/>
                <w:b/>
                <w:bCs/>
                <w:color w:val="000000"/>
                <w:kern w:val="0"/>
                <w:lang w:bidi="th-TH"/>
                <w14:ligatures w14:val="none"/>
              </w:rPr>
            </w:pPr>
            <w:r>
              <w:rPr>
                <w:rFonts w:ascii="Arial" w:hAnsi="Arial" w:cs="Arial"/>
                <w:color w:val="000000"/>
              </w:rPr>
              <w:t xml:space="preserve">          1.26 </w:t>
            </w:r>
          </w:p>
        </w:tc>
      </w:tr>
    </w:tbl>
    <w:p w14:paraId="406D6AEE" w14:textId="77777777" w:rsidR="003C238D" w:rsidRPr="003C238D" w:rsidRDefault="003C238D" w:rsidP="003C238D">
      <w:pPr>
        <w:spacing w:line="360" w:lineRule="auto"/>
        <w:rPr>
          <w:rFonts w:ascii="Times New Roman" w:hAnsi="Times New Roman" w:cs="Times New Roman"/>
          <w:sz w:val="26"/>
          <w:szCs w:val="26"/>
        </w:rPr>
      </w:pPr>
    </w:p>
    <w:p w14:paraId="132F64D4" w14:textId="77777777" w:rsidR="003632A2" w:rsidRDefault="003632A2" w:rsidP="003632A2">
      <w:pPr>
        <w:pStyle w:val="ListParagraph"/>
        <w:spacing w:line="276" w:lineRule="auto"/>
        <w:ind w:left="1080"/>
        <w:rPr>
          <w:rFonts w:ascii="Times New Roman" w:hAnsi="Times New Roman" w:cs="Times New Roman"/>
          <w:sz w:val="26"/>
          <w:szCs w:val="26"/>
        </w:rPr>
      </w:pPr>
    </w:p>
    <w:p w14:paraId="0DF1CFD3" w14:textId="39F17CDC" w:rsidR="003C238D" w:rsidRDefault="003632A2" w:rsidP="003C238D">
      <w:pPr>
        <w:pStyle w:val="ListParagraph"/>
        <w:numPr>
          <w:ilvl w:val="0"/>
          <w:numId w:val="4"/>
        </w:numPr>
        <w:spacing w:line="276" w:lineRule="auto"/>
        <w:rPr>
          <w:rFonts w:ascii="Times New Roman" w:hAnsi="Times New Roman" w:cs="Times New Roman"/>
          <w:sz w:val="26"/>
          <w:szCs w:val="26"/>
        </w:rPr>
      </w:pPr>
      <w:r w:rsidRPr="003C238D">
        <w:rPr>
          <w:rFonts w:ascii="Times New Roman" w:hAnsi="Times New Roman" w:cs="Times New Roman"/>
          <w:sz w:val="26"/>
          <w:szCs w:val="26"/>
        </w:rPr>
        <w:t>Khả Năng Thanh Toán Ngắn Hạn</w:t>
      </w:r>
      <w:r>
        <w:rPr>
          <w:rFonts w:ascii="Times New Roman" w:hAnsi="Times New Roman" w:cs="Times New Roman"/>
          <w:sz w:val="26"/>
          <w:szCs w:val="26"/>
        </w:rPr>
        <w:t xml:space="preserve"> </w:t>
      </w:r>
      <w:r w:rsidRPr="003632A2">
        <w:rPr>
          <w:rFonts w:ascii="Times New Roman" w:hAnsi="Times New Roman" w:cs="Times New Roman"/>
          <w:sz w:val="26"/>
          <w:szCs w:val="26"/>
        </w:rPr>
        <w:t>tăng từ 2020 đến 2022 (tăng từ 1.22 lên 2.76) đều là dấu hiệu tích cực, cho thấy khả năng thanh toán ngắn hạn của công ty đã cải thiện đáng</w:t>
      </w:r>
      <w:r w:rsidRPr="003632A2">
        <w:t xml:space="preserve"> </w:t>
      </w:r>
      <w:r w:rsidRPr="003632A2">
        <w:rPr>
          <w:rFonts w:ascii="Times New Roman" w:hAnsi="Times New Roman" w:cs="Times New Roman"/>
          <w:sz w:val="26"/>
          <w:szCs w:val="26"/>
        </w:rPr>
        <w:t>kể.</w:t>
      </w:r>
      <w:r>
        <w:rPr>
          <w:rFonts w:ascii="Times New Roman" w:hAnsi="Times New Roman" w:cs="Times New Roman"/>
          <w:sz w:val="26"/>
          <w:szCs w:val="26"/>
        </w:rPr>
        <w:t xml:space="preserve"> Ở</w:t>
      </w:r>
      <w:r w:rsidR="003C238D" w:rsidRPr="003C238D">
        <w:rPr>
          <w:rFonts w:ascii="Times New Roman" w:hAnsi="Times New Roman" w:cs="Times New Roman"/>
          <w:sz w:val="26"/>
          <w:szCs w:val="26"/>
        </w:rPr>
        <w:t xml:space="preserve"> mức 2.76</w:t>
      </w:r>
      <w:r>
        <w:rPr>
          <w:rFonts w:ascii="Times New Roman" w:hAnsi="Times New Roman" w:cs="Times New Roman"/>
          <w:sz w:val="26"/>
          <w:szCs w:val="26"/>
        </w:rPr>
        <w:t xml:space="preserve"> trong năm 2022 </w:t>
      </w:r>
      <w:r w:rsidR="003C238D" w:rsidRPr="003C238D">
        <w:rPr>
          <w:rFonts w:ascii="Times New Roman" w:hAnsi="Times New Roman" w:cs="Times New Roman"/>
          <w:sz w:val="26"/>
          <w:szCs w:val="26"/>
        </w:rPr>
        <w:t>, cho thấy công ty có khả năng thanh toán nhanh chóng các khoản nợ ngắn hạn bằng tài sản ngắn hạn của mình. Mức này thường được coi là tích cực, vì nó cho thấy công ty có đủ tài sản ngắn hạn để đảm bảo thanh toán các khoản nợ trong ngắn hạn. Tuy nhiên, cũng cần phải theo dõi và đối chiếu với ngành công nghiệp và các chuẩn mực ngành để đảm bảo rằng mức độ thanh toán là hợp lý và không làm tăng chi phí cơ hội.</w:t>
      </w:r>
    </w:p>
    <w:p w14:paraId="61C7CF68" w14:textId="53BA6E44" w:rsidR="003632A2" w:rsidRDefault="003C238D" w:rsidP="003C238D">
      <w:pPr>
        <w:pStyle w:val="ListParagraph"/>
        <w:numPr>
          <w:ilvl w:val="0"/>
          <w:numId w:val="4"/>
        </w:numPr>
        <w:spacing w:line="276" w:lineRule="auto"/>
        <w:rPr>
          <w:rFonts w:ascii="Times New Roman" w:hAnsi="Times New Roman" w:cs="Times New Roman"/>
          <w:sz w:val="26"/>
          <w:szCs w:val="26"/>
        </w:rPr>
      </w:pPr>
      <w:r w:rsidRPr="003C238D">
        <w:rPr>
          <w:rFonts w:ascii="Times New Roman" w:hAnsi="Times New Roman" w:cs="Times New Roman"/>
          <w:sz w:val="26"/>
          <w:szCs w:val="26"/>
        </w:rPr>
        <w:t>Khả Năng Thanh Toán Nhanh</w:t>
      </w:r>
      <w:r w:rsidR="003632A2">
        <w:rPr>
          <w:rFonts w:ascii="Times New Roman" w:hAnsi="Times New Roman" w:cs="Times New Roman"/>
          <w:sz w:val="26"/>
          <w:szCs w:val="26"/>
        </w:rPr>
        <w:t xml:space="preserve"> có </w:t>
      </w:r>
      <w:r w:rsidR="003632A2" w:rsidRPr="003632A2">
        <w:rPr>
          <w:rFonts w:ascii="Times New Roman" w:hAnsi="Times New Roman" w:cs="Times New Roman"/>
          <w:sz w:val="26"/>
          <w:szCs w:val="26"/>
        </w:rPr>
        <w:t>sự tăng</w:t>
      </w:r>
      <w:r w:rsidR="003632A2">
        <w:rPr>
          <w:rFonts w:ascii="Times New Roman" w:hAnsi="Times New Roman" w:cs="Times New Roman"/>
          <w:sz w:val="26"/>
          <w:szCs w:val="26"/>
        </w:rPr>
        <w:t xml:space="preserve"> trưởng</w:t>
      </w:r>
      <w:r w:rsidR="003632A2" w:rsidRPr="003632A2">
        <w:rPr>
          <w:rFonts w:ascii="Times New Roman" w:hAnsi="Times New Roman" w:cs="Times New Roman"/>
          <w:sz w:val="26"/>
          <w:szCs w:val="26"/>
        </w:rPr>
        <w:t xml:space="preserve"> từ 2020 đến 2021 (tăng từ 0.49 lên 1.58), nhưng sau đó giảm xuống 1.26 vào năm 2022. Mặc dù vẫn là một mức thanh toán khả quan, nhưng cần lưu ý sự giảm nhẹ này và đánh giá tác động của nó đối với khả năng thanh toán nhanh của công ty</w:t>
      </w:r>
      <w:r w:rsidR="003632A2">
        <w:rPr>
          <w:rFonts w:ascii="Times New Roman" w:hAnsi="Times New Roman" w:cs="Times New Roman"/>
          <w:sz w:val="26"/>
          <w:szCs w:val="26"/>
        </w:rPr>
        <w:t>.</w:t>
      </w:r>
      <w:r w:rsidR="003632A2" w:rsidRPr="003632A2">
        <w:rPr>
          <w:rFonts w:ascii="Times New Roman" w:hAnsi="Times New Roman" w:cs="Times New Roman"/>
          <w:sz w:val="26"/>
          <w:szCs w:val="26"/>
        </w:rPr>
        <w:t xml:space="preserve"> </w:t>
      </w:r>
      <w:r w:rsidR="003632A2">
        <w:rPr>
          <w:rFonts w:ascii="Times New Roman" w:hAnsi="Times New Roman" w:cs="Times New Roman"/>
          <w:sz w:val="26"/>
          <w:szCs w:val="26"/>
        </w:rPr>
        <w:t>Ở mức 1.26 trong năm 2022</w:t>
      </w:r>
      <w:r w:rsidRPr="003C238D">
        <w:rPr>
          <w:rFonts w:ascii="Times New Roman" w:hAnsi="Times New Roman" w:cs="Times New Roman"/>
          <w:sz w:val="26"/>
          <w:szCs w:val="26"/>
        </w:rPr>
        <w:t>, cho thấy công ty có khả năng thanh toán ngay lập tức một phần của các khoản nợ ngắn hạn bằng tài sản ngắn hạn mà không tính đến tồn kho. Mức chỉ số này thấp hơn chỉ số thanh toán ngắn hạn</w:t>
      </w:r>
      <w:r w:rsidR="003632A2">
        <w:rPr>
          <w:rFonts w:ascii="Times New Roman" w:hAnsi="Times New Roman" w:cs="Times New Roman"/>
          <w:sz w:val="26"/>
          <w:szCs w:val="26"/>
        </w:rPr>
        <w:t xml:space="preserve"> </w:t>
      </w:r>
      <w:r w:rsidRPr="003C238D">
        <w:rPr>
          <w:rFonts w:ascii="Times New Roman" w:hAnsi="Times New Roman" w:cs="Times New Roman"/>
          <w:sz w:val="26"/>
          <w:szCs w:val="26"/>
        </w:rPr>
        <w:t xml:space="preserve">có thể </w:t>
      </w:r>
      <w:r w:rsidR="003632A2">
        <w:rPr>
          <w:rFonts w:ascii="Times New Roman" w:hAnsi="Times New Roman" w:cs="Times New Roman"/>
          <w:sz w:val="26"/>
          <w:szCs w:val="26"/>
        </w:rPr>
        <w:t xml:space="preserve">dự đoán </w:t>
      </w:r>
      <w:r w:rsidRPr="003C238D">
        <w:rPr>
          <w:rFonts w:ascii="Times New Roman" w:hAnsi="Times New Roman" w:cs="Times New Roman"/>
          <w:sz w:val="26"/>
          <w:szCs w:val="26"/>
        </w:rPr>
        <w:t>rằng tồn kho chiếm một phần đáng kể trong tài sản ngắn hạn của công ty. Điều này có thể là điều tích cực nếu tồn kho là một phần quan trọng của quy trình sản xuất và kinh doanh của công ty, nhưng cũng cần phải được quản lý cẩn thận để tránh tình trạng tồn kho dư thừa</w:t>
      </w:r>
      <w:r>
        <w:rPr>
          <w:rFonts w:ascii="Times New Roman" w:hAnsi="Times New Roman" w:cs="Times New Roman"/>
          <w:sz w:val="26"/>
          <w:szCs w:val="26"/>
        </w:rPr>
        <w:t xml:space="preserve">. </w:t>
      </w:r>
    </w:p>
    <w:p w14:paraId="322509C2" w14:textId="77777777" w:rsidR="003632A2" w:rsidRDefault="003632A2">
      <w:pPr>
        <w:rPr>
          <w:rFonts w:ascii="Times New Roman" w:hAnsi="Times New Roman" w:cs="Times New Roman"/>
          <w:sz w:val="26"/>
          <w:szCs w:val="26"/>
        </w:rPr>
      </w:pPr>
      <w:r>
        <w:rPr>
          <w:rFonts w:ascii="Times New Roman" w:hAnsi="Times New Roman" w:cs="Times New Roman"/>
          <w:sz w:val="26"/>
          <w:szCs w:val="26"/>
        </w:rPr>
        <w:br w:type="page"/>
      </w:r>
    </w:p>
    <w:p w14:paraId="40107DE4" w14:textId="5B9847E2" w:rsidR="003C238D" w:rsidRDefault="003632A2" w:rsidP="003632A2">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Tính ổn định về tài chính</w:t>
      </w:r>
    </w:p>
    <w:p w14:paraId="4529C61E" w14:textId="7E124E8C" w:rsidR="00217F80" w:rsidRPr="00217F80" w:rsidRDefault="00217F80" w:rsidP="00217F80">
      <w:pPr>
        <w:spacing w:line="360" w:lineRule="auto"/>
        <w:ind w:firstLine="720"/>
        <w:jc w:val="center"/>
        <w:rPr>
          <w:rFonts w:ascii="Times New Roman" w:hAnsi="Times New Roman" w:cs="Times New Roman"/>
          <w:b/>
          <w:bCs/>
          <w:sz w:val="26"/>
          <w:szCs w:val="26"/>
        </w:rPr>
      </w:pPr>
      <w:r w:rsidRPr="00217F80">
        <w:rPr>
          <w:rFonts w:ascii="Times New Roman" w:hAnsi="Times New Roman" w:cs="Times New Roman"/>
          <w:b/>
          <w:bCs/>
          <w:sz w:val="26"/>
          <w:szCs w:val="26"/>
        </w:rPr>
        <w:t xml:space="preserve">Bảng 1.4. Các chỉ số </w:t>
      </w:r>
      <w:r w:rsidR="00FA2347">
        <w:rPr>
          <w:rFonts w:ascii="Times New Roman" w:hAnsi="Times New Roman" w:cs="Times New Roman"/>
          <w:b/>
          <w:bCs/>
          <w:sz w:val="26"/>
          <w:szCs w:val="26"/>
        </w:rPr>
        <w:t>về tính ổn định về tài chính</w:t>
      </w:r>
      <w:r w:rsidRPr="00217F80">
        <w:rPr>
          <w:rFonts w:ascii="Times New Roman" w:hAnsi="Times New Roman" w:cs="Times New Roman"/>
          <w:b/>
          <w:bCs/>
          <w:sz w:val="26"/>
          <w:szCs w:val="26"/>
        </w:rPr>
        <w:t xml:space="preserve"> của công ty từ 2020 - 2022</w:t>
      </w:r>
    </w:p>
    <w:tbl>
      <w:tblPr>
        <w:tblpPr w:leftFromText="180" w:rightFromText="180" w:vertAnchor="text" w:horzAnchor="margin" w:tblpXSpec="center" w:tblpY="257"/>
        <w:tblW w:w="7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1256"/>
        <w:gridCol w:w="1256"/>
        <w:gridCol w:w="1256"/>
      </w:tblGrid>
      <w:tr w:rsidR="008B1A2C" w:rsidRPr="003632A2" w14:paraId="7F40DD70" w14:textId="77777777" w:rsidTr="008B1A2C">
        <w:trPr>
          <w:trHeight w:val="300"/>
        </w:trPr>
        <w:tc>
          <w:tcPr>
            <w:tcW w:w="3596" w:type="dxa"/>
            <w:shd w:val="clear" w:color="auto" w:fill="auto"/>
            <w:noWrap/>
            <w:vAlign w:val="bottom"/>
          </w:tcPr>
          <w:p w14:paraId="7197C868" w14:textId="77777777" w:rsidR="008B1A2C" w:rsidRPr="00FB7754" w:rsidRDefault="008B1A2C" w:rsidP="00FB7754">
            <w:pPr>
              <w:spacing w:after="0" w:line="240" w:lineRule="auto"/>
              <w:rPr>
                <w:rFonts w:ascii="Arial" w:eastAsia="Times New Roman" w:hAnsi="Arial" w:cs="Arial"/>
                <w:b/>
                <w:bCs/>
                <w:color w:val="000000"/>
                <w:kern w:val="0"/>
                <w:lang w:bidi="th-TH"/>
                <w14:ligatures w14:val="none"/>
              </w:rPr>
            </w:pPr>
            <w:r w:rsidRPr="00FB7754">
              <w:rPr>
                <w:rFonts w:ascii="Arial" w:eastAsia="Times New Roman" w:hAnsi="Arial" w:cs="Arial"/>
                <w:b/>
                <w:bCs/>
                <w:color w:val="000000"/>
                <w:kern w:val="0"/>
                <w:lang w:bidi="th-TH"/>
                <w14:ligatures w14:val="none"/>
              </w:rPr>
              <w:t>Chỉ số</w:t>
            </w:r>
          </w:p>
        </w:tc>
        <w:tc>
          <w:tcPr>
            <w:tcW w:w="1256" w:type="dxa"/>
            <w:shd w:val="clear" w:color="auto" w:fill="auto"/>
            <w:noWrap/>
            <w:vAlign w:val="bottom"/>
          </w:tcPr>
          <w:p w14:paraId="66F03EBB" w14:textId="278B3C1B" w:rsidR="008B1A2C" w:rsidRPr="00FB7754" w:rsidRDefault="008B1A2C" w:rsidP="00FB7754">
            <w:pPr>
              <w:spacing w:after="0" w:line="240" w:lineRule="auto"/>
              <w:jc w:val="right"/>
              <w:rPr>
                <w:rFonts w:ascii="Arial" w:eastAsia="Times New Roman" w:hAnsi="Arial" w:cs="Arial"/>
                <w:b/>
                <w:bCs/>
                <w:color w:val="000000"/>
                <w:kern w:val="0"/>
                <w:lang w:bidi="th-TH"/>
                <w14:ligatures w14:val="none"/>
              </w:rPr>
            </w:pPr>
            <w:r w:rsidRPr="00FB7754">
              <w:rPr>
                <w:rFonts w:ascii="Arial" w:eastAsia="Times New Roman" w:hAnsi="Arial" w:cs="Arial"/>
                <w:b/>
                <w:bCs/>
                <w:color w:val="000000"/>
                <w:kern w:val="0"/>
                <w:lang w:bidi="th-TH"/>
                <w14:ligatures w14:val="none"/>
              </w:rPr>
              <w:t>2020</w:t>
            </w:r>
          </w:p>
        </w:tc>
        <w:tc>
          <w:tcPr>
            <w:tcW w:w="1256" w:type="dxa"/>
            <w:shd w:val="clear" w:color="auto" w:fill="auto"/>
            <w:noWrap/>
            <w:vAlign w:val="bottom"/>
          </w:tcPr>
          <w:p w14:paraId="29A37D01" w14:textId="77777777" w:rsidR="008B1A2C" w:rsidRPr="00FB7754" w:rsidRDefault="008B1A2C" w:rsidP="00FB7754">
            <w:pPr>
              <w:spacing w:after="0" w:line="240" w:lineRule="auto"/>
              <w:jc w:val="right"/>
              <w:rPr>
                <w:rFonts w:ascii="Arial" w:eastAsia="Times New Roman" w:hAnsi="Arial" w:cs="Arial"/>
                <w:b/>
                <w:bCs/>
                <w:color w:val="000000"/>
                <w:kern w:val="0"/>
                <w:lang w:bidi="th-TH"/>
                <w14:ligatures w14:val="none"/>
              </w:rPr>
            </w:pPr>
            <w:r w:rsidRPr="00FB7754">
              <w:rPr>
                <w:rFonts w:ascii="Arial" w:eastAsia="Times New Roman" w:hAnsi="Arial" w:cs="Arial"/>
                <w:b/>
                <w:bCs/>
                <w:color w:val="000000"/>
                <w:kern w:val="0"/>
                <w:lang w:bidi="th-TH"/>
                <w14:ligatures w14:val="none"/>
              </w:rPr>
              <w:t>2021</w:t>
            </w:r>
          </w:p>
        </w:tc>
        <w:tc>
          <w:tcPr>
            <w:tcW w:w="1256" w:type="dxa"/>
            <w:shd w:val="clear" w:color="auto" w:fill="auto"/>
            <w:noWrap/>
            <w:vAlign w:val="bottom"/>
          </w:tcPr>
          <w:p w14:paraId="7FFF4682" w14:textId="77777777" w:rsidR="008B1A2C" w:rsidRPr="00FB7754" w:rsidRDefault="008B1A2C" w:rsidP="00FB7754">
            <w:pPr>
              <w:spacing w:after="0" w:line="240" w:lineRule="auto"/>
              <w:jc w:val="right"/>
              <w:rPr>
                <w:rFonts w:ascii="Arial" w:eastAsia="Times New Roman" w:hAnsi="Arial" w:cs="Arial"/>
                <w:b/>
                <w:bCs/>
                <w:color w:val="000000"/>
                <w:kern w:val="0"/>
                <w:lang w:bidi="th-TH"/>
                <w14:ligatures w14:val="none"/>
              </w:rPr>
            </w:pPr>
            <w:r w:rsidRPr="00FB7754">
              <w:rPr>
                <w:rFonts w:ascii="Arial" w:eastAsia="Times New Roman" w:hAnsi="Arial" w:cs="Arial"/>
                <w:b/>
                <w:bCs/>
                <w:color w:val="000000"/>
                <w:kern w:val="0"/>
                <w:lang w:bidi="th-TH"/>
                <w14:ligatures w14:val="none"/>
              </w:rPr>
              <w:t>2022</w:t>
            </w:r>
          </w:p>
        </w:tc>
      </w:tr>
      <w:tr w:rsidR="008B1A2C" w:rsidRPr="003632A2" w14:paraId="26EE986D" w14:textId="77777777" w:rsidTr="008B1A2C">
        <w:trPr>
          <w:trHeight w:val="300"/>
        </w:trPr>
        <w:tc>
          <w:tcPr>
            <w:tcW w:w="3596" w:type="dxa"/>
            <w:shd w:val="clear" w:color="auto" w:fill="auto"/>
            <w:noWrap/>
            <w:vAlign w:val="bottom"/>
            <w:hideMark/>
          </w:tcPr>
          <w:p w14:paraId="767C0766" w14:textId="77777777" w:rsidR="008B1A2C" w:rsidRPr="003632A2" w:rsidRDefault="008B1A2C" w:rsidP="00FB7754">
            <w:pPr>
              <w:spacing w:after="0" w:line="240" w:lineRule="auto"/>
              <w:rPr>
                <w:rFonts w:ascii="Arial" w:eastAsia="Times New Roman" w:hAnsi="Arial" w:cs="Arial"/>
                <w:color w:val="000000"/>
                <w:kern w:val="0"/>
                <w:lang w:bidi="th-TH"/>
                <w14:ligatures w14:val="none"/>
              </w:rPr>
            </w:pPr>
            <w:r w:rsidRPr="003632A2">
              <w:rPr>
                <w:rFonts w:ascii="Arial" w:eastAsia="Times New Roman" w:hAnsi="Arial" w:cs="Arial"/>
                <w:color w:val="000000"/>
                <w:kern w:val="0"/>
                <w:lang w:bidi="th-TH"/>
                <w14:ligatures w14:val="none"/>
              </w:rPr>
              <w:t>Tỷ Số truyền.</w:t>
            </w:r>
          </w:p>
        </w:tc>
        <w:tc>
          <w:tcPr>
            <w:tcW w:w="1256" w:type="dxa"/>
            <w:shd w:val="clear" w:color="auto" w:fill="auto"/>
            <w:noWrap/>
            <w:vAlign w:val="bottom"/>
            <w:hideMark/>
          </w:tcPr>
          <w:p w14:paraId="0F34BBAF" w14:textId="0D9D3937" w:rsidR="008B1A2C" w:rsidRPr="003632A2" w:rsidRDefault="008B1A2C" w:rsidP="00FB7754">
            <w:pPr>
              <w:spacing w:after="0" w:line="240" w:lineRule="auto"/>
              <w:jc w:val="right"/>
              <w:rPr>
                <w:rFonts w:ascii="Arial" w:eastAsia="Times New Roman" w:hAnsi="Arial" w:cs="Arial"/>
                <w:b/>
                <w:bCs/>
                <w:color w:val="000000"/>
                <w:kern w:val="0"/>
                <w:lang w:bidi="th-TH"/>
                <w14:ligatures w14:val="none"/>
              </w:rPr>
            </w:pPr>
            <w:r w:rsidRPr="003632A2">
              <w:rPr>
                <w:rFonts w:ascii="Arial" w:eastAsia="Times New Roman" w:hAnsi="Arial" w:cs="Arial"/>
                <w:color w:val="000000"/>
                <w:kern w:val="0"/>
                <w:lang w:bidi="th-TH"/>
                <w14:ligatures w14:val="none"/>
              </w:rPr>
              <w:t>59.50%</w:t>
            </w:r>
          </w:p>
        </w:tc>
        <w:tc>
          <w:tcPr>
            <w:tcW w:w="1256" w:type="dxa"/>
            <w:shd w:val="clear" w:color="auto" w:fill="auto"/>
            <w:noWrap/>
            <w:vAlign w:val="bottom"/>
            <w:hideMark/>
          </w:tcPr>
          <w:p w14:paraId="7510E424" w14:textId="77777777" w:rsidR="008B1A2C" w:rsidRPr="003632A2" w:rsidRDefault="008B1A2C" w:rsidP="00FB7754">
            <w:pPr>
              <w:spacing w:after="0" w:line="240" w:lineRule="auto"/>
              <w:jc w:val="right"/>
              <w:rPr>
                <w:rFonts w:ascii="Arial" w:eastAsia="Times New Roman" w:hAnsi="Arial" w:cs="Arial"/>
                <w:b/>
                <w:bCs/>
                <w:color w:val="000000"/>
                <w:kern w:val="0"/>
                <w:lang w:bidi="th-TH"/>
                <w14:ligatures w14:val="none"/>
              </w:rPr>
            </w:pPr>
            <w:r w:rsidRPr="003632A2">
              <w:rPr>
                <w:rFonts w:ascii="Arial" w:eastAsia="Times New Roman" w:hAnsi="Arial" w:cs="Arial"/>
                <w:color w:val="000000"/>
                <w:kern w:val="0"/>
                <w:lang w:bidi="th-TH"/>
                <w14:ligatures w14:val="none"/>
              </w:rPr>
              <w:t>54.46%</w:t>
            </w:r>
          </w:p>
        </w:tc>
        <w:tc>
          <w:tcPr>
            <w:tcW w:w="1256" w:type="dxa"/>
            <w:shd w:val="clear" w:color="auto" w:fill="auto"/>
            <w:noWrap/>
            <w:vAlign w:val="bottom"/>
            <w:hideMark/>
          </w:tcPr>
          <w:p w14:paraId="240D226E" w14:textId="77777777" w:rsidR="008B1A2C" w:rsidRPr="003632A2" w:rsidRDefault="008B1A2C" w:rsidP="00FB7754">
            <w:pPr>
              <w:spacing w:after="0" w:line="240" w:lineRule="auto"/>
              <w:jc w:val="right"/>
              <w:rPr>
                <w:rFonts w:ascii="Arial" w:eastAsia="Times New Roman" w:hAnsi="Arial" w:cs="Arial"/>
                <w:b/>
                <w:bCs/>
                <w:color w:val="000000"/>
                <w:kern w:val="0"/>
                <w:lang w:bidi="th-TH"/>
                <w14:ligatures w14:val="none"/>
              </w:rPr>
            </w:pPr>
            <w:r w:rsidRPr="003632A2">
              <w:rPr>
                <w:rFonts w:ascii="Arial" w:eastAsia="Times New Roman" w:hAnsi="Arial" w:cs="Arial"/>
                <w:color w:val="000000"/>
                <w:kern w:val="0"/>
                <w:lang w:bidi="th-TH"/>
                <w14:ligatures w14:val="none"/>
              </w:rPr>
              <w:t>47.15%</w:t>
            </w:r>
          </w:p>
        </w:tc>
      </w:tr>
      <w:tr w:rsidR="008B1A2C" w:rsidRPr="003632A2" w14:paraId="7F23B6FA" w14:textId="77777777" w:rsidTr="008B1A2C">
        <w:trPr>
          <w:trHeight w:val="315"/>
        </w:trPr>
        <w:tc>
          <w:tcPr>
            <w:tcW w:w="3596" w:type="dxa"/>
            <w:shd w:val="clear" w:color="auto" w:fill="auto"/>
            <w:noWrap/>
            <w:vAlign w:val="bottom"/>
            <w:hideMark/>
          </w:tcPr>
          <w:p w14:paraId="2A5A457F" w14:textId="77777777" w:rsidR="008B1A2C" w:rsidRPr="003632A2" w:rsidRDefault="008B1A2C" w:rsidP="00FB7754">
            <w:pPr>
              <w:spacing w:after="0" w:line="240" w:lineRule="auto"/>
              <w:rPr>
                <w:rFonts w:ascii="Arial" w:eastAsia="Times New Roman" w:hAnsi="Arial" w:cs="Arial"/>
                <w:color w:val="000000"/>
                <w:kern w:val="0"/>
                <w:lang w:bidi="th-TH"/>
                <w14:ligatures w14:val="none"/>
              </w:rPr>
            </w:pPr>
            <w:r w:rsidRPr="003632A2">
              <w:rPr>
                <w:rFonts w:ascii="Arial" w:eastAsia="Times New Roman" w:hAnsi="Arial" w:cs="Arial"/>
                <w:color w:val="000000"/>
                <w:kern w:val="0"/>
                <w:lang w:bidi="th-TH"/>
                <w14:ligatures w14:val="none"/>
              </w:rPr>
              <w:t>Hệ số nợ trên vốn chủ sở hữu</w:t>
            </w:r>
          </w:p>
        </w:tc>
        <w:tc>
          <w:tcPr>
            <w:tcW w:w="1256" w:type="dxa"/>
            <w:shd w:val="clear" w:color="auto" w:fill="auto"/>
            <w:noWrap/>
            <w:vAlign w:val="bottom"/>
            <w:hideMark/>
          </w:tcPr>
          <w:p w14:paraId="6428DFF1" w14:textId="5A8A8B35" w:rsidR="008B1A2C" w:rsidRPr="003632A2" w:rsidRDefault="008B1A2C" w:rsidP="00FB7754">
            <w:pPr>
              <w:spacing w:after="0" w:line="240" w:lineRule="auto"/>
              <w:jc w:val="right"/>
              <w:rPr>
                <w:rFonts w:ascii="Arial" w:eastAsia="Times New Roman" w:hAnsi="Arial" w:cs="Arial"/>
                <w:b/>
                <w:bCs/>
                <w:color w:val="000000"/>
                <w:kern w:val="0"/>
                <w:lang w:bidi="th-TH"/>
                <w14:ligatures w14:val="none"/>
              </w:rPr>
            </w:pPr>
            <w:r w:rsidRPr="003632A2">
              <w:rPr>
                <w:rFonts w:ascii="Arial" w:eastAsia="Times New Roman" w:hAnsi="Arial" w:cs="Arial"/>
                <w:color w:val="000000"/>
                <w:kern w:val="0"/>
                <w:lang w:bidi="th-TH"/>
                <w14:ligatures w14:val="none"/>
              </w:rPr>
              <w:t>146.89%</w:t>
            </w:r>
          </w:p>
        </w:tc>
        <w:tc>
          <w:tcPr>
            <w:tcW w:w="1256" w:type="dxa"/>
            <w:shd w:val="clear" w:color="auto" w:fill="auto"/>
            <w:noWrap/>
            <w:vAlign w:val="bottom"/>
            <w:hideMark/>
          </w:tcPr>
          <w:p w14:paraId="0F241358" w14:textId="77777777" w:rsidR="008B1A2C" w:rsidRPr="003632A2" w:rsidRDefault="008B1A2C" w:rsidP="00FB7754">
            <w:pPr>
              <w:spacing w:after="0" w:line="240" w:lineRule="auto"/>
              <w:jc w:val="right"/>
              <w:rPr>
                <w:rFonts w:ascii="Arial" w:eastAsia="Times New Roman" w:hAnsi="Arial" w:cs="Arial"/>
                <w:b/>
                <w:bCs/>
                <w:color w:val="000000"/>
                <w:kern w:val="0"/>
                <w:lang w:bidi="th-TH"/>
                <w14:ligatures w14:val="none"/>
              </w:rPr>
            </w:pPr>
            <w:r w:rsidRPr="003632A2">
              <w:rPr>
                <w:rFonts w:ascii="Arial" w:eastAsia="Times New Roman" w:hAnsi="Arial" w:cs="Arial"/>
                <w:color w:val="000000"/>
                <w:kern w:val="0"/>
                <w:lang w:bidi="th-TH"/>
                <w14:ligatures w14:val="none"/>
              </w:rPr>
              <w:t>119.60%</w:t>
            </w:r>
          </w:p>
        </w:tc>
        <w:tc>
          <w:tcPr>
            <w:tcW w:w="1256" w:type="dxa"/>
            <w:shd w:val="clear" w:color="auto" w:fill="auto"/>
            <w:noWrap/>
            <w:vAlign w:val="bottom"/>
            <w:hideMark/>
          </w:tcPr>
          <w:p w14:paraId="7606D4EE" w14:textId="77777777" w:rsidR="008B1A2C" w:rsidRPr="003632A2" w:rsidRDefault="008B1A2C" w:rsidP="00FB7754">
            <w:pPr>
              <w:spacing w:after="0" w:line="240" w:lineRule="auto"/>
              <w:jc w:val="right"/>
              <w:rPr>
                <w:rFonts w:ascii="Arial" w:eastAsia="Times New Roman" w:hAnsi="Arial" w:cs="Arial"/>
                <w:b/>
                <w:bCs/>
                <w:color w:val="000000"/>
                <w:kern w:val="0"/>
                <w:lang w:bidi="th-TH"/>
                <w14:ligatures w14:val="none"/>
              </w:rPr>
            </w:pPr>
            <w:r w:rsidRPr="003632A2">
              <w:rPr>
                <w:rFonts w:ascii="Arial" w:eastAsia="Times New Roman" w:hAnsi="Arial" w:cs="Arial"/>
                <w:color w:val="000000"/>
                <w:kern w:val="0"/>
                <w:lang w:bidi="th-TH"/>
                <w14:ligatures w14:val="none"/>
              </w:rPr>
              <w:t>89.20%</w:t>
            </w:r>
          </w:p>
        </w:tc>
      </w:tr>
      <w:tr w:rsidR="008B1A2C" w:rsidRPr="003632A2" w14:paraId="1C2041C3" w14:textId="77777777" w:rsidTr="008B1A2C">
        <w:trPr>
          <w:trHeight w:val="300"/>
        </w:trPr>
        <w:tc>
          <w:tcPr>
            <w:tcW w:w="3596" w:type="dxa"/>
            <w:shd w:val="clear" w:color="auto" w:fill="auto"/>
            <w:noWrap/>
            <w:vAlign w:val="bottom"/>
          </w:tcPr>
          <w:p w14:paraId="182F933A" w14:textId="77777777" w:rsidR="008B1A2C" w:rsidRPr="003632A2" w:rsidRDefault="008B1A2C" w:rsidP="00FB7754">
            <w:pPr>
              <w:spacing w:after="0" w:line="240" w:lineRule="auto"/>
              <w:rPr>
                <w:rFonts w:ascii="Arial" w:eastAsia="Times New Roman" w:hAnsi="Arial" w:cs="Arial"/>
                <w:color w:val="000000"/>
                <w:kern w:val="0"/>
                <w:lang w:bidi="th-TH"/>
                <w14:ligatures w14:val="none"/>
              </w:rPr>
            </w:pPr>
            <w:r>
              <w:rPr>
                <w:rFonts w:ascii="Arial" w:hAnsi="Arial" w:cs="Arial"/>
                <w:color w:val="000000"/>
              </w:rPr>
              <w:t>Khả năng thanh toán lãi vay</w:t>
            </w:r>
          </w:p>
        </w:tc>
        <w:tc>
          <w:tcPr>
            <w:tcW w:w="1256" w:type="dxa"/>
            <w:shd w:val="clear" w:color="auto" w:fill="auto"/>
            <w:noWrap/>
            <w:vAlign w:val="bottom"/>
          </w:tcPr>
          <w:p w14:paraId="742FDC07" w14:textId="1BB9114F" w:rsidR="008B1A2C" w:rsidRPr="003632A2" w:rsidRDefault="008B1A2C" w:rsidP="00FB7754">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 xml:space="preserve">    25.07 </w:t>
            </w:r>
          </w:p>
        </w:tc>
        <w:tc>
          <w:tcPr>
            <w:tcW w:w="1256" w:type="dxa"/>
            <w:shd w:val="clear" w:color="auto" w:fill="auto"/>
            <w:noWrap/>
            <w:vAlign w:val="bottom"/>
          </w:tcPr>
          <w:p w14:paraId="6B18EF14" w14:textId="77777777" w:rsidR="008B1A2C" w:rsidRPr="003632A2" w:rsidRDefault="008B1A2C" w:rsidP="00FB7754">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 xml:space="preserve">    14.34 </w:t>
            </w:r>
          </w:p>
        </w:tc>
        <w:tc>
          <w:tcPr>
            <w:tcW w:w="1256" w:type="dxa"/>
            <w:shd w:val="clear" w:color="auto" w:fill="auto"/>
            <w:noWrap/>
            <w:vAlign w:val="bottom"/>
          </w:tcPr>
          <w:p w14:paraId="3698B9E4" w14:textId="77777777" w:rsidR="008B1A2C" w:rsidRPr="003632A2" w:rsidRDefault="008B1A2C" w:rsidP="00FB7754">
            <w:pPr>
              <w:spacing w:after="0" w:line="240" w:lineRule="auto"/>
              <w:jc w:val="right"/>
              <w:rPr>
                <w:rFonts w:ascii="Arial" w:eastAsia="Times New Roman" w:hAnsi="Arial" w:cs="Arial"/>
                <w:color w:val="000000"/>
                <w:kern w:val="0"/>
                <w:lang w:bidi="th-TH"/>
                <w14:ligatures w14:val="none"/>
              </w:rPr>
            </w:pPr>
            <w:r>
              <w:rPr>
                <w:rFonts w:ascii="Arial" w:hAnsi="Arial" w:cs="Arial"/>
                <w:color w:val="000000"/>
              </w:rPr>
              <w:t xml:space="preserve">      1.82 </w:t>
            </w:r>
          </w:p>
        </w:tc>
      </w:tr>
    </w:tbl>
    <w:p w14:paraId="3DEBBF95" w14:textId="77777777" w:rsidR="003632A2" w:rsidRDefault="003632A2" w:rsidP="003632A2">
      <w:pPr>
        <w:spacing w:line="360" w:lineRule="auto"/>
        <w:rPr>
          <w:rFonts w:ascii="Times New Roman" w:hAnsi="Times New Roman" w:cs="Times New Roman"/>
          <w:sz w:val="26"/>
          <w:szCs w:val="26"/>
        </w:rPr>
      </w:pPr>
    </w:p>
    <w:p w14:paraId="16063E60" w14:textId="77777777" w:rsidR="003632A2" w:rsidRDefault="003632A2" w:rsidP="008B1A2C">
      <w:pPr>
        <w:pStyle w:val="ListParagraph"/>
        <w:spacing w:line="276" w:lineRule="auto"/>
        <w:ind w:left="1080"/>
        <w:rPr>
          <w:rFonts w:ascii="Times New Roman" w:hAnsi="Times New Roman" w:cs="Times New Roman"/>
          <w:sz w:val="26"/>
          <w:szCs w:val="26"/>
        </w:rPr>
      </w:pPr>
    </w:p>
    <w:p w14:paraId="153BCD60" w14:textId="77777777" w:rsidR="008B1A2C" w:rsidRDefault="008B1A2C" w:rsidP="008B1A2C">
      <w:pPr>
        <w:pStyle w:val="ListParagraph"/>
        <w:spacing w:line="276" w:lineRule="auto"/>
        <w:ind w:left="1080"/>
        <w:rPr>
          <w:rFonts w:ascii="Times New Roman" w:hAnsi="Times New Roman" w:cs="Times New Roman"/>
          <w:sz w:val="26"/>
          <w:szCs w:val="26"/>
        </w:rPr>
      </w:pPr>
    </w:p>
    <w:p w14:paraId="4120033C" w14:textId="77777777" w:rsidR="008B1A2C" w:rsidRDefault="008B1A2C" w:rsidP="008B1A2C">
      <w:pPr>
        <w:pStyle w:val="ListParagraph"/>
        <w:spacing w:line="276" w:lineRule="auto"/>
        <w:ind w:left="1080"/>
        <w:rPr>
          <w:rFonts w:ascii="Times New Roman" w:hAnsi="Times New Roman" w:cs="Times New Roman"/>
          <w:sz w:val="26"/>
          <w:szCs w:val="26"/>
        </w:rPr>
      </w:pPr>
    </w:p>
    <w:p w14:paraId="311B579B" w14:textId="77777777" w:rsidR="008B1A2C" w:rsidRDefault="008B1A2C" w:rsidP="008B1A2C">
      <w:pPr>
        <w:pStyle w:val="ListParagraph"/>
        <w:spacing w:line="276" w:lineRule="auto"/>
        <w:ind w:left="1080"/>
        <w:rPr>
          <w:rFonts w:ascii="Times New Roman" w:hAnsi="Times New Roman" w:cs="Times New Roman"/>
          <w:sz w:val="26"/>
          <w:szCs w:val="26"/>
        </w:rPr>
      </w:pPr>
    </w:p>
    <w:p w14:paraId="747FA886" w14:textId="77777777" w:rsidR="008B1A2C" w:rsidRDefault="008B1A2C" w:rsidP="008B1A2C">
      <w:pPr>
        <w:pStyle w:val="ListParagraph"/>
        <w:spacing w:line="276" w:lineRule="auto"/>
        <w:ind w:left="1080"/>
        <w:rPr>
          <w:rFonts w:ascii="Times New Roman" w:hAnsi="Times New Roman" w:cs="Times New Roman"/>
          <w:sz w:val="26"/>
          <w:szCs w:val="26"/>
        </w:rPr>
      </w:pPr>
    </w:p>
    <w:p w14:paraId="6BE72469" w14:textId="3F89D800" w:rsidR="008B1A2C" w:rsidRDefault="008B1A2C" w:rsidP="008B1A2C">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 xml:space="preserve">Tỷ số truyền: </w:t>
      </w:r>
      <w:r w:rsidRPr="008B1A2C">
        <w:rPr>
          <w:rFonts w:ascii="Times New Roman" w:hAnsi="Times New Roman" w:cs="Times New Roman"/>
          <w:sz w:val="26"/>
          <w:szCs w:val="26"/>
        </w:rPr>
        <w:t xml:space="preserve"> </w:t>
      </w:r>
      <w:r>
        <w:rPr>
          <w:rFonts w:ascii="Times New Roman" w:hAnsi="Times New Roman" w:cs="Times New Roman"/>
          <w:sz w:val="26"/>
          <w:szCs w:val="26"/>
        </w:rPr>
        <w:t>Ở m</w:t>
      </w:r>
      <w:r w:rsidRPr="008B1A2C">
        <w:rPr>
          <w:rFonts w:ascii="Times New Roman" w:hAnsi="Times New Roman" w:cs="Times New Roman"/>
          <w:sz w:val="26"/>
          <w:szCs w:val="26"/>
        </w:rPr>
        <w:t>ức 47.15%</w:t>
      </w:r>
      <w:r>
        <w:rPr>
          <w:rFonts w:ascii="Times New Roman" w:hAnsi="Times New Roman" w:cs="Times New Roman"/>
          <w:sz w:val="26"/>
          <w:szCs w:val="26"/>
        </w:rPr>
        <w:t xml:space="preserve"> năm 2022</w:t>
      </w:r>
      <w:r w:rsidRPr="008B1A2C">
        <w:rPr>
          <w:rFonts w:ascii="Times New Roman" w:hAnsi="Times New Roman" w:cs="Times New Roman"/>
          <w:sz w:val="26"/>
          <w:szCs w:val="26"/>
        </w:rPr>
        <w:t xml:space="preserve"> có vẻ ổn định</w:t>
      </w:r>
      <w:r>
        <w:rPr>
          <w:rFonts w:ascii="Times New Roman" w:hAnsi="Times New Roman" w:cs="Times New Roman"/>
          <w:sz w:val="26"/>
          <w:szCs w:val="26"/>
        </w:rPr>
        <w:t xml:space="preserve"> có </w:t>
      </w:r>
      <w:r w:rsidRPr="008B1A2C">
        <w:rPr>
          <w:rFonts w:ascii="Times New Roman" w:hAnsi="Times New Roman" w:cs="Times New Roman"/>
          <w:sz w:val="26"/>
          <w:szCs w:val="26"/>
        </w:rPr>
        <w:t>nghĩa hơn một nửa tài sản của công ty được tài trợ bằng vốn chủ sở hữu. Mức này cũng có thể tạo ra một động lực lớn để công ty tìm kiếm nguồn vốn không phải là nợ để giảm thiểu rủi ro tài chính.</w:t>
      </w:r>
      <w:r>
        <w:rPr>
          <w:rFonts w:ascii="Times New Roman" w:hAnsi="Times New Roman" w:cs="Times New Roman"/>
          <w:sz w:val="26"/>
          <w:szCs w:val="26"/>
        </w:rPr>
        <w:t xml:space="preserve"> </w:t>
      </w:r>
      <w:r w:rsidRPr="008B1A2C">
        <w:rPr>
          <w:rFonts w:ascii="Times New Roman" w:hAnsi="Times New Roman" w:cs="Times New Roman"/>
          <w:sz w:val="26"/>
          <w:szCs w:val="26"/>
        </w:rPr>
        <w:t xml:space="preserve">Sự giảm từ 59.50% xuống 47.15% </w:t>
      </w:r>
      <w:r>
        <w:rPr>
          <w:rFonts w:ascii="Times New Roman" w:hAnsi="Times New Roman" w:cs="Times New Roman"/>
          <w:sz w:val="26"/>
          <w:szCs w:val="26"/>
        </w:rPr>
        <w:t xml:space="preserve">cũng </w:t>
      </w:r>
      <w:r w:rsidRPr="008B1A2C">
        <w:rPr>
          <w:rFonts w:ascii="Times New Roman" w:hAnsi="Times New Roman" w:cs="Times New Roman"/>
          <w:sz w:val="26"/>
          <w:szCs w:val="26"/>
        </w:rPr>
        <w:t>là một dấu hiệu tích cực, cho thấy công ty đã giảm độ nợ so với tổng nguồn vốn của mình. Điều này giúp tăng tính ổn định và giảm rủi ro tài chính</w:t>
      </w:r>
    </w:p>
    <w:p w14:paraId="6BAE15FE" w14:textId="2DA510C2" w:rsidR="008B1A2C" w:rsidRDefault="008B1A2C" w:rsidP="008B1A2C">
      <w:pPr>
        <w:pStyle w:val="ListParagraph"/>
        <w:numPr>
          <w:ilvl w:val="0"/>
          <w:numId w:val="4"/>
        </w:numPr>
        <w:spacing w:line="276" w:lineRule="auto"/>
        <w:rPr>
          <w:rFonts w:ascii="Times New Roman" w:hAnsi="Times New Roman" w:cs="Times New Roman"/>
          <w:sz w:val="26"/>
          <w:szCs w:val="26"/>
        </w:rPr>
      </w:pPr>
      <w:r w:rsidRPr="008B1A2C">
        <w:rPr>
          <w:rFonts w:ascii="Times New Roman" w:hAnsi="Times New Roman" w:cs="Times New Roman"/>
          <w:sz w:val="26"/>
          <w:szCs w:val="26"/>
        </w:rPr>
        <w:t>Hệ Số Nợ Trên Vốn Chủ Sở Hữu</w:t>
      </w:r>
      <w:r>
        <w:rPr>
          <w:rFonts w:ascii="Times New Roman" w:hAnsi="Times New Roman" w:cs="Times New Roman"/>
          <w:sz w:val="26"/>
          <w:szCs w:val="26"/>
        </w:rPr>
        <w:t xml:space="preserve">: </w:t>
      </w:r>
      <w:r w:rsidRPr="008B1A2C">
        <w:rPr>
          <w:rFonts w:ascii="Times New Roman" w:hAnsi="Times New Roman" w:cs="Times New Roman"/>
          <w:sz w:val="26"/>
          <w:szCs w:val="26"/>
        </w:rPr>
        <w:t>Hệ số nợ trên vốn chủ sở hữu là 89.20%,</w:t>
      </w:r>
      <w:r>
        <w:rPr>
          <w:rFonts w:ascii="Times New Roman" w:hAnsi="Times New Roman" w:cs="Times New Roman"/>
          <w:sz w:val="26"/>
          <w:szCs w:val="26"/>
        </w:rPr>
        <w:t xml:space="preserve"> 146.89% và 119.60%</w:t>
      </w:r>
      <w:r w:rsidRPr="008B1A2C">
        <w:rPr>
          <w:rFonts w:ascii="Times New Roman" w:hAnsi="Times New Roman" w:cs="Times New Roman"/>
          <w:sz w:val="26"/>
          <w:szCs w:val="26"/>
        </w:rPr>
        <w:t xml:space="preserve"> đồng nghĩa với việc công ty có nợ nhiều hơn gấp khoảng 9</w:t>
      </w:r>
      <w:r>
        <w:rPr>
          <w:rFonts w:ascii="Times New Roman" w:hAnsi="Times New Roman" w:cs="Times New Roman"/>
          <w:sz w:val="26"/>
          <w:szCs w:val="26"/>
        </w:rPr>
        <w:t>, 10, 14</w:t>
      </w:r>
      <w:r w:rsidRPr="008B1A2C">
        <w:rPr>
          <w:rFonts w:ascii="Times New Roman" w:hAnsi="Times New Roman" w:cs="Times New Roman"/>
          <w:sz w:val="26"/>
          <w:szCs w:val="26"/>
        </w:rPr>
        <w:t xml:space="preserve"> lần so với vốn chủ sở hữu. Mức nợ </w:t>
      </w:r>
      <w:r>
        <w:rPr>
          <w:rFonts w:ascii="Times New Roman" w:hAnsi="Times New Roman" w:cs="Times New Roman"/>
          <w:sz w:val="26"/>
          <w:szCs w:val="26"/>
        </w:rPr>
        <w:t xml:space="preserve">rất cao trong các năm, đây </w:t>
      </w:r>
      <w:r w:rsidRPr="008B1A2C">
        <w:rPr>
          <w:rFonts w:ascii="Times New Roman" w:hAnsi="Times New Roman" w:cs="Times New Roman"/>
          <w:sz w:val="26"/>
          <w:szCs w:val="26"/>
        </w:rPr>
        <w:t>là dấu hiệu của tình trạng tài chính không ổn định và tăng rủi ro trong việc quản lý nợ. Sự giảm từ 146.89% xuống 89.20%</w:t>
      </w:r>
      <w:r>
        <w:rPr>
          <w:rFonts w:ascii="Times New Roman" w:hAnsi="Times New Roman" w:cs="Times New Roman"/>
          <w:sz w:val="26"/>
          <w:szCs w:val="26"/>
        </w:rPr>
        <w:t xml:space="preserve"> từ 2020 xuống 2022</w:t>
      </w:r>
      <w:r w:rsidRPr="008B1A2C">
        <w:rPr>
          <w:rFonts w:ascii="Times New Roman" w:hAnsi="Times New Roman" w:cs="Times New Roman"/>
          <w:sz w:val="26"/>
          <w:szCs w:val="26"/>
        </w:rPr>
        <w:t xml:space="preserve"> là một dấu hiệu tích cực</w:t>
      </w:r>
      <w:r>
        <w:rPr>
          <w:rFonts w:ascii="Times New Roman" w:hAnsi="Times New Roman" w:cs="Times New Roman"/>
          <w:sz w:val="26"/>
          <w:szCs w:val="26"/>
        </w:rPr>
        <w:t>, tuy nhiên c</w:t>
      </w:r>
      <w:r w:rsidRPr="008B1A2C">
        <w:rPr>
          <w:rFonts w:ascii="Times New Roman" w:hAnsi="Times New Roman" w:cs="Times New Roman"/>
          <w:sz w:val="26"/>
          <w:szCs w:val="26"/>
        </w:rPr>
        <w:t>ông ty cần chú ý để đảm bảo có kế hoạch thanh toán nợ hiệu quả và giảm thiểu áp lực tài chính.</w:t>
      </w:r>
      <w:r>
        <w:rPr>
          <w:rFonts w:ascii="Times New Roman" w:hAnsi="Times New Roman" w:cs="Times New Roman"/>
          <w:sz w:val="26"/>
          <w:szCs w:val="26"/>
        </w:rPr>
        <w:t xml:space="preserve"> </w:t>
      </w:r>
    </w:p>
    <w:p w14:paraId="2C41DCDC" w14:textId="77A5FC1F" w:rsidR="008B1A2C" w:rsidRDefault="008B1A2C" w:rsidP="008B1A2C">
      <w:pPr>
        <w:pStyle w:val="ListParagraph"/>
        <w:numPr>
          <w:ilvl w:val="0"/>
          <w:numId w:val="4"/>
        </w:numPr>
        <w:spacing w:line="276" w:lineRule="auto"/>
        <w:rPr>
          <w:rFonts w:ascii="Times New Roman" w:hAnsi="Times New Roman" w:cs="Times New Roman"/>
          <w:sz w:val="26"/>
          <w:szCs w:val="26"/>
        </w:rPr>
      </w:pPr>
      <w:r w:rsidRPr="008B1A2C">
        <w:rPr>
          <w:rFonts w:ascii="Times New Roman" w:hAnsi="Times New Roman" w:cs="Times New Roman"/>
          <w:sz w:val="26"/>
          <w:szCs w:val="26"/>
        </w:rPr>
        <w:t>Khả Năng Thanh Toán Lãi Vay</w:t>
      </w:r>
      <w:r>
        <w:rPr>
          <w:rFonts w:ascii="Times New Roman" w:hAnsi="Times New Roman" w:cs="Times New Roman"/>
          <w:sz w:val="26"/>
          <w:szCs w:val="26"/>
        </w:rPr>
        <w:t xml:space="preserve">: </w:t>
      </w:r>
      <w:r w:rsidRPr="008B1A2C">
        <w:rPr>
          <w:rFonts w:ascii="Times New Roman" w:hAnsi="Times New Roman" w:cs="Times New Roman"/>
          <w:sz w:val="26"/>
          <w:szCs w:val="26"/>
        </w:rPr>
        <w:t xml:space="preserve">Sự giảm mạnh từ 2020 đến 2022 (từ 25.07 xuống 1.82) là một dấu hiệu tiêu cực và có thể là một điểm quan ngại. Mức giảm này có thể chỉ ra áp lực tài chính đang tăng và khả năng chi trả lãi vay giảm. </w:t>
      </w:r>
      <w:r>
        <w:rPr>
          <w:rFonts w:ascii="Times New Roman" w:hAnsi="Times New Roman" w:cs="Times New Roman"/>
          <w:sz w:val="26"/>
          <w:szCs w:val="26"/>
        </w:rPr>
        <w:t>C</w:t>
      </w:r>
      <w:r w:rsidRPr="008B1A2C">
        <w:rPr>
          <w:rFonts w:ascii="Times New Roman" w:hAnsi="Times New Roman" w:cs="Times New Roman"/>
          <w:sz w:val="26"/>
          <w:szCs w:val="26"/>
        </w:rPr>
        <w:t>ần lưu ý rằng nếu chỉ số này giảm xuống gần hoặc dưới 1, điều này có thể là một dấu hiệu rủi ro tài chính, vì lúc này công ty có thể gặp khó khăn trong việc thanh toán lãi vay từ lợi nhuận hoạt động.</w:t>
      </w:r>
    </w:p>
    <w:p w14:paraId="22BCE8EF" w14:textId="545B62A7" w:rsidR="008B1A2C" w:rsidRDefault="008B1A2C" w:rsidP="008B1A2C">
      <w:pPr>
        <w:spacing w:line="276" w:lineRule="auto"/>
        <w:rPr>
          <w:rFonts w:ascii="Times New Roman" w:hAnsi="Times New Roman" w:cs="Times New Roman"/>
          <w:sz w:val="26"/>
          <w:szCs w:val="26"/>
        </w:rPr>
      </w:pPr>
      <w:r w:rsidRPr="008B1A2C">
        <w:rPr>
          <w:rFonts w:ascii="Times New Roman" w:hAnsi="Times New Roman" w:cs="Times New Roman"/>
          <w:sz w:val="26"/>
          <w:szCs w:val="26"/>
        </w:rPr>
        <w:t>T</w:t>
      </w:r>
      <w:r>
        <w:rPr>
          <w:rFonts w:ascii="Times New Roman" w:hAnsi="Times New Roman" w:cs="Times New Roman"/>
          <w:sz w:val="26"/>
          <w:szCs w:val="26"/>
        </w:rPr>
        <w:t xml:space="preserve">óm lại: </w:t>
      </w:r>
      <w:r w:rsidRPr="008B1A2C">
        <w:rPr>
          <w:rFonts w:ascii="Times New Roman" w:hAnsi="Times New Roman" w:cs="Times New Roman"/>
          <w:sz w:val="26"/>
          <w:szCs w:val="26"/>
        </w:rPr>
        <w:t>Công ty có mức độ nợ so với tài sản (tỷ số truyền) ổn định, không quá cao.</w:t>
      </w:r>
      <w:r>
        <w:rPr>
          <w:rFonts w:ascii="Times New Roman" w:hAnsi="Times New Roman" w:cs="Times New Roman"/>
          <w:sz w:val="26"/>
          <w:szCs w:val="26"/>
        </w:rPr>
        <w:t xml:space="preserve"> </w:t>
      </w:r>
      <w:r w:rsidRPr="008B1A2C">
        <w:rPr>
          <w:rFonts w:ascii="Times New Roman" w:hAnsi="Times New Roman" w:cs="Times New Roman"/>
          <w:sz w:val="26"/>
          <w:szCs w:val="26"/>
        </w:rPr>
        <w:t>Hệ số nợ trên vốn chủ sở hữu là khá cao, đòi hỏi sự quản lý nợ cẩn thận và kế hoạch thanh toán hiệu quả.</w:t>
      </w:r>
      <w:r>
        <w:rPr>
          <w:rFonts w:ascii="Times New Roman" w:hAnsi="Times New Roman" w:cs="Times New Roman"/>
          <w:sz w:val="26"/>
          <w:szCs w:val="26"/>
        </w:rPr>
        <w:t xml:space="preserve"> </w:t>
      </w:r>
    </w:p>
    <w:p w14:paraId="2E8113D0" w14:textId="37B79FBF" w:rsidR="00B13A35" w:rsidRDefault="00B13A35" w:rsidP="00B13A35">
      <w:pPr>
        <w:pStyle w:val="ListParagraph"/>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Vốn lưu động</w:t>
      </w:r>
    </w:p>
    <w:p w14:paraId="54BC8238" w14:textId="4BB25882" w:rsidR="00FA2347" w:rsidRPr="00FA2347" w:rsidRDefault="00FA2347" w:rsidP="00FA2347">
      <w:pPr>
        <w:spacing w:line="360" w:lineRule="auto"/>
        <w:jc w:val="center"/>
        <w:rPr>
          <w:rFonts w:ascii="Times New Roman" w:hAnsi="Times New Roman" w:cs="Times New Roman"/>
          <w:b/>
          <w:bCs/>
          <w:sz w:val="26"/>
          <w:szCs w:val="26"/>
        </w:rPr>
      </w:pPr>
      <w:r w:rsidRPr="00FA2347">
        <w:rPr>
          <w:rFonts w:ascii="Times New Roman" w:hAnsi="Times New Roman" w:cs="Times New Roman"/>
          <w:b/>
          <w:bCs/>
          <w:sz w:val="26"/>
          <w:szCs w:val="26"/>
        </w:rPr>
        <w:t xml:space="preserve">Bảng 1.4. Các chỉ số tài chính về </w:t>
      </w:r>
      <w:r>
        <w:rPr>
          <w:rFonts w:ascii="Times New Roman" w:hAnsi="Times New Roman" w:cs="Times New Roman"/>
          <w:b/>
          <w:bCs/>
          <w:sz w:val="26"/>
          <w:szCs w:val="26"/>
        </w:rPr>
        <w:t>vốn lưu động</w:t>
      </w:r>
      <w:r w:rsidRPr="00FA2347">
        <w:rPr>
          <w:rFonts w:ascii="Times New Roman" w:hAnsi="Times New Roman" w:cs="Times New Roman"/>
          <w:b/>
          <w:bCs/>
          <w:sz w:val="26"/>
          <w:szCs w:val="26"/>
        </w:rPr>
        <w:t xml:space="preserve"> của công ty từ 2020 - 2022</w:t>
      </w:r>
    </w:p>
    <w:tbl>
      <w:tblPr>
        <w:tblW w:w="7534" w:type="dxa"/>
        <w:tblInd w:w="3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1240"/>
        <w:gridCol w:w="1240"/>
        <w:gridCol w:w="1474"/>
      </w:tblGrid>
      <w:tr w:rsidR="00347DD2" w:rsidRPr="00347DD2" w14:paraId="64E540FE" w14:textId="77777777" w:rsidTr="00347DD2">
        <w:trPr>
          <w:trHeight w:val="300"/>
        </w:trPr>
        <w:tc>
          <w:tcPr>
            <w:tcW w:w="3580" w:type="dxa"/>
            <w:shd w:val="clear" w:color="auto" w:fill="auto"/>
            <w:noWrap/>
            <w:vAlign w:val="bottom"/>
          </w:tcPr>
          <w:p w14:paraId="67880CA3" w14:textId="098CCB01" w:rsidR="00347DD2" w:rsidRPr="00347DD2" w:rsidRDefault="00347DD2" w:rsidP="00347DD2">
            <w:pPr>
              <w:spacing w:after="0" w:line="240" w:lineRule="auto"/>
              <w:rPr>
                <w:rFonts w:ascii="Arial" w:eastAsia="Times New Roman" w:hAnsi="Arial" w:cs="Arial"/>
                <w:b/>
                <w:bCs/>
                <w:color w:val="000000"/>
                <w:kern w:val="0"/>
                <w:lang w:bidi="th-TH"/>
                <w14:ligatures w14:val="none"/>
              </w:rPr>
            </w:pPr>
            <w:r w:rsidRPr="00347DD2">
              <w:rPr>
                <w:rFonts w:ascii="Arial" w:eastAsia="Times New Roman" w:hAnsi="Arial" w:cs="Arial"/>
                <w:b/>
                <w:bCs/>
                <w:color w:val="000000"/>
                <w:kern w:val="0"/>
                <w:lang w:bidi="th-TH"/>
                <w14:ligatures w14:val="none"/>
              </w:rPr>
              <w:t>Chỉ số</w:t>
            </w:r>
          </w:p>
        </w:tc>
        <w:tc>
          <w:tcPr>
            <w:tcW w:w="1240" w:type="dxa"/>
            <w:shd w:val="clear" w:color="auto" w:fill="auto"/>
            <w:noWrap/>
            <w:vAlign w:val="bottom"/>
          </w:tcPr>
          <w:p w14:paraId="6959B123" w14:textId="54CF6CFA"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b/>
                <w:bCs/>
                <w:color w:val="000000"/>
                <w:kern w:val="0"/>
                <w:lang w:bidi="th-TH"/>
                <w14:ligatures w14:val="none"/>
              </w:rPr>
              <w:t>2020</w:t>
            </w:r>
          </w:p>
        </w:tc>
        <w:tc>
          <w:tcPr>
            <w:tcW w:w="1240" w:type="dxa"/>
            <w:shd w:val="clear" w:color="auto" w:fill="auto"/>
            <w:noWrap/>
            <w:vAlign w:val="bottom"/>
          </w:tcPr>
          <w:p w14:paraId="30ED8972" w14:textId="3E2F3089"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b/>
                <w:bCs/>
                <w:color w:val="000000"/>
                <w:kern w:val="0"/>
                <w:lang w:bidi="th-TH"/>
                <w14:ligatures w14:val="none"/>
              </w:rPr>
              <w:t>2021</w:t>
            </w:r>
          </w:p>
        </w:tc>
        <w:tc>
          <w:tcPr>
            <w:tcW w:w="1474" w:type="dxa"/>
            <w:shd w:val="clear" w:color="auto" w:fill="auto"/>
            <w:noWrap/>
            <w:vAlign w:val="bottom"/>
          </w:tcPr>
          <w:p w14:paraId="23BEAC50" w14:textId="520D88C1"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b/>
                <w:bCs/>
                <w:color w:val="000000"/>
                <w:kern w:val="0"/>
                <w:lang w:bidi="th-TH"/>
                <w14:ligatures w14:val="none"/>
              </w:rPr>
              <w:t>2022</w:t>
            </w:r>
          </w:p>
        </w:tc>
      </w:tr>
      <w:tr w:rsidR="00347DD2" w:rsidRPr="00347DD2" w14:paraId="5D7E1518" w14:textId="77777777" w:rsidTr="00347DD2">
        <w:trPr>
          <w:trHeight w:val="300"/>
        </w:trPr>
        <w:tc>
          <w:tcPr>
            <w:tcW w:w="3580" w:type="dxa"/>
            <w:shd w:val="clear" w:color="auto" w:fill="auto"/>
            <w:noWrap/>
            <w:vAlign w:val="bottom"/>
            <w:hideMark/>
          </w:tcPr>
          <w:p w14:paraId="296688CB" w14:textId="77777777" w:rsidR="00347DD2" w:rsidRPr="00347DD2" w:rsidRDefault="00347DD2" w:rsidP="00347DD2">
            <w:pPr>
              <w:spacing w:after="0" w:line="240" w:lineRule="auto"/>
              <w:rPr>
                <w:rFonts w:ascii="Arial" w:eastAsia="Times New Roman" w:hAnsi="Arial" w:cs="Arial"/>
                <w:color w:val="000000"/>
                <w:kern w:val="0"/>
                <w:lang w:bidi="th-TH"/>
                <w14:ligatures w14:val="none"/>
              </w:rPr>
            </w:pPr>
            <w:r w:rsidRPr="00347DD2">
              <w:rPr>
                <w:rFonts w:ascii="Arial" w:eastAsia="Times New Roman" w:hAnsi="Arial" w:cs="Arial"/>
                <w:color w:val="000000"/>
                <w:kern w:val="0"/>
                <w:lang w:bidi="th-TH"/>
                <w14:ligatures w14:val="none"/>
              </w:rPr>
              <w:t>Số ngày tồn kho bình quân</w:t>
            </w:r>
          </w:p>
        </w:tc>
        <w:tc>
          <w:tcPr>
            <w:tcW w:w="1240" w:type="dxa"/>
            <w:shd w:val="clear" w:color="auto" w:fill="auto"/>
            <w:noWrap/>
            <w:vAlign w:val="bottom"/>
            <w:hideMark/>
          </w:tcPr>
          <w:p w14:paraId="5D9A8C2A" w14:textId="4132C916"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color w:val="000000"/>
                <w:kern w:val="0"/>
                <w:lang w:bidi="th-TH"/>
                <w14:ligatures w14:val="none"/>
              </w:rPr>
              <w:t>868.69</w:t>
            </w:r>
          </w:p>
        </w:tc>
        <w:tc>
          <w:tcPr>
            <w:tcW w:w="1240" w:type="dxa"/>
            <w:shd w:val="clear" w:color="auto" w:fill="auto"/>
            <w:noWrap/>
            <w:vAlign w:val="bottom"/>
            <w:hideMark/>
          </w:tcPr>
          <w:p w14:paraId="0D001ED9" w14:textId="4A622723"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color w:val="000000"/>
                <w:kern w:val="0"/>
                <w:lang w:bidi="th-TH"/>
                <w14:ligatures w14:val="none"/>
              </w:rPr>
              <w:t>811.46</w:t>
            </w:r>
          </w:p>
        </w:tc>
        <w:tc>
          <w:tcPr>
            <w:tcW w:w="1474" w:type="dxa"/>
            <w:shd w:val="clear" w:color="auto" w:fill="auto"/>
            <w:noWrap/>
            <w:vAlign w:val="bottom"/>
            <w:hideMark/>
          </w:tcPr>
          <w:p w14:paraId="58AC1A69" w14:textId="15040893"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color w:val="000000"/>
                <w:kern w:val="0"/>
                <w:lang w:bidi="th-TH"/>
                <w14:ligatures w14:val="none"/>
              </w:rPr>
              <w:t>1,709.94</w:t>
            </w:r>
          </w:p>
        </w:tc>
      </w:tr>
      <w:tr w:rsidR="00347DD2" w:rsidRPr="00347DD2" w14:paraId="04A29D47" w14:textId="77777777" w:rsidTr="00347DD2">
        <w:trPr>
          <w:trHeight w:val="315"/>
        </w:trPr>
        <w:tc>
          <w:tcPr>
            <w:tcW w:w="3580" w:type="dxa"/>
            <w:shd w:val="clear" w:color="auto" w:fill="auto"/>
            <w:noWrap/>
            <w:vAlign w:val="bottom"/>
            <w:hideMark/>
          </w:tcPr>
          <w:p w14:paraId="4CB9EAE2" w14:textId="77777777" w:rsidR="00347DD2" w:rsidRPr="00347DD2" w:rsidRDefault="00347DD2" w:rsidP="00347DD2">
            <w:pPr>
              <w:spacing w:after="0" w:line="240" w:lineRule="auto"/>
              <w:rPr>
                <w:rFonts w:ascii="Arial" w:eastAsia="Times New Roman" w:hAnsi="Arial" w:cs="Arial"/>
                <w:color w:val="000000"/>
                <w:kern w:val="0"/>
                <w:lang w:bidi="th-TH"/>
                <w14:ligatures w14:val="none"/>
              </w:rPr>
            </w:pPr>
            <w:r w:rsidRPr="00347DD2">
              <w:rPr>
                <w:rFonts w:ascii="Arial" w:eastAsia="Times New Roman" w:hAnsi="Arial" w:cs="Arial"/>
                <w:color w:val="000000"/>
                <w:kern w:val="0"/>
                <w:lang w:bidi="th-TH"/>
                <w14:ligatures w14:val="none"/>
              </w:rPr>
              <w:t>Số ngày phải thu bình quân</w:t>
            </w:r>
          </w:p>
        </w:tc>
        <w:tc>
          <w:tcPr>
            <w:tcW w:w="1240" w:type="dxa"/>
            <w:shd w:val="clear" w:color="auto" w:fill="auto"/>
            <w:noWrap/>
            <w:vAlign w:val="bottom"/>
            <w:hideMark/>
          </w:tcPr>
          <w:p w14:paraId="1374CEA0" w14:textId="79C79654"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color w:val="000000"/>
                <w:kern w:val="0"/>
                <w:lang w:bidi="th-TH"/>
                <w14:ligatures w14:val="none"/>
              </w:rPr>
              <w:t>787.54</w:t>
            </w:r>
          </w:p>
        </w:tc>
        <w:tc>
          <w:tcPr>
            <w:tcW w:w="1240" w:type="dxa"/>
            <w:shd w:val="clear" w:color="auto" w:fill="auto"/>
            <w:noWrap/>
            <w:vAlign w:val="bottom"/>
            <w:hideMark/>
          </w:tcPr>
          <w:p w14:paraId="03278088" w14:textId="10D5A50F"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color w:val="000000"/>
                <w:kern w:val="0"/>
                <w:lang w:bidi="th-TH"/>
                <w14:ligatures w14:val="none"/>
              </w:rPr>
              <w:t>1,072.01</w:t>
            </w:r>
          </w:p>
        </w:tc>
        <w:tc>
          <w:tcPr>
            <w:tcW w:w="1474" w:type="dxa"/>
            <w:shd w:val="clear" w:color="auto" w:fill="auto"/>
            <w:noWrap/>
            <w:vAlign w:val="bottom"/>
            <w:hideMark/>
          </w:tcPr>
          <w:p w14:paraId="1D7AA1EC" w14:textId="351F8C83" w:rsidR="00347DD2" w:rsidRPr="00347DD2" w:rsidRDefault="00347DD2" w:rsidP="00347DD2">
            <w:pPr>
              <w:spacing w:after="0" w:line="240" w:lineRule="auto"/>
              <w:jc w:val="center"/>
              <w:rPr>
                <w:rFonts w:ascii="Arial" w:eastAsia="Times New Roman" w:hAnsi="Arial" w:cs="Arial"/>
                <w:b/>
                <w:bCs/>
                <w:color w:val="000000"/>
                <w:kern w:val="0"/>
                <w:lang w:bidi="th-TH"/>
                <w14:ligatures w14:val="none"/>
              </w:rPr>
            </w:pPr>
            <w:r w:rsidRPr="00347DD2">
              <w:rPr>
                <w:rFonts w:ascii="Arial" w:eastAsia="Times New Roman" w:hAnsi="Arial" w:cs="Arial"/>
                <w:color w:val="000000"/>
                <w:kern w:val="0"/>
                <w:lang w:bidi="th-TH"/>
                <w14:ligatures w14:val="none"/>
              </w:rPr>
              <w:t>1,292.91</w:t>
            </w:r>
          </w:p>
        </w:tc>
      </w:tr>
      <w:tr w:rsidR="00347DD2" w:rsidRPr="00347DD2" w14:paraId="4B57BB6D" w14:textId="77777777" w:rsidTr="00347DD2">
        <w:trPr>
          <w:trHeight w:val="300"/>
        </w:trPr>
        <w:tc>
          <w:tcPr>
            <w:tcW w:w="3580" w:type="dxa"/>
            <w:shd w:val="clear" w:color="auto" w:fill="auto"/>
            <w:noWrap/>
            <w:vAlign w:val="bottom"/>
          </w:tcPr>
          <w:p w14:paraId="7CC4978E" w14:textId="0D8FE9AB" w:rsidR="00347DD2" w:rsidRPr="00347DD2" w:rsidRDefault="00347DD2" w:rsidP="00347DD2">
            <w:pPr>
              <w:spacing w:after="0" w:line="240" w:lineRule="auto"/>
              <w:rPr>
                <w:rFonts w:ascii="Arial" w:eastAsia="Times New Roman" w:hAnsi="Arial" w:cs="Arial"/>
                <w:color w:val="000000"/>
                <w:kern w:val="0"/>
                <w:lang w:bidi="th-TH"/>
                <w14:ligatures w14:val="none"/>
              </w:rPr>
            </w:pPr>
            <w:r>
              <w:rPr>
                <w:rFonts w:ascii="Arial" w:hAnsi="Arial" w:cs="Arial"/>
                <w:color w:val="000000"/>
              </w:rPr>
              <w:t>Số ngày phải trả bình quân</w:t>
            </w:r>
          </w:p>
        </w:tc>
        <w:tc>
          <w:tcPr>
            <w:tcW w:w="1240" w:type="dxa"/>
            <w:shd w:val="clear" w:color="auto" w:fill="auto"/>
            <w:noWrap/>
            <w:vAlign w:val="bottom"/>
          </w:tcPr>
          <w:p w14:paraId="1CF70A70" w14:textId="1D481557" w:rsidR="00347DD2" w:rsidRPr="00347DD2" w:rsidRDefault="00347DD2" w:rsidP="00347DD2">
            <w:pPr>
              <w:spacing w:after="0" w:line="240" w:lineRule="auto"/>
              <w:jc w:val="center"/>
              <w:rPr>
                <w:rFonts w:ascii="Arial" w:eastAsia="Times New Roman" w:hAnsi="Arial" w:cs="Arial"/>
                <w:color w:val="000000"/>
                <w:kern w:val="0"/>
                <w:lang w:bidi="th-TH"/>
                <w14:ligatures w14:val="none"/>
              </w:rPr>
            </w:pPr>
            <w:r>
              <w:rPr>
                <w:rFonts w:ascii="Arial" w:hAnsi="Arial" w:cs="Arial"/>
                <w:color w:val="000000"/>
              </w:rPr>
              <w:t>1,390.67</w:t>
            </w:r>
          </w:p>
        </w:tc>
        <w:tc>
          <w:tcPr>
            <w:tcW w:w="1240" w:type="dxa"/>
            <w:shd w:val="clear" w:color="auto" w:fill="auto"/>
            <w:noWrap/>
            <w:vAlign w:val="bottom"/>
          </w:tcPr>
          <w:p w14:paraId="4C583B3C" w14:textId="3368893B" w:rsidR="00347DD2" w:rsidRPr="00347DD2" w:rsidRDefault="00347DD2" w:rsidP="00347DD2">
            <w:pPr>
              <w:spacing w:after="0" w:line="240" w:lineRule="auto"/>
              <w:jc w:val="center"/>
              <w:rPr>
                <w:rFonts w:ascii="Arial" w:eastAsia="Times New Roman" w:hAnsi="Arial" w:cs="Arial"/>
                <w:color w:val="000000"/>
                <w:kern w:val="0"/>
                <w:lang w:bidi="th-TH"/>
                <w14:ligatures w14:val="none"/>
              </w:rPr>
            </w:pPr>
            <w:r>
              <w:rPr>
                <w:rFonts w:ascii="Arial" w:hAnsi="Arial" w:cs="Arial"/>
                <w:color w:val="000000"/>
              </w:rPr>
              <w:t>1,936.75</w:t>
            </w:r>
          </w:p>
        </w:tc>
        <w:tc>
          <w:tcPr>
            <w:tcW w:w="1474" w:type="dxa"/>
            <w:shd w:val="clear" w:color="auto" w:fill="auto"/>
            <w:noWrap/>
            <w:vAlign w:val="bottom"/>
          </w:tcPr>
          <w:p w14:paraId="6FE550C0" w14:textId="67555CB1" w:rsidR="00347DD2" w:rsidRPr="00347DD2" w:rsidRDefault="00347DD2" w:rsidP="00347DD2">
            <w:pPr>
              <w:spacing w:after="0" w:line="240" w:lineRule="auto"/>
              <w:jc w:val="center"/>
              <w:rPr>
                <w:rFonts w:ascii="Arial" w:eastAsia="Times New Roman" w:hAnsi="Arial" w:cs="Arial"/>
                <w:color w:val="000000"/>
                <w:kern w:val="0"/>
                <w:lang w:bidi="th-TH"/>
                <w14:ligatures w14:val="none"/>
              </w:rPr>
            </w:pPr>
            <w:r>
              <w:rPr>
                <w:rFonts w:ascii="Arial" w:hAnsi="Arial" w:cs="Arial"/>
                <w:color w:val="000000"/>
              </w:rPr>
              <w:t>2,007.21</w:t>
            </w:r>
          </w:p>
        </w:tc>
      </w:tr>
    </w:tbl>
    <w:p w14:paraId="734DC0FE" w14:textId="77777777" w:rsidR="00347DD2" w:rsidRDefault="00347DD2" w:rsidP="00347DD2">
      <w:pPr>
        <w:spacing w:line="276" w:lineRule="auto"/>
        <w:rPr>
          <w:rFonts w:ascii="Times New Roman" w:hAnsi="Times New Roman" w:cs="Times New Roman"/>
          <w:sz w:val="26"/>
          <w:szCs w:val="26"/>
        </w:rPr>
      </w:pPr>
    </w:p>
    <w:p w14:paraId="3CC4EDCA" w14:textId="77777777" w:rsidR="00347DD2" w:rsidRDefault="00347DD2" w:rsidP="00347DD2">
      <w:pPr>
        <w:spacing w:line="276" w:lineRule="auto"/>
        <w:rPr>
          <w:rFonts w:ascii="Times New Roman" w:hAnsi="Times New Roman" w:cs="Times New Roman"/>
          <w:sz w:val="26"/>
          <w:szCs w:val="26"/>
        </w:rPr>
      </w:pPr>
    </w:p>
    <w:p w14:paraId="4DDF49A5" w14:textId="25C84C9B" w:rsidR="00347DD2" w:rsidRDefault="00347DD2" w:rsidP="00347DD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 xml:space="preserve">Số </w:t>
      </w:r>
      <w:r w:rsidRPr="00347DD2">
        <w:rPr>
          <w:rFonts w:ascii="Times New Roman" w:hAnsi="Times New Roman" w:cs="Times New Roman"/>
          <w:sz w:val="26"/>
          <w:szCs w:val="26"/>
        </w:rPr>
        <w:t>ngày tồn kho bình quân</w:t>
      </w:r>
      <w:r>
        <w:rPr>
          <w:rFonts w:ascii="Times New Roman" w:hAnsi="Times New Roman" w:cs="Times New Roman"/>
          <w:sz w:val="26"/>
          <w:szCs w:val="26"/>
        </w:rPr>
        <w:t xml:space="preserve"> tăng</w:t>
      </w:r>
      <w:r w:rsidRPr="00347DD2">
        <w:rPr>
          <w:rFonts w:ascii="Times New Roman" w:hAnsi="Times New Roman" w:cs="Times New Roman"/>
          <w:sz w:val="26"/>
          <w:szCs w:val="26"/>
        </w:rPr>
        <w:t xml:space="preserve"> từ 811.46 ngày (2021) lên 1,709.94 ngày (2022) có thể chỉ ra rằng công ty đang gặp khó khăn trong việc quản lý tồn kho. Mức tăng này có thể dẫn đến tăng chi phí lưu trữ và rủi ro hỏng hóc hoặc giảm giá cả của hàng tồn kho</w:t>
      </w:r>
      <w:r>
        <w:rPr>
          <w:rFonts w:ascii="Times New Roman" w:hAnsi="Times New Roman" w:cs="Times New Roman"/>
          <w:sz w:val="26"/>
          <w:szCs w:val="26"/>
        </w:rPr>
        <w:t>.</w:t>
      </w:r>
    </w:p>
    <w:p w14:paraId="31C62E3F" w14:textId="3BBC0AA7" w:rsidR="00347DD2" w:rsidRDefault="00347DD2" w:rsidP="00347DD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S</w:t>
      </w:r>
      <w:r w:rsidRPr="00347DD2">
        <w:rPr>
          <w:rFonts w:ascii="Times New Roman" w:hAnsi="Times New Roman" w:cs="Times New Roman"/>
          <w:sz w:val="26"/>
          <w:szCs w:val="26"/>
        </w:rPr>
        <w:t>ố ngày phải thu bình quân</w:t>
      </w:r>
      <w:r>
        <w:rPr>
          <w:rFonts w:ascii="Times New Roman" w:hAnsi="Times New Roman" w:cs="Times New Roman"/>
          <w:sz w:val="26"/>
          <w:szCs w:val="26"/>
        </w:rPr>
        <w:t xml:space="preserve"> cũng tăng</w:t>
      </w:r>
      <w:r w:rsidRPr="00347DD2">
        <w:rPr>
          <w:rFonts w:ascii="Times New Roman" w:hAnsi="Times New Roman" w:cs="Times New Roman"/>
          <w:sz w:val="26"/>
          <w:szCs w:val="26"/>
        </w:rPr>
        <w:t xml:space="preserve"> từ 1,072.01 ngày (2021) lên 1,292.91 ngày (2022) là dấu hiệu của việc chậm trễ trong quá trình thu nợ từ khách hàng. Điều này có thể tăng rủi ro không đòi được nhanh chóng và ảnh hưởng đến vòng quay vốn lưu động</w:t>
      </w:r>
      <w:r>
        <w:rPr>
          <w:rFonts w:ascii="Times New Roman" w:hAnsi="Times New Roman" w:cs="Times New Roman"/>
          <w:sz w:val="26"/>
          <w:szCs w:val="26"/>
        </w:rPr>
        <w:t>.</w:t>
      </w:r>
    </w:p>
    <w:p w14:paraId="4836BABE" w14:textId="1EFFE2BF" w:rsidR="00347DD2" w:rsidRDefault="00347DD2" w:rsidP="00347DD2">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Cũng như 2 chỉ số trên số</w:t>
      </w:r>
      <w:r w:rsidRPr="00347DD2">
        <w:rPr>
          <w:rFonts w:ascii="Times New Roman" w:hAnsi="Times New Roman" w:cs="Times New Roman"/>
          <w:sz w:val="26"/>
          <w:szCs w:val="26"/>
        </w:rPr>
        <w:t xml:space="preserve"> ngày phải trả bình quân</w:t>
      </w:r>
      <w:r>
        <w:rPr>
          <w:rFonts w:ascii="Times New Roman" w:hAnsi="Times New Roman" w:cs="Times New Roman"/>
          <w:sz w:val="26"/>
          <w:szCs w:val="26"/>
        </w:rPr>
        <w:t xml:space="preserve"> cũng tăng</w:t>
      </w:r>
      <w:r w:rsidRPr="00347DD2">
        <w:rPr>
          <w:rFonts w:ascii="Times New Roman" w:hAnsi="Times New Roman" w:cs="Times New Roman"/>
          <w:sz w:val="26"/>
          <w:szCs w:val="26"/>
        </w:rPr>
        <w:t xml:space="preserve"> từ 1,936.75 ngày (2021) lên 2,007.21 ngày (2022)</w:t>
      </w:r>
      <w:r>
        <w:rPr>
          <w:rFonts w:ascii="Times New Roman" w:hAnsi="Times New Roman" w:cs="Times New Roman"/>
          <w:sz w:val="26"/>
          <w:szCs w:val="26"/>
        </w:rPr>
        <w:t xml:space="preserve">, điều này </w:t>
      </w:r>
      <w:r w:rsidRPr="00347DD2">
        <w:rPr>
          <w:rFonts w:ascii="Times New Roman" w:hAnsi="Times New Roman" w:cs="Times New Roman"/>
          <w:sz w:val="26"/>
          <w:szCs w:val="26"/>
        </w:rPr>
        <w:t>chỉ ra rằng công ty đang mất thêm thời gian để thanh toán các khoản nợ</w:t>
      </w:r>
      <w:r>
        <w:rPr>
          <w:rFonts w:ascii="Times New Roman" w:hAnsi="Times New Roman" w:cs="Times New Roman"/>
          <w:sz w:val="26"/>
          <w:szCs w:val="26"/>
        </w:rPr>
        <w:t xml:space="preserve">, có thể sẽ làm </w:t>
      </w:r>
      <w:r w:rsidRPr="00347DD2">
        <w:rPr>
          <w:rFonts w:ascii="Times New Roman" w:hAnsi="Times New Roman" w:cs="Times New Roman"/>
          <w:sz w:val="26"/>
          <w:szCs w:val="26"/>
        </w:rPr>
        <w:t>tăng áp lực tài chính và ảnh hưởng đến mối quan hệ với các đối tác cung ứng</w:t>
      </w:r>
      <w:r>
        <w:rPr>
          <w:rFonts w:ascii="Times New Roman" w:hAnsi="Times New Roman" w:cs="Times New Roman"/>
          <w:sz w:val="26"/>
          <w:szCs w:val="26"/>
        </w:rPr>
        <w:t xml:space="preserve"> của công ty.</w:t>
      </w:r>
    </w:p>
    <w:p w14:paraId="2C4F9A4F" w14:textId="0A4B108A" w:rsidR="00347DD2" w:rsidRDefault="00347DD2" w:rsidP="00347DD2">
      <w:pPr>
        <w:spacing w:line="276" w:lineRule="auto"/>
        <w:rPr>
          <w:rFonts w:ascii="Times New Roman" w:hAnsi="Times New Roman" w:cs="Times New Roman"/>
          <w:sz w:val="26"/>
          <w:szCs w:val="26"/>
        </w:rPr>
      </w:pPr>
      <w:r w:rsidRPr="00347DD2">
        <w:rPr>
          <w:rFonts w:ascii="Times New Roman" w:hAnsi="Times New Roman" w:cs="Times New Roman"/>
          <w:sz w:val="26"/>
          <w:szCs w:val="26"/>
        </w:rPr>
        <w:t>Công ty cần chú ý đến việc quản lý tồn kho, thu nợ, và thanh toán nợ để tối ưu hóa vòng quay vốn lưu động. Sự gia tăng đột ngột trong các chỉ số này có thể gây ra các vấn đề liên quan đến quản lý tài chính và hiệu suất doanh nghiệp. Điều này đặt ra yêu cầu về việc cải thiện quy trình quản lý vốn và tăng cường khả năng thanh toán trong tương lai</w:t>
      </w:r>
      <w:r>
        <w:rPr>
          <w:rFonts w:ascii="Times New Roman" w:hAnsi="Times New Roman" w:cs="Times New Roman"/>
          <w:sz w:val="26"/>
          <w:szCs w:val="26"/>
        </w:rPr>
        <w:t xml:space="preserve"> cho DIC – Group.</w:t>
      </w:r>
    </w:p>
    <w:p w14:paraId="35A6130D" w14:textId="601AA35D" w:rsidR="00480E20" w:rsidRPr="009D5C75" w:rsidRDefault="00347DD2" w:rsidP="009D5C75">
      <w:pPr>
        <w:rPr>
          <w:rFonts w:ascii="Times New Roman" w:hAnsi="Times New Roman" w:cs="Times New Roman"/>
          <w:sz w:val="26"/>
          <w:szCs w:val="26"/>
        </w:rPr>
      </w:pPr>
      <w:r>
        <w:rPr>
          <w:rFonts w:ascii="Times New Roman" w:hAnsi="Times New Roman" w:cs="Times New Roman"/>
          <w:sz w:val="26"/>
          <w:szCs w:val="26"/>
        </w:rPr>
        <w:br w:type="page"/>
      </w:r>
    </w:p>
    <w:sectPr w:rsidR="00480E20" w:rsidRPr="009D5C75" w:rsidSect="00C34532">
      <w:pgSz w:w="16838" w:h="11906" w:orient="landscape" w:code="9"/>
      <w:pgMar w:top="1701"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393"/>
    <w:multiLevelType w:val="hybridMultilevel"/>
    <w:tmpl w:val="61927280"/>
    <w:lvl w:ilvl="0" w:tplc="2392DE9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DE5F53"/>
    <w:multiLevelType w:val="hybridMultilevel"/>
    <w:tmpl w:val="4440DC72"/>
    <w:lvl w:ilvl="0" w:tplc="73E22A9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7FFE"/>
    <w:multiLevelType w:val="multilevel"/>
    <w:tmpl w:val="0409001F"/>
    <w:lvl w:ilvl="0">
      <w:start w:val="1"/>
      <w:numFmt w:val="decimal"/>
      <w:lvlText w:val="%1."/>
      <w:lvlJc w:val="left"/>
      <w:pPr>
        <w:ind w:left="810" w:hanging="360"/>
      </w:pPr>
      <w:rPr>
        <w:rFonts w:hint="default"/>
      </w:r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3" w15:restartNumberingAfterBreak="0">
    <w:nsid w:val="1CB86EA3"/>
    <w:multiLevelType w:val="hybridMultilevel"/>
    <w:tmpl w:val="65644552"/>
    <w:lvl w:ilvl="0" w:tplc="246835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46202C0"/>
    <w:multiLevelType w:val="hybridMultilevel"/>
    <w:tmpl w:val="CF709110"/>
    <w:lvl w:ilvl="0" w:tplc="E8827A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E7281"/>
    <w:multiLevelType w:val="hybridMultilevel"/>
    <w:tmpl w:val="2728873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765950364">
    <w:abstractNumId w:val="4"/>
  </w:num>
  <w:num w:numId="2" w16cid:durableId="2141914515">
    <w:abstractNumId w:val="3"/>
  </w:num>
  <w:num w:numId="3" w16cid:durableId="12147507">
    <w:abstractNumId w:val="2"/>
  </w:num>
  <w:num w:numId="4" w16cid:durableId="1240870224">
    <w:abstractNumId w:val="0"/>
  </w:num>
  <w:num w:numId="5" w16cid:durableId="337465023">
    <w:abstractNumId w:val="5"/>
  </w:num>
  <w:num w:numId="6" w16cid:durableId="178569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638C2"/>
    <w:rsid w:val="001C08A2"/>
    <w:rsid w:val="001D3310"/>
    <w:rsid w:val="001F1CE4"/>
    <w:rsid w:val="00217F80"/>
    <w:rsid w:val="002378EC"/>
    <w:rsid w:val="00286B92"/>
    <w:rsid w:val="002B2C55"/>
    <w:rsid w:val="00307842"/>
    <w:rsid w:val="00347DD2"/>
    <w:rsid w:val="003632A2"/>
    <w:rsid w:val="003C238D"/>
    <w:rsid w:val="003C484E"/>
    <w:rsid w:val="003D6296"/>
    <w:rsid w:val="004377BB"/>
    <w:rsid w:val="00480E20"/>
    <w:rsid w:val="004C020C"/>
    <w:rsid w:val="004C2405"/>
    <w:rsid w:val="00592A2A"/>
    <w:rsid w:val="005A0D92"/>
    <w:rsid w:val="005A2005"/>
    <w:rsid w:val="005A6619"/>
    <w:rsid w:val="005E3BFB"/>
    <w:rsid w:val="00747D04"/>
    <w:rsid w:val="007D067A"/>
    <w:rsid w:val="007E5A27"/>
    <w:rsid w:val="008668A7"/>
    <w:rsid w:val="008B1A2C"/>
    <w:rsid w:val="00945CD7"/>
    <w:rsid w:val="009C2A9B"/>
    <w:rsid w:val="009C769D"/>
    <w:rsid w:val="009D5C75"/>
    <w:rsid w:val="00A169E3"/>
    <w:rsid w:val="00A53FCC"/>
    <w:rsid w:val="00A67BF5"/>
    <w:rsid w:val="00AA0478"/>
    <w:rsid w:val="00AD5385"/>
    <w:rsid w:val="00B13A35"/>
    <w:rsid w:val="00B66947"/>
    <w:rsid w:val="00BA775F"/>
    <w:rsid w:val="00BB235A"/>
    <w:rsid w:val="00C34532"/>
    <w:rsid w:val="00C74F25"/>
    <w:rsid w:val="00DB3325"/>
    <w:rsid w:val="00DC2CA1"/>
    <w:rsid w:val="00DF0B70"/>
    <w:rsid w:val="00E741B4"/>
    <w:rsid w:val="00EC58C9"/>
    <w:rsid w:val="00F531D6"/>
    <w:rsid w:val="00FA0C3D"/>
    <w:rsid w:val="00FA2347"/>
    <w:rsid w:val="00FB7754"/>
    <w:rsid w:val="00FC5C2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93EE"/>
  <w15:chartTrackingRefBased/>
  <w15:docId w15:val="{9069C6FA-4E68-4016-ACBA-E77DDFCC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92"/>
    <w:pPr>
      <w:ind w:left="720"/>
      <w:contextualSpacing/>
    </w:pPr>
  </w:style>
  <w:style w:type="character" w:styleId="Hyperlink">
    <w:name w:val="Hyperlink"/>
    <w:basedOn w:val="DefaultParagraphFont"/>
    <w:uiPriority w:val="99"/>
    <w:unhideWhenUsed/>
    <w:rsid w:val="00480E20"/>
    <w:rPr>
      <w:color w:val="0563C1" w:themeColor="hyperlink"/>
      <w:u w:val="single"/>
    </w:rPr>
  </w:style>
  <w:style w:type="character" w:styleId="UnresolvedMention">
    <w:name w:val="Unresolved Mention"/>
    <w:basedOn w:val="DefaultParagraphFont"/>
    <w:uiPriority w:val="99"/>
    <w:semiHidden/>
    <w:unhideWhenUsed/>
    <w:rsid w:val="00480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0386">
      <w:bodyDiv w:val="1"/>
      <w:marLeft w:val="0"/>
      <w:marRight w:val="0"/>
      <w:marTop w:val="0"/>
      <w:marBottom w:val="0"/>
      <w:divBdr>
        <w:top w:val="none" w:sz="0" w:space="0" w:color="auto"/>
        <w:left w:val="none" w:sz="0" w:space="0" w:color="auto"/>
        <w:bottom w:val="none" w:sz="0" w:space="0" w:color="auto"/>
        <w:right w:val="none" w:sz="0" w:space="0" w:color="auto"/>
      </w:divBdr>
    </w:div>
    <w:div w:id="101262976">
      <w:bodyDiv w:val="1"/>
      <w:marLeft w:val="0"/>
      <w:marRight w:val="0"/>
      <w:marTop w:val="0"/>
      <w:marBottom w:val="0"/>
      <w:divBdr>
        <w:top w:val="none" w:sz="0" w:space="0" w:color="auto"/>
        <w:left w:val="none" w:sz="0" w:space="0" w:color="auto"/>
        <w:bottom w:val="none" w:sz="0" w:space="0" w:color="auto"/>
        <w:right w:val="none" w:sz="0" w:space="0" w:color="auto"/>
      </w:divBdr>
    </w:div>
    <w:div w:id="304703019">
      <w:bodyDiv w:val="1"/>
      <w:marLeft w:val="0"/>
      <w:marRight w:val="0"/>
      <w:marTop w:val="0"/>
      <w:marBottom w:val="0"/>
      <w:divBdr>
        <w:top w:val="none" w:sz="0" w:space="0" w:color="auto"/>
        <w:left w:val="none" w:sz="0" w:space="0" w:color="auto"/>
        <w:bottom w:val="none" w:sz="0" w:space="0" w:color="auto"/>
        <w:right w:val="none" w:sz="0" w:space="0" w:color="auto"/>
      </w:divBdr>
      <w:divsChild>
        <w:div w:id="1159887402">
          <w:marLeft w:val="0"/>
          <w:marRight w:val="0"/>
          <w:marTop w:val="0"/>
          <w:marBottom w:val="0"/>
          <w:divBdr>
            <w:top w:val="single" w:sz="2" w:space="0" w:color="D9D9E3"/>
            <w:left w:val="single" w:sz="2" w:space="0" w:color="D9D9E3"/>
            <w:bottom w:val="single" w:sz="2" w:space="0" w:color="D9D9E3"/>
            <w:right w:val="single" w:sz="2" w:space="0" w:color="D9D9E3"/>
          </w:divBdr>
          <w:divsChild>
            <w:div w:id="379204600">
              <w:marLeft w:val="0"/>
              <w:marRight w:val="0"/>
              <w:marTop w:val="0"/>
              <w:marBottom w:val="0"/>
              <w:divBdr>
                <w:top w:val="single" w:sz="2" w:space="0" w:color="D9D9E3"/>
                <w:left w:val="single" w:sz="2" w:space="0" w:color="D9D9E3"/>
                <w:bottom w:val="single" w:sz="2" w:space="0" w:color="D9D9E3"/>
                <w:right w:val="single" w:sz="2" w:space="0" w:color="D9D9E3"/>
              </w:divBdr>
              <w:divsChild>
                <w:div w:id="1740203222">
                  <w:marLeft w:val="0"/>
                  <w:marRight w:val="0"/>
                  <w:marTop w:val="0"/>
                  <w:marBottom w:val="0"/>
                  <w:divBdr>
                    <w:top w:val="single" w:sz="2" w:space="0" w:color="D9D9E3"/>
                    <w:left w:val="single" w:sz="2" w:space="0" w:color="D9D9E3"/>
                    <w:bottom w:val="single" w:sz="2" w:space="0" w:color="D9D9E3"/>
                    <w:right w:val="single" w:sz="2" w:space="0" w:color="D9D9E3"/>
                  </w:divBdr>
                  <w:divsChild>
                    <w:div w:id="573974106">
                      <w:marLeft w:val="0"/>
                      <w:marRight w:val="0"/>
                      <w:marTop w:val="0"/>
                      <w:marBottom w:val="0"/>
                      <w:divBdr>
                        <w:top w:val="single" w:sz="2" w:space="0" w:color="D9D9E3"/>
                        <w:left w:val="single" w:sz="2" w:space="0" w:color="D9D9E3"/>
                        <w:bottom w:val="single" w:sz="2" w:space="0" w:color="D9D9E3"/>
                        <w:right w:val="single" w:sz="2" w:space="0" w:color="D9D9E3"/>
                      </w:divBdr>
                      <w:divsChild>
                        <w:div w:id="286933213">
                          <w:marLeft w:val="0"/>
                          <w:marRight w:val="0"/>
                          <w:marTop w:val="0"/>
                          <w:marBottom w:val="0"/>
                          <w:divBdr>
                            <w:top w:val="none" w:sz="0" w:space="0" w:color="auto"/>
                            <w:left w:val="none" w:sz="0" w:space="0" w:color="auto"/>
                            <w:bottom w:val="none" w:sz="0" w:space="0" w:color="auto"/>
                            <w:right w:val="none" w:sz="0" w:space="0" w:color="auto"/>
                          </w:divBdr>
                          <w:divsChild>
                            <w:div w:id="144854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315731">
                                  <w:marLeft w:val="0"/>
                                  <w:marRight w:val="0"/>
                                  <w:marTop w:val="0"/>
                                  <w:marBottom w:val="0"/>
                                  <w:divBdr>
                                    <w:top w:val="single" w:sz="2" w:space="0" w:color="D9D9E3"/>
                                    <w:left w:val="single" w:sz="2" w:space="0" w:color="D9D9E3"/>
                                    <w:bottom w:val="single" w:sz="2" w:space="0" w:color="D9D9E3"/>
                                    <w:right w:val="single" w:sz="2" w:space="0" w:color="D9D9E3"/>
                                  </w:divBdr>
                                  <w:divsChild>
                                    <w:div w:id="544608253">
                                      <w:marLeft w:val="0"/>
                                      <w:marRight w:val="0"/>
                                      <w:marTop w:val="0"/>
                                      <w:marBottom w:val="0"/>
                                      <w:divBdr>
                                        <w:top w:val="single" w:sz="2" w:space="0" w:color="D9D9E3"/>
                                        <w:left w:val="single" w:sz="2" w:space="0" w:color="D9D9E3"/>
                                        <w:bottom w:val="single" w:sz="2" w:space="0" w:color="D9D9E3"/>
                                        <w:right w:val="single" w:sz="2" w:space="0" w:color="D9D9E3"/>
                                      </w:divBdr>
                                      <w:divsChild>
                                        <w:div w:id="1443650681">
                                          <w:marLeft w:val="0"/>
                                          <w:marRight w:val="0"/>
                                          <w:marTop w:val="0"/>
                                          <w:marBottom w:val="0"/>
                                          <w:divBdr>
                                            <w:top w:val="single" w:sz="2" w:space="0" w:color="D9D9E3"/>
                                            <w:left w:val="single" w:sz="2" w:space="0" w:color="D9D9E3"/>
                                            <w:bottom w:val="single" w:sz="2" w:space="0" w:color="D9D9E3"/>
                                            <w:right w:val="single" w:sz="2" w:space="0" w:color="D9D9E3"/>
                                          </w:divBdr>
                                          <w:divsChild>
                                            <w:div w:id="687030201">
                                              <w:marLeft w:val="0"/>
                                              <w:marRight w:val="0"/>
                                              <w:marTop w:val="0"/>
                                              <w:marBottom w:val="0"/>
                                              <w:divBdr>
                                                <w:top w:val="single" w:sz="2" w:space="0" w:color="D9D9E3"/>
                                                <w:left w:val="single" w:sz="2" w:space="0" w:color="D9D9E3"/>
                                                <w:bottom w:val="single" w:sz="2" w:space="0" w:color="D9D9E3"/>
                                                <w:right w:val="single" w:sz="2" w:space="0" w:color="D9D9E3"/>
                                              </w:divBdr>
                                              <w:divsChild>
                                                <w:div w:id="1395010140">
                                                  <w:marLeft w:val="0"/>
                                                  <w:marRight w:val="0"/>
                                                  <w:marTop w:val="0"/>
                                                  <w:marBottom w:val="0"/>
                                                  <w:divBdr>
                                                    <w:top w:val="single" w:sz="2" w:space="0" w:color="D9D9E3"/>
                                                    <w:left w:val="single" w:sz="2" w:space="0" w:color="D9D9E3"/>
                                                    <w:bottom w:val="single" w:sz="2" w:space="0" w:color="D9D9E3"/>
                                                    <w:right w:val="single" w:sz="2" w:space="0" w:color="D9D9E3"/>
                                                  </w:divBdr>
                                                  <w:divsChild>
                                                    <w:div w:id="212503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067019">
                                              <w:marLeft w:val="0"/>
                                              <w:marRight w:val="0"/>
                                              <w:marTop w:val="0"/>
                                              <w:marBottom w:val="0"/>
                                              <w:divBdr>
                                                <w:top w:val="single" w:sz="2" w:space="0" w:color="D9D9E3"/>
                                                <w:left w:val="single" w:sz="2" w:space="0" w:color="D9D9E3"/>
                                                <w:bottom w:val="single" w:sz="2" w:space="0" w:color="D9D9E3"/>
                                                <w:right w:val="single" w:sz="2" w:space="0" w:color="D9D9E3"/>
                                              </w:divBdr>
                                              <w:divsChild>
                                                <w:div w:id="80767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356940">
                          <w:marLeft w:val="0"/>
                          <w:marRight w:val="0"/>
                          <w:marTop w:val="0"/>
                          <w:marBottom w:val="0"/>
                          <w:divBdr>
                            <w:top w:val="none" w:sz="0" w:space="0" w:color="auto"/>
                            <w:left w:val="none" w:sz="0" w:space="0" w:color="auto"/>
                            <w:bottom w:val="none" w:sz="0" w:space="0" w:color="auto"/>
                            <w:right w:val="none" w:sz="0" w:space="0" w:color="auto"/>
                          </w:divBdr>
                          <w:divsChild>
                            <w:div w:id="98647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895155">
                                  <w:marLeft w:val="0"/>
                                  <w:marRight w:val="0"/>
                                  <w:marTop w:val="0"/>
                                  <w:marBottom w:val="0"/>
                                  <w:divBdr>
                                    <w:top w:val="single" w:sz="2" w:space="0" w:color="D9D9E3"/>
                                    <w:left w:val="single" w:sz="2" w:space="0" w:color="D9D9E3"/>
                                    <w:bottom w:val="single" w:sz="2" w:space="0" w:color="D9D9E3"/>
                                    <w:right w:val="single" w:sz="2" w:space="0" w:color="D9D9E3"/>
                                  </w:divBdr>
                                  <w:divsChild>
                                    <w:div w:id="1188174802">
                                      <w:marLeft w:val="0"/>
                                      <w:marRight w:val="0"/>
                                      <w:marTop w:val="0"/>
                                      <w:marBottom w:val="0"/>
                                      <w:divBdr>
                                        <w:top w:val="single" w:sz="2" w:space="0" w:color="D9D9E3"/>
                                        <w:left w:val="single" w:sz="2" w:space="0" w:color="D9D9E3"/>
                                        <w:bottom w:val="single" w:sz="2" w:space="0" w:color="D9D9E3"/>
                                        <w:right w:val="single" w:sz="2" w:space="0" w:color="D9D9E3"/>
                                      </w:divBdr>
                                      <w:divsChild>
                                        <w:div w:id="1899702714">
                                          <w:marLeft w:val="0"/>
                                          <w:marRight w:val="0"/>
                                          <w:marTop w:val="0"/>
                                          <w:marBottom w:val="0"/>
                                          <w:divBdr>
                                            <w:top w:val="single" w:sz="2" w:space="0" w:color="D9D9E3"/>
                                            <w:left w:val="single" w:sz="2" w:space="0" w:color="D9D9E3"/>
                                            <w:bottom w:val="single" w:sz="2" w:space="0" w:color="D9D9E3"/>
                                            <w:right w:val="single" w:sz="2" w:space="0" w:color="D9D9E3"/>
                                          </w:divBdr>
                                          <w:divsChild>
                                            <w:div w:id="1903057372">
                                              <w:marLeft w:val="0"/>
                                              <w:marRight w:val="0"/>
                                              <w:marTop w:val="0"/>
                                              <w:marBottom w:val="0"/>
                                              <w:divBdr>
                                                <w:top w:val="single" w:sz="2" w:space="0" w:color="D9D9E3"/>
                                                <w:left w:val="single" w:sz="2" w:space="0" w:color="D9D9E3"/>
                                                <w:bottom w:val="single" w:sz="2" w:space="0" w:color="D9D9E3"/>
                                                <w:right w:val="single" w:sz="2" w:space="0" w:color="D9D9E3"/>
                                              </w:divBdr>
                                              <w:divsChild>
                                                <w:div w:id="71005515">
                                                  <w:marLeft w:val="0"/>
                                                  <w:marRight w:val="0"/>
                                                  <w:marTop w:val="0"/>
                                                  <w:marBottom w:val="0"/>
                                                  <w:divBdr>
                                                    <w:top w:val="single" w:sz="2" w:space="0" w:color="D9D9E3"/>
                                                    <w:left w:val="single" w:sz="2" w:space="0" w:color="D9D9E3"/>
                                                    <w:bottom w:val="single" w:sz="2" w:space="0" w:color="D9D9E3"/>
                                                    <w:right w:val="single" w:sz="2" w:space="0" w:color="D9D9E3"/>
                                                  </w:divBdr>
                                                  <w:divsChild>
                                                    <w:div w:id="180900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261652">
                                      <w:marLeft w:val="0"/>
                                      <w:marRight w:val="0"/>
                                      <w:marTop w:val="0"/>
                                      <w:marBottom w:val="0"/>
                                      <w:divBdr>
                                        <w:top w:val="single" w:sz="2" w:space="0" w:color="D9D9E3"/>
                                        <w:left w:val="single" w:sz="2" w:space="0" w:color="D9D9E3"/>
                                        <w:bottom w:val="single" w:sz="2" w:space="0" w:color="D9D9E3"/>
                                        <w:right w:val="single" w:sz="2" w:space="0" w:color="D9D9E3"/>
                                      </w:divBdr>
                                      <w:divsChild>
                                        <w:div w:id="1499076533">
                                          <w:marLeft w:val="0"/>
                                          <w:marRight w:val="0"/>
                                          <w:marTop w:val="0"/>
                                          <w:marBottom w:val="0"/>
                                          <w:divBdr>
                                            <w:top w:val="single" w:sz="2" w:space="0" w:color="D9D9E3"/>
                                            <w:left w:val="single" w:sz="2" w:space="0" w:color="D9D9E3"/>
                                            <w:bottom w:val="single" w:sz="2" w:space="0" w:color="D9D9E3"/>
                                            <w:right w:val="single" w:sz="2" w:space="0" w:color="D9D9E3"/>
                                          </w:divBdr>
                                        </w:div>
                                        <w:div w:id="1550454270">
                                          <w:marLeft w:val="0"/>
                                          <w:marRight w:val="0"/>
                                          <w:marTop w:val="0"/>
                                          <w:marBottom w:val="0"/>
                                          <w:divBdr>
                                            <w:top w:val="single" w:sz="2" w:space="0" w:color="D9D9E3"/>
                                            <w:left w:val="single" w:sz="2" w:space="0" w:color="D9D9E3"/>
                                            <w:bottom w:val="single" w:sz="2" w:space="0" w:color="D9D9E3"/>
                                            <w:right w:val="single" w:sz="2" w:space="0" w:color="D9D9E3"/>
                                          </w:divBdr>
                                          <w:divsChild>
                                            <w:div w:id="237861162">
                                              <w:marLeft w:val="0"/>
                                              <w:marRight w:val="0"/>
                                              <w:marTop w:val="0"/>
                                              <w:marBottom w:val="0"/>
                                              <w:divBdr>
                                                <w:top w:val="single" w:sz="2" w:space="0" w:color="D9D9E3"/>
                                                <w:left w:val="single" w:sz="2" w:space="0" w:color="D9D9E3"/>
                                                <w:bottom w:val="single" w:sz="2" w:space="0" w:color="D9D9E3"/>
                                                <w:right w:val="single" w:sz="2" w:space="0" w:color="D9D9E3"/>
                                              </w:divBdr>
                                              <w:divsChild>
                                                <w:div w:id="564225935">
                                                  <w:marLeft w:val="0"/>
                                                  <w:marRight w:val="0"/>
                                                  <w:marTop w:val="0"/>
                                                  <w:marBottom w:val="0"/>
                                                  <w:divBdr>
                                                    <w:top w:val="single" w:sz="2" w:space="0" w:color="D9D9E3"/>
                                                    <w:left w:val="single" w:sz="2" w:space="0" w:color="D9D9E3"/>
                                                    <w:bottom w:val="single" w:sz="2" w:space="0" w:color="D9D9E3"/>
                                                    <w:right w:val="single" w:sz="2" w:space="0" w:color="D9D9E3"/>
                                                  </w:divBdr>
                                                  <w:divsChild>
                                                    <w:div w:id="185938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0550683">
          <w:marLeft w:val="0"/>
          <w:marRight w:val="0"/>
          <w:marTop w:val="0"/>
          <w:marBottom w:val="0"/>
          <w:divBdr>
            <w:top w:val="none" w:sz="0" w:space="0" w:color="auto"/>
            <w:left w:val="none" w:sz="0" w:space="0" w:color="auto"/>
            <w:bottom w:val="none" w:sz="0" w:space="0" w:color="auto"/>
            <w:right w:val="none" w:sz="0" w:space="0" w:color="auto"/>
          </w:divBdr>
        </w:div>
      </w:divsChild>
    </w:div>
    <w:div w:id="318656990">
      <w:bodyDiv w:val="1"/>
      <w:marLeft w:val="0"/>
      <w:marRight w:val="0"/>
      <w:marTop w:val="0"/>
      <w:marBottom w:val="0"/>
      <w:divBdr>
        <w:top w:val="none" w:sz="0" w:space="0" w:color="auto"/>
        <w:left w:val="none" w:sz="0" w:space="0" w:color="auto"/>
        <w:bottom w:val="none" w:sz="0" w:space="0" w:color="auto"/>
        <w:right w:val="none" w:sz="0" w:space="0" w:color="auto"/>
      </w:divBdr>
    </w:div>
    <w:div w:id="336928180">
      <w:bodyDiv w:val="1"/>
      <w:marLeft w:val="0"/>
      <w:marRight w:val="0"/>
      <w:marTop w:val="0"/>
      <w:marBottom w:val="0"/>
      <w:divBdr>
        <w:top w:val="none" w:sz="0" w:space="0" w:color="auto"/>
        <w:left w:val="none" w:sz="0" w:space="0" w:color="auto"/>
        <w:bottom w:val="none" w:sz="0" w:space="0" w:color="auto"/>
        <w:right w:val="none" w:sz="0" w:space="0" w:color="auto"/>
      </w:divBdr>
    </w:div>
    <w:div w:id="366373666">
      <w:bodyDiv w:val="1"/>
      <w:marLeft w:val="0"/>
      <w:marRight w:val="0"/>
      <w:marTop w:val="0"/>
      <w:marBottom w:val="0"/>
      <w:divBdr>
        <w:top w:val="none" w:sz="0" w:space="0" w:color="auto"/>
        <w:left w:val="none" w:sz="0" w:space="0" w:color="auto"/>
        <w:bottom w:val="none" w:sz="0" w:space="0" w:color="auto"/>
        <w:right w:val="none" w:sz="0" w:space="0" w:color="auto"/>
      </w:divBdr>
    </w:div>
    <w:div w:id="374088348">
      <w:bodyDiv w:val="1"/>
      <w:marLeft w:val="0"/>
      <w:marRight w:val="0"/>
      <w:marTop w:val="0"/>
      <w:marBottom w:val="0"/>
      <w:divBdr>
        <w:top w:val="none" w:sz="0" w:space="0" w:color="auto"/>
        <w:left w:val="none" w:sz="0" w:space="0" w:color="auto"/>
        <w:bottom w:val="none" w:sz="0" w:space="0" w:color="auto"/>
        <w:right w:val="none" w:sz="0" w:space="0" w:color="auto"/>
      </w:divBdr>
    </w:div>
    <w:div w:id="473058837">
      <w:bodyDiv w:val="1"/>
      <w:marLeft w:val="0"/>
      <w:marRight w:val="0"/>
      <w:marTop w:val="0"/>
      <w:marBottom w:val="0"/>
      <w:divBdr>
        <w:top w:val="none" w:sz="0" w:space="0" w:color="auto"/>
        <w:left w:val="none" w:sz="0" w:space="0" w:color="auto"/>
        <w:bottom w:val="none" w:sz="0" w:space="0" w:color="auto"/>
        <w:right w:val="none" w:sz="0" w:space="0" w:color="auto"/>
      </w:divBdr>
    </w:div>
    <w:div w:id="567034265">
      <w:bodyDiv w:val="1"/>
      <w:marLeft w:val="0"/>
      <w:marRight w:val="0"/>
      <w:marTop w:val="0"/>
      <w:marBottom w:val="0"/>
      <w:divBdr>
        <w:top w:val="none" w:sz="0" w:space="0" w:color="auto"/>
        <w:left w:val="none" w:sz="0" w:space="0" w:color="auto"/>
        <w:bottom w:val="none" w:sz="0" w:space="0" w:color="auto"/>
        <w:right w:val="none" w:sz="0" w:space="0" w:color="auto"/>
      </w:divBdr>
    </w:div>
    <w:div w:id="763575862">
      <w:bodyDiv w:val="1"/>
      <w:marLeft w:val="0"/>
      <w:marRight w:val="0"/>
      <w:marTop w:val="0"/>
      <w:marBottom w:val="0"/>
      <w:divBdr>
        <w:top w:val="none" w:sz="0" w:space="0" w:color="auto"/>
        <w:left w:val="none" w:sz="0" w:space="0" w:color="auto"/>
        <w:bottom w:val="none" w:sz="0" w:space="0" w:color="auto"/>
        <w:right w:val="none" w:sz="0" w:space="0" w:color="auto"/>
      </w:divBdr>
    </w:div>
    <w:div w:id="822234389">
      <w:bodyDiv w:val="1"/>
      <w:marLeft w:val="0"/>
      <w:marRight w:val="0"/>
      <w:marTop w:val="0"/>
      <w:marBottom w:val="0"/>
      <w:divBdr>
        <w:top w:val="none" w:sz="0" w:space="0" w:color="auto"/>
        <w:left w:val="none" w:sz="0" w:space="0" w:color="auto"/>
        <w:bottom w:val="none" w:sz="0" w:space="0" w:color="auto"/>
        <w:right w:val="none" w:sz="0" w:space="0" w:color="auto"/>
      </w:divBdr>
    </w:div>
    <w:div w:id="848911279">
      <w:bodyDiv w:val="1"/>
      <w:marLeft w:val="0"/>
      <w:marRight w:val="0"/>
      <w:marTop w:val="0"/>
      <w:marBottom w:val="0"/>
      <w:divBdr>
        <w:top w:val="none" w:sz="0" w:space="0" w:color="auto"/>
        <w:left w:val="none" w:sz="0" w:space="0" w:color="auto"/>
        <w:bottom w:val="none" w:sz="0" w:space="0" w:color="auto"/>
        <w:right w:val="none" w:sz="0" w:space="0" w:color="auto"/>
      </w:divBdr>
    </w:div>
    <w:div w:id="914973906">
      <w:bodyDiv w:val="1"/>
      <w:marLeft w:val="0"/>
      <w:marRight w:val="0"/>
      <w:marTop w:val="0"/>
      <w:marBottom w:val="0"/>
      <w:divBdr>
        <w:top w:val="none" w:sz="0" w:space="0" w:color="auto"/>
        <w:left w:val="none" w:sz="0" w:space="0" w:color="auto"/>
        <w:bottom w:val="none" w:sz="0" w:space="0" w:color="auto"/>
        <w:right w:val="none" w:sz="0" w:space="0" w:color="auto"/>
      </w:divBdr>
    </w:div>
    <w:div w:id="959069616">
      <w:bodyDiv w:val="1"/>
      <w:marLeft w:val="0"/>
      <w:marRight w:val="0"/>
      <w:marTop w:val="0"/>
      <w:marBottom w:val="0"/>
      <w:divBdr>
        <w:top w:val="none" w:sz="0" w:space="0" w:color="auto"/>
        <w:left w:val="none" w:sz="0" w:space="0" w:color="auto"/>
        <w:bottom w:val="none" w:sz="0" w:space="0" w:color="auto"/>
        <w:right w:val="none" w:sz="0" w:space="0" w:color="auto"/>
      </w:divBdr>
    </w:div>
    <w:div w:id="1283417637">
      <w:bodyDiv w:val="1"/>
      <w:marLeft w:val="0"/>
      <w:marRight w:val="0"/>
      <w:marTop w:val="0"/>
      <w:marBottom w:val="0"/>
      <w:divBdr>
        <w:top w:val="none" w:sz="0" w:space="0" w:color="auto"/>
        <w:left w:val="none" w:sz="0" w:space="0" w:color="auto"/>
        <w:bottom w:val="none" w:sz="0" w:space="0" w:color="auto"/>
        <w:right w:val="none" w:sz="0" w:space="0" w:color="auto"/>
      </w:divBdr>
    </w:div>
    <w:div w:id="1575506542">
      <w:bodyDiv w:val="1"/>
      <w:marLeft w:val="0"/>
      <w:marRight w:val="0"/>
      <w:marTop w:val="0"/>
      <w:marBottom w:val="0"/>
      <w:divBdr>
        <w:top w:val="none" w:sz="0" w:space="0" w:color="auto"/>
        <w:left w:val="none" w:sz="0" w:space="0" w:color="auto"/>
        <w:bottom w:val="none" w:sz="0" w:space="0" w:color="auto"/>
        <w:right w:val="none" w:sz="0" w:space="0" w:color="auto"/>
      </w:divBdr>
    </w:div>
    <w:div w:id="1579754449">
      <w:bodyDiv w:val="1"/>
      <w:marLeft w:val="0"/>
      <w:marRight w:val="0"/>
      <w:marTop w:val="0"/>
      <w:marBottom w:val="0"/>
      <w:divBdr>
        <w:top w:val="none" w:sz="0" w:space="0" w:color="auto"/>
        <w:left w:val="none" w:sz="0" w:space="0" w:color="auto"/>
        <w:bottom w:val="none" w:sz="0" w:space="0" w:color="auto"/>
        <w:right w:val="none" w:sz="0" w:space="0" w:color="auto"/>
      </w:divBdr>
    </w:div>
    <w:div w:id="1616860479">
      <w:bodyDiv w:val="1"/>
      <w:marLeft w:val="0"/>
      <w:marRight w:val="0"/>
      <w:marTop w:val="0"/>
      <w:marBottom w:val="0"/>
      <w:divBdr>
        <w:top w:val="none" w:sz="0" w:space="0" w:color="auto"/>
        <w:left w:val="none" w:sz="0" w:space="0" w:color="auto"/>
        <w:bottom w:val="none" w:sz="0" w:space="0" w:color="auto"/>
        <w:right w:val="none" w:sz="0" w:space="0" w:color="auto"/>
      </w:divBdr>
    </w:div>
    <w:div w:id="1664625458">
      <w:bodyDiv w:val="1"/>
      <w:marLeft w:val="0"/>
      <w:marRight w:val="0"/>
      <w:marTop w:val="0"/>
      <w:marBottom w:val="0"/>
      <w:divBdr>
        <w:top w:val="none" w:sz="0" w:space="0" w:color="auto"/>
        <w:left w:val="none" w:sz="0" w:space="0" w:color="auto"/>
        <w:bottom w:val="none" w:sz="0" w:space="0" w:color="auto"/>
        <w:right w:val="none" w:sz="0" w:space="0" w:color="auto"/>
      </w:divBdr>
    </w:div>
    <w:div w:id="1760253835">
      <w:bodyDiv w:val="1"/>
      <w:marLeft w:val="0"/>
      <w:marRight w:val="0"/>
      <w:marTop w:val="0"/>
      <w:marBottom w:val="0"/>
      <w:divBdr>
        <w:top w:val="none" w:sz="0" w:space="0" w:color="auto"/>
        <w:left w:val="none" w:sz="0" w:space="0" w:color="auto"/>
        <w:bottom w:val="none" w:sz="0" w:space="0" w:color="auto"/>
        <w:right w:val="none" w:sz="0" w:space="0" w:color="auto"/>
      </w:divBdr>
    </w:div>
    <w:div w:id="1898590152">
      <w:bodyDiv w:val="1"/>
      <w:marLeft w:val="0"/>
      <w:marRight w:val="0"/>
      <w:marTop w:val="0"/>
      <w:marBottom w:val="0"/>
      <w:divBdr>
        <w:top w:val="none" w:sz="0" w:space="0" w:color="auto"/>
        <w:left w:val="none" w:sz="0" w:space="0" w:color="auto"/>
        <w:bottom w:val="none" w:sz="0" w:space="0" w:color="auto"/>
        <w:right w:val="none" w:sz="0" w:space="0" w:color="auto"/>
      </w:divBdr>
    </w:div>
    <w:div w:id="203627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11</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Anh Tran</cp:lastModifiedBy>
  <cp:revision>33</cp:revision>
  <dcterms:created xsi:type="dcterms:W3CDTF">2023-11-19T05:24:00Z</dcterms:created>
  <dcterms:modified xsi:type="dcterms:W3CDTF">2023-11-25T11:23:00Z</dcterms:modified>
</cp:coreProperties>
</file>