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76" w:lineRule="auto"/>
        <w:jc w:val="center"/>
      </w:pPr>
      <w:r>
        <w:rPr>
          <w:b/>
          <w:color w:val="1F4E79"/>
          <w:sz w:val="28"/>
        </w:rPr>
        <w:t>BẢN PHÂN CÔNG NHIỆM VỤ THÀNH VIÊN 3: KỸ SƯ TÍCH HỢP &amp; ĐẢM BẢO CHẤT LƯỢNG (INTEGRATION &amp; QA ENGINEER)</w:t>
      </w:r>
    </w:p>
    <w:p>
      <w:pPr>
        <w:spacing w:before="0" w:after="360" w:line="276" w:lineRule="auto"/>
        <w:jc w:val="center"/>
      </w:pPr>
      <w:r>
        <w:rPr>
          <w:b/>
        </w:rPr>
        <w:t xml:space="preserve">Mức độ đóng góp: </w:t>
      </w:r>
      <w:r>
        <w:rPr>
          <w:color w:val="1F4E79"/>
        </w:rPr>
        <w:t>TRUNG BÌNH (MEDIUM) - 20% khối lượng dự án</w:t>
      </w:r>
    </w:p>
    <w:p>
      <w:pPr>
        <w:pStyle w:val="Heading1"/>
      </w:pPr>
      <w:r>
        <w:rPr>
          <w:color w:val="1F4E79"/>
        </w:rPr>
        <w:t>1. Mục Tiêu Chính</w:t>
      </w:r>
    </w:p>
    <w:p>
      <w:pPr>
        <w:spacing w:before="0" w:after="120" w:line="276" w:lineRule="auto"/>
      </w:pPr>
      <w:r>
        <w:t>Thành viên này đóng vai trò cầu nối, tích hợp 'bộ não' AI của Thành viên 1 và 'động cơ tối ưu' của Thành viên 2 thành một ứng dụng hoàn chỉnh có thể chạy thực tế. Nhiệm vụ chính xoay quanh xây dựng giao diện Webcam thời gian thực, lập trình các chương trình đo đạc hiệu năng phần cứng, kiểm thử độ chính xác theo tiêu chuẩn quốc tế ISO và viết tài liệu hướng dẫn.</w:t>
      </w:r>
    </w:p>
    <w:p>
      <w:pPr>
        <w:pStyle w:val="Heading1"/>
      </w:pPr>
      <w:r>
        <w:rPr>
          <w:color w:val="1F4E79"/>
        </w:rPr>
        <w:t>2. Các Tệp Tin Đảm Nhận Trong Dự Án</w:t>
      </w:r>
    </w:p>
    <w:tbl>
      <w:tblPr>
        <w:tblW w:type="auto" w:w="0"/>
        <w:jc w:val="center"/>
        <w:tblLook w:firstColumn="1" w:firstRow="1" w:lastColumn="0" w:lastRow="0" w:noHBand="0" w:noVBand="1" w:val="04A0"/>
      </w:tblPr>
      <w:tblGrid>
        <w:gridCol w:w="4680"/>
        <w:gridCol w:w="4680"/>
      </w:tblGrid>
      <w:tr>
        <w:tc>
          <w:tcPr>
            <w:tcW w:type="dxa" w:w="4680"/>
            <w:shd w:val="clear" w:color="auto" w:fill="F2F5F8"/>
            <w:tcMar>
              <w:top w:w="100" w:type="dxa"/>
              <w:bottom w:w="100" w:type="dxa"/>
              <w:left w:w="120" w:type="dxa"/>
              <w:right w:w="120" w:type="dxa"/>
            </w:tcMar>
          </w:tcPr>
          <w:p>
            <w:r>
              <w:rPr>
                <w:b/>
                <w:color w:val="1F4E79"/>
              </w:rPr>
              <w:t>Đường Dẫn Tệp Tin</w:t>
            </w:r>
          </w:p>
        </w:tc>
        <w:tc>
          <w:tcPr>
            <w:tcW w:type="dxa" w:w="4680"/>
            <w:shd w:val="clear" w:color="auto" w:fill="F2F5F8"/>
            <w:tcMar>
              <w:top w:w="100" w:type="dxa"/>
              <w:bottom w:w="100" w:type="dxa"/>
              <w:left w:w="120" w:type="dxa"/>
              <w:right w:w="120" w:type="dxa"/>
            </w:tcMar>
          </w:tcPr>
          <w:p>
            <w:r>
              <w:rPr>
                <w:b/>
                <w:color w:val="1F4E79"/>
              </w:rPr>
              <w:t>Vai Trò Chi Tiết Trong Mã Nguồn</w:t>
            </w:r>
          </w:p>
        </w:tc>
      </w:tr>
      <w:tr>
        <w:tc>
          <w:tcPr>
            <w:tcW w:type="dxa" w:w="4680"/>
            <w:tcMar>
              <w:top w:w="80" w:type="dxa"/>
              <w:bottom w:w="80" w:type="dxa"/>
              <w:left w:w="100" w:type="dxa"/>
              <w:right w:w="100" w:type="dxa"/>
            </w:tcMar>
          </w:tcPr>
          <w:p>
            <w:r>
              <w:rPr>
                <w:rFonts w:ascii="Courier New" w:hAnsi="Courier New"/>
                <w:b/>
                <w:sz w:val="19"/>
              </w:rPr>
              <w:t>demo_trt.py</w:t>
            </w:r>
          </w:p>
        </w:tc>
        <w:tc>
          <w:tcPr>
            <w:tcW w:type="dxa" w:w="4680"/>
            <w:tcMar>
              <w:top w:w="80" w:type="dxa"/>
              <w:bottom w:w="80" w:type="dxa"/>
              <w:left w:w="100" w:type="dxa"/>
              <w:right w:w="100" w:type="dxa"/>
            </w:tcMar>
          </w:tcPr>
          <w:p>
            <w:r>
              <w:t>Chương trình Demo chính xử lý luồng Webcam từ camera, nạp mô hình TensorRT, vẽ khung xanh/đỏ và hiển thị FPSOverlay.</w:t>
            </w:r>
          </w:p>
        </w:tc>
      </w:tr>
      <w:tr>
        <w:tc>
          <w:tcPr>
            <w:tcW w:type="dxa" w:w="4680"/>
            <w:tcMar>
              <w:top w:w="80" w:type="dxa"/>
              <w:bottom w:w="80" w:type="dxa"/>
              <w:left w:w="100" w:type="dxa"/>
              <w:right w:w="100" w:type="dxa"/>
            </w:tcMar>
          </w:tcPr>
          <w:p>
            <w:r>
              <w:rPr>
                <w:rFonts w:ascii="Courier New" w:hAnsi="Courier New"/>
                <w:b/>
                <w:sz w:val="19"/>
              </w:rPr>
              <w:t>scripts/evaluate_metrics.py</w:t>
            </w:r>
          </w:p>
        </w:tc>
        <w:tc>
          <w:tcPr>
            <w:tcW w:type="dxa" w:w="4680"/>
            <w:tcMar>
              <w:top w:w="80" w:type="dxa"/>
              <w:bottom w:w="80" w:type="dxa"/>
              <w:left w:w="100" w:type="dxa"/>
              <w:right w:w="100" w:type="dxa"/>
            </w:tcMar>
          </w:tcPr>
          <w:p>
            <w:r>
              <w:t>Chương trình kiểm thử đánh giá các chỉ số độ chính xác học thuật của liveness (APCER, BPCER, ACER).</w:t>
            </w:r>
          </w:p>
        </w:tc>
      </w:tr>
      <w:tr>
        <w:tc>
          <w:tcPr>
            <w:tcW w:type="dxa" w:w="4680"/>
            <w:tcMar>
              <w:top w:w="80" w:type="dxa"/>
              <w:bottom w:w="80" w:type="dxa"/>
              <w:left w:w="100" w:type="dxa"/>
              <w:right w:w="100" w:type="dxa"/>
            </w:tcMar>
          </w:tcPr>
          <w:p>
            <w:r>
              <w:rPr>
                <w:rFonts w:ascii="Courier New" w:hAnsi="Courier New"/>
                <w:b/>
                <w:sz w:val="19"/>
              </w:rPr>
              <w:t>scripts/benchmark_visual.py</w:t>
            </w:r>
          </w:p>
        </w:tc>
        <w:tc>
          <w:tcPr>
            <w:tcW w:type="dxa" w:w="4680"/>
            <w:tcMar>
              <w:top w:w="80" w:type="dxa"/>
              <w:bottom w:w="80" w:type="dxa"/>
              <w:left w:w="100" w:type="dxa"/>
              <w:right w:w="100" w:type="dxa"/>
            </w:tcMar>
          </w:tcPr>
          <w:p>
            <w:r>
              <w:t>Đo đạc chi tiết thời gian trễ của CPU/GPU/TensorRT và tự động sinh biểu đồ so sánh hình ảnh.</w:t>
            </w:r>
          </w:p>
        </w:tc>
      </w:tr>
      <w:tr>
        <w:tc>
          <w:tcPr>
            <w:tcW w:type="dxa" w:w="4680"/>
            <w:tcMar>
              <w:top w:w="80" w:type="dxa"/>
              <w:bottom w:w="80" w:type="dxa"/>
              <w:left w:w="100" w:type="dxa"/>
              <w:right w:w="100" w:type="dxa"/>
            </w:tcMar>
          </w:tcPr>
          <w:p>
            <w:r>
              <w:rPr>
                <w:rFonts w:ascii="Courier New" w:hAnsi="Courier New"/>
                <w:b/>
                <w:sz w:val="19"/>
              </w:rPr>
              <w:t>benchmark_hardware.py</w:t>
            </w:r>
          </w:p>
        </w:tc>
        <w:tc>
          <w:tcPr>
            <w:tcW w:type="dxa" w:w="4680"/>
            <w:tcMar>
              <w:top w:w="80" w:type="dxa"/>
              <w:bottom w:w="80" w:type="dxa"/>
              <w:left w:w="100" w:type="dxa"/>
              <w:right w:w="100" w:type="dxa"/>
            </w:tcMar>
          </w:tcPr>
          <w:p>
            <w:r>
              <w:t>Giám sát tài nguyên phần cứng, ghi lại tải CPU, GPU và VRAM trong quá trình chạy.</w:t>
            </w:r>
          </w:p>
        </w:tc>
      </w:tr>
      <w:tr>
        <w:tc>
          <w:tcPr>
            <w:tcW w:type="dxa" w:w="4680"/>
            <w:tcMar>
              <w:top w:w="80" w:type="dxa"/>
              <w:bottom w:w="80" w:type="dxa"/>
              <w:left w:w="100" w:type="dxa"/>
              <w:right w:w="100" w:type="dxa"/>
            </w:tcMar>
          </w:tcPr>
          <w:p>
            <w:r>
              <w:rPr>
                <w:rFonts w:ascii="Courier New" w:hAnsi="Courier New"/>
                <w:b/>
                <w:sz w:val="19"/>
              </w:rPr>
              <w:t>scripts/prepare_calib_data.py</w:t>
            </w:r>
          </w:p>
        </w:tc>
        <w:tc>
          <w:tcPr>
            <w:tcW w:type="dxa" w:w="4680"/>
            <w:tcMar>
              <w:top w:w="80" w:type="dxa"/>
              <w:bottom w:w="80" w:type="dxa"/>
              <w:left w:w="100" w:type="dxa"/>
              <w:right w:w="100" w:type="dxa"/>
            </w:tcMar>
          </w:tcPr>
          <w:p>
            <w:r>
              <w:t>Trích xuất và chuẩn bị 250 ảnh mặt khuôn mặt từ tập dữ liệu gốc để làm tập dữ liệu kiểm thử liveness.</w:t>
            </w:r>
          </w:p>
        </w:tc>
      </w:tr>
    </w:tbl>
    <w:p>
      <w:pPr>
        <w:pStyle w:val="Heading1"/>
      </w:pPr>
      <w:r>
        <w:rPr>
          <w:color w:val="1F4E79"/>
        </w:rPr>
        <w:t>3. Nhiệm Vụ Chi Tiết Từng Bước</w:t>
      </w:r>
    </w:p>
    <w:p>
      <w:pPr>
        <w:pStyle w:val="ListBullet"/>
        <w:spacing w:before="0" w:after="120" w:line="276" w:lineRule="auto"/>
      </w:pPr>
      <w:r>
        <w:rPr>
          <w:b/>
        </w:rPr>
        <w:t>Tích hợp mô hình phát hiện mặt YuNet:</w:t>
      </w:r>
      <w:r>
        <w:t xml:space="preserve"> Sử dụng thư viện OpenCV để phát hiện mặt người từ khung hình camera thô, lấy tọa độ bounding box để chuyển sang mô hình liveness phân loại.</w:t>
      </w:r>
    </w:p>
    <w:p>
      <w:pPr>
        <w:pStyle w:val="ListBullet"/>
        <w:spacing w:before="0" w:after="120" w:line="276" w:lineRule="auto"/>
      </w:pPr>
      <w:r>
        <w:rPr>
          <w:b/>
        </w:rPr>
        <w:t>Xây dựng chương trình Demo thời gian thực (demo_trt.py):</w:t>
      </w:r>
      <w:r>
        <w:t xml:space="preserve"> Lập trình vòng lặp camera 30 FPS, hiển thị nhãn xanh lá REAL / đỏ SPOOF quanh khuôn mặt, tạo bảng overlay thông số thiết bị biên.</w:t>
      </w:r>
    </w:p>
    <w:p>
      <w:pPr>
        <w:pStyle w:val="ListBullet"/>
        <w:spacing w:before="0" w:after="120" w:line="276" w:lineRule="auto"/>
      </w:pPr>
      <w:r>
        <w:rPr>
          <w:b/>
        </w:rPr>
        <w:t>Lập trình script đo lường độ chính xác (evaluate_metrics.py):</w:t>
      </w:r>
      <w:r>
        <w:t xml:space="preserve"> Thiết lập quy trình tính toán các chỉ số lỗi APCER (lọt ảnh giả mạo) và BPCER (chặn nhầm người thật) để báo cáo.</w:t>
      </w:r>
    </w:p>
    <w:p>
      <w:pPr>
        <w:pStyle w:val="ListBullet"/>
        <w:spacing w:before="0" w:after="120" w:line="276" w:lineRule="auto"/>
      </w:pPr>
      <w:r>
        <w:rPr>
          <w:b/>
        </w:rPr>
        <w:t>Lập trình script trực quan hóa biểu đồ (benchmark_visual.py):</w:t>
      </w:r>
      <w:r>
        <w:t xml:space="preserve"> Sử dụng matplotlib để tự động vẽ biểu đồ cột so sánh FPS và Latency, lưu lại dưới dạng file hình ảnh để dán vào báo cáo của nhóm.</w:t>
      </w:r>
    </w:p>
    <w:p>
      <w:pPr>
        <w:pStyle w:val="ListBullet"/>
        <w:spacing w:before="0" w:after="120" w:line="276" w:lineRule="auto"/>
      </w:pPr>
      <w:r>
        <w:rPr>
          <w:b/>
        </w:rPr>
        <w:t>Khắc phục các lỗi vận hành phần mềm:</w:t>
      </w:r>
      <w:r>
        <w:t xml:space="preserve"> Giải quyết lỗi không mở được cửa sổ camera trên Windows và tự động nạp trước các file DLL của CUDA.</w:t>
      </w:r>
    </w:p>
    <w:p>
      <w:pPr>
        <w:pStyle w:val="Heading1"/>
      </w:pPr>
      <w:r>
        <w:rPr>
          <w:color w:val="1F4E79"/>
        </w:rPr>
        <w:t>4. Lý Thuyết Cần Nắm Vững Khi Trả Lời Phản Biện</w:t>
      </w:r>
    </w:p>
    <w:p>
      <w:pPr>
        <w:pStyle w:val="ListBullet"/>
        <w:spacing w:before="0" w:after="120" w:line="276" w:lineRule="auto"/>
      </w:pPr>
      <w:r>
        <w:rPr>
          <w:b/>
        </w:rPr>
        <w:t>Tiêu chuẩn đánh giá ISO/IEC 30107-3:</w:t>
      </w:r>
      <w:r>
        <w:t xml:space="preserve"> Hiểu rõ ý nghĩa của APCER (Tỉ lệ lọt ảnh giả mạo), BPCER (Tỉ lệ chặn nhầm người thật) và ACER (Tỉ lệ lỗi trung bình).</w:t>
      </w:r>
    </w:p>
    <w:p>
      <w:pPr>
        <w:pStyle w:val="ListBullet"/>
        <w:spacing w:before="0" w:after="120" w:line="276" w:lineRule="auto"/>
      </w:pPr>
      <w:r>
        <w:rPr>
          <w:b/>
        </w:rPr>
        <w:t>Cách hệ thống camera và YuNet hoạt động:</w:t>
      </w:r>
      <w:r>
        <w:t xml:space="preserve"> Giải thích cách YuNet tìm khuôn mặt nhanh chóng trên CPU bằng mạng CNN siêu nhỏ, làm tiền đề để cắt mặt đưa vào phân loại liveness.</w:t>
      </w:r>
    </w:p>
    <w:p>
      <w:pPr>
        <w:pStyle w:val="ListBullet"/>
        <w:spacing w:before="0" w:after="120" w:line="276" w:lineRule="auto"/>
      </w:pPr>
      <w:r>
        <w:rPr>
          <w:b/>
        </w:rPr>
        <w:t>Cách đọc biểu đồ so sánh hiệu năng:</w:t>
      </w:r>
      <w:r>
        <w:t xml:space="preserve"> Giải thích được tại sao TRT FP16 đạt 250 FPS là cấu hình mượt nhất cho camera nhờ loại bỏ độ trễ của CPU.</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