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center"/>
      </w:pPr>
      <w:r>
        <w:rPr>
          <w:rFonts w:ascii="Arial" w:hAnsi="Arial"/>
          <w:b/>
          <w:color w:val="1F4E79"/>
          <w:sz w:val="36"/>
        </w:rPr>
        <w:t>HƯỚNG DẪN SỬ DỤNG VÀ KIỂM THỬ HỆ THỐNG</w:t>
        <w:br/>
        <w:t>PHÁT HIỆN GIẢ MẠO KHUÔN MẶT (FACE ANTI-SPOOFING)</w:t>
      </w:r>
    </w:p>
    <w:p>
      <w:pPr>
        <w:spacing w:before="0" w:after="480" w:line="276" w:lineRule="auto"/>
        <w:jc w:val="center"/>
      </w:pPr>
      <w:r>
        <w:rPr>
          <w:i/>
          <w:sz w:val="22"/>
        </w:rPr>
        <w:t>Tài liệu hướng dẫn triển khai, vận hành và kiểm thử hiệu năng tối ưu phần cứng (CPU, GPU, TensorRT)</w:t>
      </w:r>
    </w:p>
    <w:p>
      <w:pPr>
        <w:pStyle w:val="Heading1"/>
        <w:spacing w:before="240" w:after="120"/>
      </w:pPr>
      <w:r>
        <w:rPr>
          <w:b/>
          <w:color w:val="1F4E79"/>
        </w:rPr>
        <w:t>1. Tổng Quan Về Hệ Thống</w:t>
      </w:r>
    </w:p>
    <w:p>
      <w:pPr>
        <w:spacing w:before="0" w:after="120" w:line="276" w:lineRule="auto"/>
      </w:pPr>
      <w:r>
        <w:t>Hệ thống phát hiện giả mạo khuôn mặt (Face Anti-Spoofing - FAS) này được thiết kế để phân biệt giữa khuôn mặt thật của người đang đứng trước camera (Bona Fide Presentation) và khuôn mặt giả mạo (Presentation Attack) được trình chiếu qua màn hình điện thoại, máy tính bảng hoặc ảnh in màu.</w:t>
      </w:r>
    </w:p>
    <w:p>
      <w:pPr>
        <w:spacing w:before="0" w:after="120" w:line="276" w:lineRule="auto"/>
      </w:pPr>
      <w:r>
        <w:rPr>
          <w:b w:val="0"/>
        </w:rPr>
        <w:t xml:space="preserve">Mô hình cốt lõi dựa trên kiến trúc mạng siêu nhẹ </w:t>
      </w:r>
      <w:r>
        <w:rPr>
          <w:b/>
        </w:rPr>
        <w:t>MiniFASNetV2-SE</w:t>
      </w:r>
      <w:r>
        <w:rPr>
          <w:b w:val="0"/>
        </w:rPr>
        <w:t xml:space="preserve"> kết hợp với nhánh sinh ảnh tần số phổ Fourier (</w:t>
      </w:r>
      <w:r>
        <w:rPr>
          <w:b/>
        </w:rPr>
        <w:t>Fourier Transform - FT</w:t>
      </w:r>
      <w:r>
        <w:t>) trong quá trình huấn luyện nhằm phân tích cấu trúc tần số hạt nhiễu (moire patterns) trên màn hình hoặc độ tương phản đặc trưng của ảnh in.</w:t>
      </w:r>
    </w:p>
    <w:p>
      <w:pPr>
        <w:pStyle w:val="Heading1"/>
        <w:spacing w:before="240" w:after="120"/>
      </w:pPr>
      <w:r>
        <w:rPr>
          <w:b/>
          <w:color w:val="1F4E79"/>
        </w:rPr>
        <w:t>2. Cài Đặt Môi Trường &amp; Thư Viện</w:t>
      </w:r>
    </w:p>
    <w:p>
      <w:pPr>
        <w:spacing w:before="0" w:after="120" w:line="276" w:lineRule="auto"/>
      </w:pPr>
      <w:r>
        <w:t>Hệ thống hỗ trợ chạy trên cả Windows và Linux. Để đạt hiệu năng cao nhất, khuyến nghị chạy trên máy tính có GPU NVIDIA hỗ trợ CUDA.</w:t>
      </w:r>
    </w:p>
    <w:p>
      <w:pPr>
        <w:spacing w:before="0" w:after="120" w:line="276" w:lineRule="auto"/>
      </w:pPr>
      <w:r>
        <w:rPr>
          <w:b/>
        </w:rPr>
        <w:t>Các bước cài đặt chi tiết trên Windows:</w:t>
      </w:r>
    </w:p>
    <w:p>
      <w:pPr>
        <w:pStyle w:val="ListBullet"/>
        <w:spacing w:before="0" w:after="80" w:line="276" w:lineRule="auto"/>
      </w:pPr>
      <w:r>
        <w:rPr>
          <w:b/>
        </w:rPr>
        <w:t>Cài đặt Python:</w:t>
      </w:r>
      <w:r>
        <w:t xml:space="preserve"> Khuyến nghị sử dụng Python phiên bản 3.10 đến 3.13.</w:t>
      </w:r>
    </w:p>
    <w:p>
      <w:pPr>
        <w:pStyle w:val="ListBullet"/>
        <w:spacing w:before="0" w:after="80" w:line="276" w:lineRule="auto"/>
      </w:pPr>
      <w:r>
        <w:rPr>
          <w:b/>
        </w:rPr>
        <w:t>Cài đặt PyTorch với CUDA:</w:t>
      </w:r>
      <w:r>
        <w:t xml:space="preserve"> Mở Windows PowerShell và chạy lệnh cài đặt PyTorch hỗ trợ GPU CUDA (tùy thuộc vào phiên bản driver của bạn):</w:t>
        <w:br/>
        <w:t>Lệnh: `pip install torch torchvision --index-url https://download.pytorch.org/whl/cu124`</w:t>
      </w:r>
    </w:p>
    <w:p>
      <w:pPr>
        <w:pStyle w:val="ListBullet"/>
        <w:spacing w:before="0" w:after="80" w:line="276" w:lineRule="auto"/>
      </w:pPr>
      <w:r>
        <w:rPr>
          <w:b/>
        </w:rPr>
        <w:t>Cài đặt ONNX và ONNX Runtime GPU:</w:t>
      </w:r>
      <w:r>
        <w:t xml:space="preserve"> Dùng để chạy suy luận mô hình tối ưu dạng ONNX.</w:t>
        <w:br/>
        <w:t>Lệnh: `pip install onnx onnxsim onnxruntime-gpu`</w:t>
      </w:r>
    </w:p>
    <w:p>
      <w:pPr>
        <w:pStyle w:val="ListBullet"/>
        <w:spacing w:before="0" w:after="80" w:line="276" w:lineRule="auto"/>
      </w:pPr>
      <w:r>
        <w:rPr>
          <w:b/>
        </w:rPr>
        <w:t>Cài đặt TensorRT (tùy chọn tối ưu phần cứng):</w:t>
      </w:r>
      <w:r>
        <w:t xml:space="preserve"> Cần cài đặt thư viện TensorRT của NVIDIA và Python API đi kèm (`pip install tensorrt`). Bản TensorRT khuyến nghị là 10.x hoặc 11.x.</w:t>
      </w:r>
    </w:p>
    <w:p>
      <w:pPr>
        <w:pStyle w:val="ListBullet"/>
        <w:spacing w:before="0" w:after="80" w:line="276" w:lineRule="auto"/>
      </w:pPr>
      <w:r>
        <w:rPr>
          <w:b/>
        </w:rPr>
        <w:t>Cài đặt các thư viện bổ trợ khác:</w:t>
      </w:r>
      <w:r>
        <w:t xml:space="preserve"> Lệnh: `pip install numpy pandas scikit-learn opencv-python Pillow tqdm py-cpuinfo GPUtil psutil`</w:t>
      </w:r>
    </w:p>
    <w:p>
      <w:pPr>
        <w:spacing w:before="120" w:after="120" w:line="276" w:lineRule="auto"/>
      </w:pPr>
      <w:r>
        <w:rPr>
          <w:b/>
          <w:color w:val="7030A0"/>
        </w:rPr>
        <w:t xml:space="preserve">Lưu ý xử lý lỗi trên Windows: </w:t>
      </w:r>
      <w:r>
        <w:t>Khi chạy ONNX Runtime GPU trên Windows, hệ thống có thể báo lỗi thiếu file DLL (ví dụ: cublasLt64_12.dll). Để khắc phục điều này, mã nguồn hệ thống tự động import thư viện `onnxruntime` trước tiên và thực hiện hàm `onnxruntime.preload_dlls(cuda=True, cudnn=True)` để tự động tải các DLL cần thiết từ thư viện CUDA đi kèm của Python.</w:t>
      </w:r>
    </w:p>
    <w:p>
      <w:pPr>
        <w:pStyle w:val="Heading1"/>
        <w:spacing w:before="240" w:after="120"/>
      </w:pPr>
      <w:r>
        <w:rPr>
          <w:b/>
          <w:color w:val="1F4E79"/>
        </w:rPr>
        <w:t>3. Quy Trình Xuất Và Biên Dịch Mô Hình</w:t>
      </w:r>
    </w:p>
    <w:p>
      <w:pPr>
        <w:spacing w:before="0" w:after="120" w:line="276" w:lineRule="auto"/>
      </w:pPr>
      <w:r>
        <w:t>Hệ thống đi kèm các checkpoint huấn luyện định dạng PyTorch (.pth). Để chạy demo và kiểm thử hiệu năng, ta cần xuất chúng sang định dạng ONNX và biên dịch sang TensorRT Engine.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2F5F8"/>
            <w:tcMar>
              <w:top w:w="140" w:type="dxa"/>
              <w:bottom w:w="140" w:type="dxa"/>
              <w:left w:w="150" w:type="dxa"/>
              <w:right w:w="150" w:type="dxa"/>
            </w:tcMar>
          </w:tcPr>
          <w:p>
            <w:r>
              <w:rPr>
                <w:b/>
                <w:color w:val="1F4E79"/>
              </w:rPr>
              <w:t>Định Dạng Mô Hình</w:t>
            </w:r>
          </w:p>
        </w:tc>
        <w:tc>
          <w:tcPr>
            <w:tcW w:type="dxa" w:w="3120"/>
            <w:shd w:val="clear" w:color="auto" w:fill="F2F5F8"/>
            <w:tcMar>
              <w:top w:w="140" w:type="dxa"/>
              <w:bottom w:w="140" w:type="dxa"/>
              <w:left w:w="150" w:type="dxa"/>
              <w:right w:w="150" w:type="dxa"/>
            </w:tcMar>
          </w:tcPr>
          <w:p>
            <w:r>
              <w:rPr>
                <w:b/>
                <w:color w:val="1F4E79"/>
              </w:rPr>
              <w:t>Mục Tiêu &amp; Đặc Điểm</w:t>
            </w:r>
          </w:p>
        </w:tc>
        <w:tc>
          <w:tcPr>
            <w:tcW w:type="dxa" w:w="3120"/>
            <w:shd w:val="clear" w:color="auto" w:fill="F2F5F8"/>
            <w:tcMar>
              <w:top w:w="140" w:type="dxa"/>
              <w:bottom w:w="140" w:type="dxa"/>
              <w:left w:w="150" w:type="dxa"/>
              <w:right w:w="150" w:type="dxa"/>
            </w:tcMar>
          </w:tcPr>
          <w:p>
            <w:r>
              <w:rPr>
                <w:b/>
                <w:color w:val="1F4E79"/>
              </w:rPr>
              <w:t>Lệnh Chạy Thực Thi</w:t>
            </w:r>
          </w:p>
        </w:tc>
      </w:tr>
      <w:tr>
        <w:tc>
          <w:tcPr>
            <w:tcW w:type="dxa" w:w="3120"/>
            <w:tcMar>
              <w:top w:w="100" w:type="dxa"/>
              <w:bottom w:w="100" w:type="dxa"/>
              <w:left w:w="120" w:type="dxa"/>
              <w:right w:w="120" w:type="dxa"/>
            </w:tcMar>
          </w:tcPr>
          <w:p>
            <w:r>
              <w:rPr>
                <w:b/>
              </w:rPr>
              <w:t>ONNX Baseline (FP32)</w:t>
            </w:r>
          </w:p>
        </w:tc>
        <w:tc>
          <w:tcPr>
            <w:tcW w:type="dxa" w:w="3120"/>
            <w:tcMar>
              <w:top w:w="100" w:type="dxa"/>
              <w:bottom w:w="100" w:type="dxa"/>
              <w:left w:w="120" w:type="dxa"/>
              <w:right w:w="120" w:type="dxa"/>
            </w:tcMar>
          </w:tcPr>
          <w:p>
            <w:r>
              <w:t>Xuất mô hình gốc PyTorch (.pth) sang định dạng ONNX tiêu chuẩn để chạy trên CPU/GPU.</w:t>
            </w:r>
          </w:p>
        </w:tc>
        <w:tc>
          <w:tcPr>
            <w:tcW w:type="dxa" w:w="3120"/>
            <w:tcMar>
              <w:top w:w="100" w:type="dxa"/>
              <w:bottom w:w="100" w:type="dxa"/>
              <w:left w:w="120" w:type="dxa"/>
              <w:right w:w="120" w:type="dxa"/>
            </w:tcMar>
          </w:tcPr>
          <w:p>
            <w:r>
              <w:rPr>
                <w:rFonts w:ascii="Courier New" w:hAnsi="Courier New"/>
                <w:sz w:val="19"/>
              </w:rPr>
              <w:t>python scripts/export_onnx.py models/best/98.20/best_model.pth</w:t>
            </w:r>
          </w:p>
        </w:tc>
      </w:tr>
      <w:tr>
        <w:tc>
          <w:tcPr>
            <w:tcW w:type="dxa" w:w="3120"/>
            <w:tcMar>
              <w:top w:w="100" w:type="dxa"/>
              <w:bottom w:w="100" w:type="dxa"/>
              <w:left w:w="120" w:type="dxa"/>
              <w:right w:w="120" w:type="dxa"/>
            </w:tcMar>
          </w:tcPr>
          <w:p>
            <w:r>
              <w:rPr>
                <w:b/>
              </w:rPr>
              <w:t>ONNX Quantized (INT8)</w:t>
            </w:r>
          </w:p>
        </w:tc>
        <w:tc>
          <w:tcPr>
            <w:tcW w:type="dxa" w:w="3120"/>
            <w:tcMar>
              <w:top w:w="100" w:type="dxa"/>
              <w:bottom w:w="100" w:type="dxa"/>
              <w:left w:w="120" w:type="dxa"/>
              <w:right w:w="120" w:type="dxa"/>
            </w:tcMar>
          </w:tcPr>
          <w:p>
            <w:r>
              <w:t>Lượng tử hóa động (dynamic quantization) giảm kích thước file mô hình xuống ~4 lần (~600KB) chạy trên CPU.</w:t>
            </w:r>
          </w:p>
        </w:tc>
        <w:tc>
          <w:tcPr>
            <w:tcW w:type="dxa" w:w="3120"/>
            <w:tcMar>
              <w:top w:w="100" w:type="dxa"/>
              <w:bottom w:w="100" w:type="dxa"/>
              <w:left w:w="120" w:type="dxa"/>
              <w:right w:w="120" w:type="dxa"/>
            </w:tcMar>
          </w:tcPr>
          <w:p>
            <w:r>
              <w:rPr>
                <w:rFonts w:ascii="Courier New" w:hAnsi="Courier New"/>
                <w:sz w:val="19"/>
              </w:rPr>
              <w:t>python scripts/quantize_onnx.py models/best/98.20/best_model.pth</w:t>
            </w:r>
          </w:p>
        </w:tc>
      </w:tr>
      <w:tr>
        <w:tc>
          <w:tcPr>
            <w:tcW w:type="dxa" w:w="3120"/>
            <w:tcMar>
              <w:top w:w="100" w:type="dxa"/>
              <w:bottom w:w="100" w:type="dxa"/>
              <w:left w:w="120" w:type="dxa"/>
              <w:right w:w="120" w:type="dxa"/>
            </w:tcMar>
          </w:tcPr>
          <w:p>
            <w:r>
              <w:rPr>
                <w:b/>
              </w:rPr>
              <w:t>TensorRT Engine (FP16)</w:t>
            </w:r>
          </w:p>
        </w:tc>
        <w:tc>
          <w:tcPr>
            <w:tcW w:type="dxa" w:w="3120"/>
            <w:tcMar>
              <w:top w:w="100" w:type="dxa"/>
              <w:bottom w:w="100" w:type="dxa"/>
              <w:left w:w="120" w:type="dxa"/>
              <w:right w:w="120" w:type="dxa"/>
            </w:tcMar>
          </w:tcPr>
          <w:p>
            <w:r>
              <w:t>Biên dịch sang dạng máy cơ sở (native engine) của NVIDIA, tối ưu hóa FP16 cho GPU Laptop/Card đồ họa.</w:t>
            </w:r>
          </w:p>
        </w:tc>
        <w:tc>
          <w:tcPr>
            <w:tcW w:type="dxa" w:w="3120"/>
            <w:tcMar>
              <w:top w:w="100" w:type="dxa"/>
              <w:bottom w:w="100" w:type="dxa"/>
              <w:left w:w="120" w:type="dxa"/>
              <w:right w:w="120" w:type="dxa"/>
            </w:tcMar>
          </w:tcPr>
          <w:p>
            <w:r>
              <w:rPr>
                <w:rFonts w:ascii="Courier New" w:hAnsi="Courier New"/>
                <w:sz w:val="19"/>
              </w:rPr>
              <w:t>python scripts/export_tensorrt.py --model models/best/98.20/best_model.pth --output models/best_model_fp16.engine --fp16</w:t>
            </w:r>
          </w:p>
        </w:tc>
      </w:tr>
      <w:tr>
        <w:tc>
          <w:tcPr>
            <w:tcW w:type="dxa" w:w="3120"/>
            <w:tcMar>
              <w:top w:w="100" w:type="dxa"/>
              <w:bottom w:w="100" w:type="dxa"/>
              <w:left w:w="120" w:type="dxa"/>
              <w:right w:w="120" w:type="dxa"/>
            </w:tcMar>
          </w:tcPr>
          <w:p>
            <w:r>
              <w:rPr>
                <w:b/>
              </w:rPr>
              <w:t>TensorRT Engine (INT8)</w:t>
            </w:r>
          </w:p>
        </w:tc>
        <w:tc>
          <w:tcPr>
            <w:tcW w:type="dxa" w:w="3120"/>
            <w:tcMar>
              <w:top w:w="100" w:type="dxa"/>
              <w:bottom w:w="100" w:type="dxa"/>
              <w:left w:w="120" w:type="dxa"/>
              <w:right w:w="120" w:type="dxa"/>
            </w:tcMar>
          </w:tcPr>
          <w:p>
            <w:r>
              <w:t>Biên dịch tối ưu hóa lượng tử hóa tĩnh tĩnh INT8 sử dụng QDQ nodes và bộ dữ liệu hiệu chuẩn (calibration data).</w:t>
            </w:r>
          </w:p>
        </w:tc>
        <w:tc>
          <w:tcPr>
            <w:tcW w:type="dxa" w:w="3120"/>
            <w:tcMar>
              <w:top w:w="100" w:type="dxa"/>
              <w:bottom w:w="100" w:type="dxa"/>
              <w:left w:w="120" w:type="dxa"/>
              <w:right w:w="120" w:type="dxa"/>
            </w:tcMar>
          </w:tcPr>
          <w:p>
            <w:r>
              <w:rPr>
                <w:rFonts w:ascii="Courier New" w:hAnsi="Courier New"/>
                <w:sz w:val="19"/>
              </w:rPr>
              <w:t>python scripts/export_tensorrt.py --model models/best/98.20/best_model.pth --output models/best_model_int8.engine --int8 --calib_dir data_calib</w:t>
            </w:r>
          </w:p>
        </w:tc>
      </w:tr>
    </w:tbl>
    <w:p>
      <w:pPr>
        <w:pStyle w:val="Heading1"/>
        <w:spacing w:before="240" w:after="120"/>
      </w:pPr>
      <w:r>
        <w:rPr>
          <w:b/>
          <w:color w:val="1F4E79"/>
        </w:rPr>
        <w:t>4. Hướng Dẫn Chạy Demo Thời Gian Thực</w:t>
      </w:r>
    </w:p>
    <w:p>
      <w:pPr>
        <w:spacing w:before="0" w:after="120" w:line="276" w:lineRule="auto"/>
      </w:pPr>
      <w:r>
        <w:t>File `demo.py` cung cấp giao diện hiển thị hình ảnh trực tiếp từ webcam hoặc xử lý ảnh tĩnh từ file ngoài để phân loại.</w:t>
      </w:r>
    </w:p>
    <w:p>
      <w:pPr>
        <w:spacing w:before="0" w:after="120" w:line="276" w:lineRule="auto"/>
      </w:pPr>
      <w:r>
        <w:rPr>
          <w:b/>
        </w:rPr>
        <w:t>Cách chạy demo trên webcam (mặc định):</w:t>
      </w:r>
    </w:p>
    <w:p>
      <w:pPr>
        <w:spacing w:before="0" w:after="80" w:line="276" w:lineRule="auto"/>
      </w:pPr>
      <w:r>
        <w:rPr>
          <w:rFonts w:ascii="Courier New" w:hAnsi="Courier New"/>
          <w:b/>
        </w:rPr>
        <w:t>Lệnh: python demo.py</w:t>
      </w:r>
    </w:p>
    <w:p>
      <w:pPr>
        <w:spacing w:before="0" w:after="120" w:line="276" w:lineRule="auto"/>
      </w:pPr>
      <w:r>
        <w:rPr>
          <w:b/>
        </w:rPr>
        <w:t>Cách chạy demo trên một ảnh tĩnh cụ thể:</w:t>
      </w:r>
    </w:p>
    <w:p>
      <w:pPr>
        <w:spacing w:before="0" w:after="80" w:line="276" w:lineRule="auto"/>
      </w:pPr>
      <w:r>
        <w:rPr>
          <w:rFonts w:ascii="Courier New" w:hAnsi="Courier New"/>
          <w:b/>
        </w:rPr>
        <w:t>Lệnh: python demo.py --image duong_dan_anh.jpg</w:t>
      </w:r>
    </w:p>
    <w:p>
      <w:pPr>
        <w:spacing w:before="0" w:after="120" w:line="276" w:lineRule="auto"/>
      </w:pPr>
      <w:r>
        <w:rPr>
          <w:b/>
        </w:rPr>
        <w:t>Các tham số dòng lệnh quan trọng:</w:t>
      </w:r>
    </w:p>
    <w:p>
      <w:pPr>
        <w:pStyle w:val="ListBullet"/>
        <w:spacing w:before="0" w:after="80" w:line="276" w:lineRule="auto"/>
      </w:pPr>
      <w:r>
        <w:rPr>
          <w:b/>
        </w:rPr>
        <w:t>--camera:</w:t>
      </w:r>
      <w:r>
        <w:t xml:space="preserve"> Chỉ số camera kết nối với PC, mặc định là 0.</w:t>
      </w:r>
    </w:p>
    <w:p>
      <w:pPr>
        <w:pStyle w:val="ListBullet"/>
        <w:spacing w:before="0" w:after="80" w:line="276" w:lineRule="auto"/>
      </w:pPr>
      <w:r>
        <w:rPr>
          <w:b/>
        </w:rPr>
        <w:t>--threshold:</w:t>
      </w:r>
      <w:r>
        <w:t xml:space="preserve"> Ngưỡng xác suất phân loại (từ 0 đến 1), mặc định là 0.5. Tăng ngưỡng để thắt chặt bảo mật liveness.</w:t>
      </w:r>
    </w:p>
    <w:p>
      <w:pPr>
        <w:pStyle w:val="ListBullet"/>
        <w:spacing w:before="0" w:after="80" w:line="276" w:lineRule="auto"/>
      </w:pPr>
      <w:r>
        <w:rPr>
          <w:b/>
        </w:rPr>
        <w:t>--bbox_expansion_factor:</w:t>
      </w:r>
      <w:r>
        <w:t xml:space="preserve"> Hệ số mở rộng bounding box của mặt trước khi đưa vào mô hình phân loại, mặc định là 1.5.</w:t>
      </w:r>
    </w:p>
    <w:p>
      <w:pPr>
        <w:pStyle w:val="ListBullet"/>
        <w:spacing w:before="0" w:after="80" w:line="276" w:lineRule="auto"/>
      </w:pPr>
      <w:r>
        <w:rPr>
          <w:b/>
        </w:rPr>
        <w:t>--liveness_model:</w:t>
      </w:r>
      <w:r>
        <w:t xml:space="preserve"> Đường dẫn tới mô hình liveness .onnx hoặc .engine muốn dùng chạy thực tế.</w:t>
      </w:r>
    </w:p>
    <w:p>
      <w:pPr>
        <w:spacing w:before="0" w:after="120" w:line="276" w:lineRule="auto"/>
      </w:pPr>
      <w:r>
        <w:rPr>
          <w:b/>
        </w:rPr>
        <w:t>Phím tắt điều khiển khi giao diện demo mở ra:</w:t>
      </w:r>
    </w:p>
    <w:p>
      <w:pPr>
        <w:pStyle w:val="ListBullet"/>
        <w:spacing w:before="0" w:after="120" w:line="276" w:lineRule="auto"/>
      </w:pPr>
      <w:r>
        <w:rPr>
          <w:b w:val="0"/>
        </w:rPr>
        <w:t xml:space="preserve">Nhấn phím </w:t>
      </w:r>
      <w:r>
        <w:rPr>
          <w:b/>
        </w:rPr>
        <w:t>q</w:t>
      </w:r>
      <w:r>
        <w:t xml:space="preserve"> để thoát chương trình.</w:t>
      </w:r>
    </w:p>
    <w:p>
      <w:pPr>
        <w:pStyle w:val="ListBullet"/>
        <w:spacing w:before="0" w:after="120" w:line="276" w:lineRule="auto"/>
      </w:pPr>
      <w:r>
        <w:rPr>
          <w:b w:val="0"/>
        </w:rPr>
        <w:t xml:space="preserve">Nhấn phím </w:t>
      </w:r>
      <w:r>
        <w:rPr>
          <w:b/>
        </w:rPr>
        <w:t>i</w:t>
      </w:r>
      <w:r>
        <w:t xml:space="preserve"> để bật/tắt bảng thông tin overlay hiển thị FPS, CPU, GPU và nhà cung cấp phần cứng (Execution Provider).</w:t>
      </w:r>
    </w:p>
    <w:p>
      <w:pPr>
        <w:pStyle w:val="Heading1"/>
        <w:spacing w:before="240" w:after="120"/>
      </w:pPr>
      <w:r>
        <w:rPr>
          <w:b/>
          <w:color w:val="1F4E79"/>
        </w:rPr>
        <w:t>5. Hướng Dẫn Kiểm Thử Và Đánh Giá Hệ Thống</w:t>
      </w:r>
    </w:p>
    <w:p>
      <w:pPr>
        <w:spacing w:before="0" w:after="120" w:line="276" w:lineRule="auto"/>
      </w:pPr>
      <w:r>
        <w:t>Giảng viên thường yêu cầu số liệu chính xác để chấm điểm. Hệ thống cung cấp hai công cụ kiểm thử quan trọng:</w:t>
      </w:r>
    </w:p>
    <w:p>
      <w:pPr>
        <w:pStyle w:val="Heading2"/>
        <w:spacing w:before="120" w:after="80"/>
      </w:pPr>
      <w:r>
        <w:rPr>
          <w:b/>
          <w:color w:val="5B9BD5"/>
        </w:rPr>
        <w:t>5.1. Kiểm thử hiệu năng phần cứng (Hardware Benchmarking)</w:t>
      </w:r>
    </w:p>
    <w:p>
      <w:pPr>
        <w:spacing w:before="0" w:after="120" w:line="276" w:lineRule="auto"/>
      </w:pPr>
      <w:r>
        <w:t>Script `benchmark_hardware.py` giúp đo đạc chính xác thời gian suy luận (Latency) và số khung hình xử lý trên giây (FPS), đồng thời giám sát tải sử dụng CPU, RAM, GPU và VRAM.</w:t>
      </w:r>
    </w:p>
    <w:p>
      <w:pPr>
        <w:spacing w:before="0" w:after="80" w:line="276" w:lineRule="auto"/>
      </w:pPr>
      <w:r>
        <w:rPr>
          <w:rFonts w:ascii="Courier New" w:hAnsi="Courier New"/>
          <w:b/>
        </w:rPr>
        <w:t>Lệnh chạy: python benchmark_hardware.py --iters 100</w:t>
      </w:r>
    </w:p>
    <w:p>
      <w:pPr>
        <w:spacing w:before="0" w:after="120" w:line="276" w:lineRule="auto"/>
      </w:pPr>
      <w:r>
        <w:t>Script này sẽ lần lượt kiểm thử các cấu hình: ONNX CPU, ONNX GPU, TensorRT FP16 và TensorRT INT8, sau đó xuất ra bảng so sánh chi tiết. Giúp chứng minh hiệu năng của GPU Preprocessing kết hợp CUDA Graphs.</w:t>
      </w:r>
    </w:p>
    <w:p>
      <w:pPr>
        <w:pStyle w:val="Heading2"/>
        <w:spacing w:before="120" w:after="80"/>
      </w:pPr>
      <w:r>
        <w:rPr>
          <w:b/>
          <w:color w:val="5B9BD5"/>
        </w:rPr>
        <w:t>5.2. Đánh giá độ chính xác theo chuẩn quốc tế ISO/IEC 30107-3</w:t>
      </w:r>
    </w:p>
    <w:p>
      <w:pPr>
        <w:spacing w:before="0" w:after="120" w:line="276" w:lineRule="auto"/>
      </w:pPr>
      <w:r>
        <w:t>Để báo cáo học thuật mang tính khoa học, ta cần đánh giá chất lượng phân loại liveness bằng các chỉ số tiêu chuẩn. Quy trình thực hiện gồm hai bước:</w:t>
      </w:r>
    </w:p>
    <w:p>
      <w:pPr>
        <w:pStyle w:val="ListBullet"/>
        <w:spacing w:before="0" w:after="120" w:line="276" w:lineRule="auto"/>
      </w:pPr>
      <w:r>
        <w:rPr>
          <w:b/>
        </w:rPr>
        <w:t>Bước 1: Chuẩn bị dữ liệu kiểm thử khuôn mặt từ tập dữ liệu gốc CelebA-Spoof.</w:t>
      </w:r>
      <w:r>
        <w:br/>
        <w:t>Chạy lệnh: `python scripts/prepare_calib_data.py` để trích xuất 250 ảnh khuôn mặt đã được cắt và căn chỉnh (125 ảnh thật, 125 ảnh giả mạo) lưu trữ trong thư mục `data_calib/`.</w:t>
      </w:r>
    </w:p>
    <w:p>
      <w:pPr>
        <w:pStyle w:val="ListBullet"/>
        <w:spacing w:before="0" w:after="120" w:line="276" w:lineRule="auto"/>
      </w:pPr>
      <w:r>
        <w:rPr>
          <w:b/>
        </w:rPr>
        <w:t>Bước 2: Thực hiện đánh giá chéo giữa các mô hình.</w:t>
      </w:r>
      <w:r>
        <w:br/>
        <w:t>Chạy lệnh: `python scripts/evaluate_metrics.py`. Script sẽ tải 250 ảnh từ thư mục `data_calib/`, đẩy qua các mô hình và tính toán các tỉ lệ sai số theo tiêu chuẩn ISO/IEC 30107-3.</w:t>
      </w:r>
    </w:p>
    <w:p>
      <w:pPr>
        <w:spacing w:before="0" w:after="120" w:line="276" w:lineRule="auto"/>
      </w:pPr>
      <w:r>
        <w:rPr>
          <w:b/>
        </w:rPr>
        <w:t>Các chỉ số học thuật được báo cáo bao gồm:</w:t>
      </w:r>
    </w:p>
    <w:p>
      <w:pPr>
        <w:pStyle w:val="ListBullet"/>
        <w:spacing w:before="0" w:after="80" w:line="276" w:lineRule="auto"/>
      </w:pPr>
      <w:r>
        <w:rPr>
          <w:b/>
        </w:rPr>
        <w:t>Accuracy (Độ chính xác toàn cục):</w:t>
      </w:r>
      <w:r>
        <w:t xml:space="preserve"> Phần trăm các mẫu ảnh được phân loại đúng trong tổng số ảnh.</w:t>
      </w:r>
    </w:p>
    <w:p>
      <w:pPr>
        <w:pStyle w:val="ListBullet"/>
        <w:spacing w:before="0" w:after="80" w:line="276" w:lineRule="auto"/>
      </w:pPr>
      <w:r>
        <w:rPr>
          <w:b/>
        </w:rPr>
        <w:t>APCER (Attack Presentation Classification Error Rate):</w:t>
      </w:r>
      <w:r>
        <w:t xml:space="preserve"> Tỉ lệ lỗi phân loại giả mạo. APCER là tỉ lệ ảnh giả mạo bị mô hình nhận nhầm là người thật (càng thấp càng tốt cho bảo mật).</w:t>
      </w:r>
    </w:p>
    <w:p>
      <w:pPr>
        <w:pStyle w:val="ListBullet"/>
        <w:spacing w:before="0" w:after="80" w:line="276" w:lineRule="auto"/>
      </w:pPr>
      <w:r>
        <w:rPr>
          <w:b/>
        </w:rPr>
        <w:t>BPCER (Bona Fide Presentation Classification Error Rate):</w:t>
      </w:r>
      <w:r>
        <w:t xml:space="preserve"> Tỉ lệ lỗi phân loại người thật. BPCER là tỉ lệ ảnh người thật bị mô hình nhận nhầm là giả mạo (càng thấp càng tốt cho trải nghiệm người dùng).</w:t>
      </w:r>
    </w:p>
    <w:p>
      <w:pPr>
        <w:pStyle w:val="ListBullet"/>
        <w:spacing w:before="0" w:after="80" w:line="276" w:lineRule="auto"/>
      </w:pPr>
      <w:r>
        <w:rPr>
          <w:b/>
        </w:rPr>
        <w:t>ACER (Average Classification Error Rate):</w:t>
      </w:r>
      <w:r>
        <w:t xml:space="preserve"> Tỉ lệ lỗi phân loại trung bình. Được tính bằng trung bình cộng của APCER và BPCER: ACER = (APCER + BPCER) / 2. ACER càng nhỏ mô hình hoạt động càng chính xác.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