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6852" w:rsidRPr="00922D00" w:rsidRDefault="00A33834" w:rsidP="007759F0">
      <w:pPr>
        <w:spacing w:after="480"/>
        <w:rPr>
          <w:b/>
          <w:sz w:val="28"/>
          <w:szCs w:val="28"/>
        </w:rPr>
      </w:pPr>
      <w:r w:rsidRPr="00922D00">
        <w:rPr>
          <w:b/>
          <w:sz w:val="28"/>
          <w:szCs w:val="28"/>
        </w:rPr>
        <w:t>Sup</w:t>
      </w:r>
      <w:r w:rsidR="00303DB3" w:rsidRPr="00922D00">
        <w:rPr>
          <w:b/>
          <w:sz w:val="28"/>
          <w:szCs w:val="28"/>
        </w:rPr>
        <w:t>porting</w:t>
      </w:r>
      <w:r w:rsidRPr="00922D00">
        <w:rPr>
          <w:b/>
          <w:sz w:val="28"/>
          <w:szCs w:val="28"/>
        </w:rPr>
        <w:t xml:space="preserve"> information</w:t>
      </w:r>
    </w:p>
    <w:p w:rsidR="00C11753" w:rsidRDefault="00572AD9">
      <w:pPr>
        <w:pStyle w:val="TOC2"/>
        <w:tabs>
          <w:tab w:val="right" w:leader="dot" w:pos="9016"/>
        </w:tabs>
        <w:rPr>
          <w:rFonts w:asciiTheme="minorHAnsi" w:eastAsiaTheme="minorEastAsia" w:hAnsiTheme="minorHAnsi" w:cstheme="minorBidi"/>
          <w:noProof/>
          <w:sz w:val="22"/>
          <w:szCs w:val="22"/>
          <w:lang w:eastAsia="en-GB"/>
        </w:rPr>
      </w:pPr>
      <w:r w:rsidRPr="00572AD9">
        <w:rPr>
          <w:b/>
          <w:bCs/>
        </w:rPr>
        <w:fldChar w:fldCharType="begin"/>
      </w:r>
      <w:r w:rsidR="007759F0" w:rsidRPr="00922D00">
        <w:rPr>
          <w:b/>
          <w:bCs/>
        </w:rPr>
        <w:instrText xml:space="preserve"> TOC \o "1-3" \h \z \u </w:instrText>
      </w:r>
      <w:r w:rsidRPr="00572AD9">
        <w:rPr>
          <w:b/>
          <w:bCs/>
        </w:rPr>
        <w:fldChar w:fldCharType="separate"/>
      </w:r>
      <w:hyperlink w:anchor="_Toc452798010" w:history="1">
        <w:r w:rsidR="00C11753" w:rsidRPr="00494791">
          <w:rPr>
            <w:rStyle w:val="Hyperlink"/>
            <w:noProof/>
          </w:rPr>
          <w:t>Appendix S1 | Database generation</w:t>
        </w:r>
        <w:r w:rsidR="00C11753">
          <w:rPr>
            <w:noProof/>
            <w:webHidden/>
          </w:rPr>
          <w:tab/>
        </w:r>
        <w:r>
          <w:rPr>
            <w:noProof/>
            <w:webHidden/>
          </w:rPr>
          <w:fldChar w:fldCharType="begin"/>
        </w:r>
        <w:r w:rsidR="00C11753">
          <w:rPr>
            <w:noProof/>
            <w:webHidden/>
          </w:rPr>
          <w:instrText xml:space="preserve"> PAGEREF _Toc452798010 \h </w:instrText>
        </w:r>
        <w:r>
          <w:rPr>
            <w:noProof/>
            <w:webHidden/>
          </w:rPr>
        </w:r>
        <w:r>
          <w:rPr>
            <w:noProof/>
            <w:webHidden/>
          </w:rPr>
          <w:fldChar w:fldCharType="separate"/>
        </w:r>
        <w:r w:rsidR="00C11753">
          <w:rPr>
            <w:noProof/>
            <w:webHidden/>
          </w:rPr>
          <w:t>2</w:t>
        </w:r>
        <w:r>
          <w:rPr>
            <w:noProof/>
            <w:webHidden/>
          </w:rPr>
          <w:fldChar w:fldCharType="end"/>
        </w:r>
      </w:hyperlink>
    </w:p>
    <w:p w:rsidR="00C11753" w:rsidRDefault="00572AD9">
      <w:pPr>
        <w:pStyle w:val="TOC3"/>
        <w:tabs>
          <w:tab w:val="right" w:leader="dot" w:pos="9016"/>
        </w:tabs>
        <w:rPr>
          <w:rFonts w:asciiTheme="minorHAnsi" w:eastAsiaTheme="minorEastAsia" w:hAnsiTheme="minorHAnsi" w:cstheme="minorBidi"/>
          <w:noProof/>
          <w:sz w:val="22"/>
          <w:szCs w:val="22"/>
          <w:lang w:eastAsia="en-GB"/>
        </w:rPr>
      </w:pPr>
      <w:hyperlink w:anchor="_Toc452798011" w:history="1">
        <w:r w:rsidR="00C11753" w:rsidRPr="00494791">
          <w:rPr>
            <w:rStyle w:val="Hyperlink"/>
            <w:noProof/>
          </w:rPr>
          <w:t>Measurement protocols</w:t>
        </w:r>
        <w:r w:rsidR="00C11753">
          <w:rPr>
            <w:noProof/>
            <w:webHidden/>
          </w:rPr>
          <w:tab/>
        </w:r>
        <w:r>
          <w:rPr>
            <w:noProof/>
            <w:webHidden/>
          </w:rPr>
          <w:fldChar w:fldCharType="begin"/>
        </w:r>
        <w:r w:rsidR="00C11753">
          <w:rPr>
            <w:noProof/>
            <w:webHidden/>
          </w:rPr>
          <w:instrText xml:space="preserve"> PAGEREF _Toc452798011 \h </w:instrText>
        </w:r>
        <w:r>
          <w:rPr>
            <w:noProof/>
            <w:webHidden/>
          </w:rPr>
        </w:r>
        <w:r>
          <w:rPr>
            <w:noProof/>
            <w:webHidden/>
          </w:rPr>
          <w:fldChar w:fldCharType="separate"/>
        </w:r>
        <w:r w:rsidR="00C11753">
          <w:rPr>
            <w:noProof/>
            <w:webHidden/>
          </w:rPr>
          <w:t>4</w:t>
        </w:r>
        <w:r>
          <w:rPr>
            <w:noProof/>
            <w:webHidden/>
          </w:rPr>
          <w:fldChar w:fldCharType="end"/>
        </w:r>
      </w:hyperlink>
    </w:p>
    <w:p w:rsidR="00C11753" w:rsidRDefault="00572AD9">
      <w:pPr>
        <w:pStyle w:val="TOC3"/>
        <w:tabs>
          <w:tab w:val="right" w:leader="dot" w:pos="9016"/>
        </w:tabs>
        <w:rPr>
          <w:rFonts w:asciiTheme="minorHAnsi" w:eastAsiaTheme="minorEastAsia" w:hAnsiTheme="minorHAnsi" w:cstheme="minorBidi"/>
          <w:noProof/>
          <w:sz w:val="22"/>
          <w:szCs w:val="22"/>
          <w:lang w:eastAsia="en-GB"/>
        </w:rPr>
      </w:pPr>
      <w:hyperlink w:anchor="_Toc452798012" w:history="1">
        <w:r w:rsidR="00C11753" w:rsidRPr="00494791">
          <w:rPr>
            <w:rStyle w:val="Hyperlink"/>
            <w:noProof/>
          </w:rPr>
          <w:t>Data screening</w:t>
        </w:r>
        <w:r w:rsidR="00C11753">
          <w:rPr>
            <w:noProof/>
            <w:webHidden/>
          </w:rPr>
          <w:tab/>
        </w:r>
        <w:r>
          <w:rPr>
            <w:noProof/>
            <w:webHidden/>
          </w:rPr>
          <w:fldChar w:fldCharType="begin"/>
        </w:r>
        <w:r w:rsidR="00C11753">
          <w:rPr>
            <w:noProof/>
            <w:webHidden/>
          </w:rPr>
          <w:instrText xml:space="preserve"> PAGEREF _Toc452798012 \h </w:instrText>
        </w:r>
        <w:r>
          <w:rPr>
            <w:noProof/>
            <w:webHidden/>
          </w:rPr>
        </w:r>
        <w:r>
          <w:rPr>
            <w:noProof/>
            <w:webHidden/>
          </w:rPr>
          <w:fldChar w:fldCharType="separate"/>
        </w:r>
        <w:r w:rsidR="00C11753">
          <w:rPr>
            <w:noProof/>
            <w:webHidden/>
          </w:rPr>
          <w:t>5</w:t>
        </w:r>
        <w:r>
          <w:rPr>
            <w:noProof/>
            <w:webHidden/>
          </w:rPr>
          <w:fldChar w:fldCharType="end"/>
        </w:r>
      </w:hyperlink>
    </w:p>
    <w:p w:rsidR="00C11753" w:rsidRDefault="00572AD9">
      <w:pPr>
        <w:pStyle w:val="TOC2"/>
        <w:tabs>
          <w:tab w:val="right" w:leader="dot" w:pos="9016"/>
        </w:tabs>
        <w:rPr>
          <w:rFonts w:asciiTheme="minorHAnsi" w:eastAsiaTheme="minorEastAsia" w:hAnsiTheme="minorHAnsi" w:cstheme="minorBidi"/>
          <w:noProof/>
          <w:sz w:val="22"/>
          <w:szCs w:val="22"/>
          <w:lang w:eastAsia="en-GB"/>
        </w:rPr>
      </w:pPr>
      <w:hyperlink w:anchor="_Toc452798013" w:history="1">
        <w:r w:rsidR="00C11753" w:rsidRPr="00494791">
          <w:rPr>
            <w:rStyle w:val="Hyperlink"/>
            <w:noProof/>
          </w:rPr>
          <w:t>Appendix S2 | Data binning</w:t>
        </w:r>
        <w:r w:rsidR="00C11753">
          <w:rPr>
            <w:noProof/>
            <w:webHidden/>
          </w:rPr>
          <w:tab/>
        </w:r>
        <w:r>
          <w:rPr>
            <w:noProof/>
            <w:webHidden/>
          </w:rPr>
          <w:fldChar w:fldCharType="begin"/>
        </w:r>
        <w:r w:rsidR="00C11753">
          <w:rPr>
            <w:noProof/>
            <w:webHidden/>
          </w:rPr>
          <w:instrText xml:space="preserve"> PAGEREF _Toc452798013 \h </w:instrText>
        </w:r>
        <w:r>
          <w:rPr>
            <w:noProof/>
            <w:webHidden/>
          </w:rPr>
        </w:r>
        <w:r>
          <w:rPr>
            <w:noProof/>
            <w:webHidden/>
          </w:rPr>
          <w:fldChar w:fldCharType="separate"/>
        </w:r>
        <w:r w:rsidR="00C11753">
          <w:rPr>
            <w:noProof/>
            <w:webHidden/>
          </w:rPr>
          <w:t>7</w:t>
        </w:r>
        <w:r>
          <w:rPr>
            <w:noProof/>
            <w:webHidden/>
          </w:rPr>
          <w:fldChar w:fldCharType="end"/>
        </w:r>
      </w:hyperlink>
    </w:p>
    <w:p w:rsidR="00C11753" w:rsidRDefault="00572AD9">
      <w:pPr>
        <w:pStyle w:val="TOC2"/>
        <w:tabs>
          <w:tab w:val="right" w:leader="dot" w:pos="9016"/>
        </w:tabs>
        <w:rPr>
          <w:rFonts w:asciiTheme="minorHAnsi" w:eastAsiaTheme="minorEastAsia" w:hAnsiTheme="minorHAnsi" w:cstheme="minorBidi"/>
          <w:noProof/>
          <w:sz w:val="22"/>
          <w:szCs w:val="22"/>
          <w:lang w:eastAsia="en-GB"/>
        </w:rPr>
      </w:pPr>
      <w:hyperlink w:anchor="_Toc452798014" w:history="1">
        <w:r w:rsidR="00C11753" w:rsidRPr="00494791">
          <w:rPr>
            <w:rStyle w:val="Hyperlink"/>
            <w:noProof/>
          </w:rPr>
          <w:t>Appendix S3 | Diameter model comparison</w:t>
        </w:r>
        <w:r w:rsidR="00C11753">
          <w:rPr>
            <w:noProof/>
            <w:webHidden/>
          </w:rPr>
          <w:tab/>
        </w:r>
        <w:r>
          <w:rPr>
            <w:noProof/>
            <w:webHidden/>
          </w:rPr>
          <w:fldChar w:fldCharType="begin"/>
        </w:r>
        <w:r w:rsidR="00C11753">
          <w:rPr>
            <w:noProof/>
            <w:webHidden/>
          </w:rPr>
          <w:instrText xml:space="preserve"> PAGEREF _Toc452798014 \h </w:instrText>
        </w:r>
        <w:r>
          <w:rPr>
            <w:noProof/>
            <w:webHidden/>
          </w:rPr>
        </w:r>
        <w:r>
          <w:rPr>
            <w:noProof/>
            <w:webHidden/>
          </w:rPr>
          <w:fldChar w:fldCharType="separate"/>
        </w:r>
        <w:r w:rsidR="00C11753">
          <w:rPr>
            <w:noProof/>
            <w:webHidden/>
          </w:rPr>
          <w:t>12</w:t>
        </w:r>
        <w:r>
          <w:rPr>
            <w:noProof/>
            <w:webHidden/>
          </w:rPr>
          <w:fldChar w:fldCharType="end"/>
        </w:r>
      </w:hyperlink>
    </w:p>
    <w:p w:rsidR="00C11753" w:rsidRDefault="00572AD9">
      <w:pPr>
        <w:pStyle w:val="TOC2"/>
        <w:tabs>
          <w:tab w:val="right" w:leader="dot" w:pos="9016"/>
        </w:tabs>
        <w:rPr>
          <w:rFonts w:asciiTheme="minorHAnsi" w:eastAsiaTheme="minorEastAsia" w:hAnsiTheme="minorHAnsi" w:cstheme="minorBidi"/>
          <w:noProof/>
          <w:sz w:val="22"/>
          <w:szCs w:val="22"/>
          <w:lang w:eastAsia="en-GB"/>
        </w:rPr>
      </w:pPr>
      <w:hyperlink w:anchor="_Toc452798015" w:history="1">
        <w:r w:rsidR="00C11753" w:rsidRPr="00494791">
          <w:rPr>
            <w:rStyle w:val="Hyperlink"/>
            <w:noProof/>
          </w:rPr>
          <w:t>Appendix S4 | Region-, forest type- and group-specific diameter equations</w:t>
        </w:r>
        <w:r w:rsidR="00C11753">
          <w:rPr>
            <w:noProof/>
            <w:webHidden/>
          </w:rPr>
          <w:tab/>
        </w:r>
        <w:r>
          <w:rPr>
            <w:noProof/>
            <w:webHidden/>
          </w:rPr>
          <w:fldChar w:fldCharType="begin"/>
        </w:r>
        <w:r w:rsidR="00C11753">
          <w:rPr>
            <w:noProof/>
            <w:webHidden/>
          </w:rPr>
          <w:instrText xml:space="preserve"> PAGEREF _Toc452798015 \h </w:instrText>
        </w:r>
        <w:r>
          <w:rPr>
            <w:noProof/>
            <w:webHidden/>
          </w:rPr>
        </w:r>
        <w:r>
          <w:rPr>
            <w:noProof/>
            <w:webHidden/>
          </w:rPr>
          <w:fldChar w:fldCharType="separate"/>
        </w:r>
        <w:r w:rsidR="00C11753">
          <w:rPr>
            <w:noProof/>
            <w:webHidden/>
          </w:rPr>
          <w:t>13</w:t>
        </w:r>
        <w:r>
          <w:rPr>
            <w:noProof/>
            <w:webHidden/>
          </w:rPr>
          <w:fldChar w:fldCharType="end"/>
        </w:r>
      </w:hyperlink>
    </w:p>
    <w:p w:rsidR="00C11753" w:rsidRDefault="00572AD9">
      <w:pPr>
        <w:pStyle w:val="TOC3"/>
        <w:tabs>
          <w:tab w:val="right" w:leader="dot" w:pos="9016"/>
        </w:tabs>
        <w:rPr>
          <w:rFonts w:asciiTheme="minorHAnsi" w:eastAsiaTheme="minorEastAsia" w:hAnsiTheme="minorHAnsi" w:cstheme="minorBidi"/>
          <w:noProof/>
          <w:sz w:val="22"/>
          <w:szCs w:val="22"/>
          <w:lang w:eastAsia="en-GB"/>
        </w:rPr>
      </w:pPr>
      <w:hyperlink w:anchor="_Toc452798016" w:history="1">
        <w:r w:rsidR="00C11753" w:rsidRPr="00494791">
          <w:rPr>
            <w:rStyle w:val="Hyperlink"/>
            <w:noProof/>
          </w:rPr>
          <w:t>Region- and forest type-specific equations</w:t>
        </w:r>
        <w:r w:rsidR="00C11753">
          <w:rPr>
            <w:noProof/>
            <w:webHidden/>
          </w:rPr>
          <w:tab/>
        </w:r>
        <w:r>
          <w:rPr>
            <w:noProof/>
            <w:webHidden/>
          </w:rPr>
          <w:fldChar w:fldCharType="begin"/>
        </w:r>
        <w:r w:rsidR="00C11753">
          <w:rPr>
            <w:noProof/>
            <w:webHidden/>
          </w:rPr>
          <w:instrText xml:space="preserve"> PAGEREF _Toc452798016 \h </w:instrText>
        </w:r>
        <w:r>
          <w:rPr>
            <w:noProof/>
            <w:webHidden/>
          </w:rPr>
        </w:r>
        <w:r>
          <w:rPr>
            <w:noProof/>
            <w:webHidden/>
          </w:rPr>
          <w:fldChar w:fldCharType="separate"/>
        </w:r>
        <w:r w:rsidR="00C11753">
          <w:rPr>
            <w:noProof/>
            <w:webHidden/>
          </w:rPr>
          <w:t>15</w:t>
        </w:r>
        <w:r>
          <w:rPr>
            <w:noProof/>
            <w:webHidden/>
          </w:rPr>
          <w:fldChar w:fldCharType="end"/>
        </w:r>
      </w:hyperlink>
    </w:p>
    <w:p w:rsidR="00C11753" w:rsidRDefault="00572AD9">
      <w:pPr>
        <w:pStyle w:val="TOC3"/>
        <w:tabs>
          <w:tab w:val="right" w:leader="dot" w:pos="9016"/>
        </w:tabs>
        <w:rPr>
          <w:rFonts w:asciiTheme="minorHAnsi" w:eastAsiaTheme="minorEastAsia" w:hAnsiTheme="minorHAnsi" w:cstheme="minorBidi"/>
          <w:noProof/>
          <w:sz w:val="22"/>
          <w:szCs w:val="22"/>
          <w:lang w:eastAsia="en-GB"/>
        </w:rPr>
      </w:pPr>
      <w:hyperlink w:anchor="_Toc452798017" w:history="1">
        <w:r w:rsidR="00C11753" w:rsidRPr="00494791">
          <w:rPr>
            <w:rStyle w:val="Hyperlink"/>
            <w:noProof/>
          </w:rPr>
          <w:t>Functional group-specific equations for each forest type and biogeographic region</w:t>
        </w:r>
        <w:r w:rsidR="00C11753">
          <w:rPr>
            <w:noProof/>
            <w:webHidden/>
          </w:rPr>
          <w:tab/>
        </w:r>
        <w:r>
          <w:rPr>
            <w:noProof/>
            <w:webHidden/>
          </w:rPr>
          <w:fldChar w:fldCharType="begin"/>
        </w:r>
        <w:r w:rsidR="00C11753">
          <w:rPr>
            <w:noProof/>
            <w:webHidden/>
          </w:rPr>
          <w:instrText xml:space="preserve"> PAGEREF _Toc452798017 \h </w:instrText>
        </w:r>
        <w:r>
          <w:rPr>
            <w:noProof/>
            <w:webHidden/>
          </w:rPr>
        </w:r>
        <w:r>
          <w:rPr>
            <w:noProof/>
            <w:webHidden/>
          </w:rPr>
          <w:fldChar w:fldCharType="separate"/>
        </w:r>
        <w:r w:rsidR="00C11753">
          <w:rPr>
            <w:noProof/>
            <w:webHidden/>
          </w:rPr>
          <w:t>16</w:t>
        </w:r>
        <w:r>
          <w:rPr>
            <w:noProof/>
            <w:webHidden/>
          </w:rPr>
          <w:fldChar w:fldCharType="end"/>
        </w:r>
      </w:hyperlink>
    </w:p>
    <w:p w:rsidR="00C11753" w:rsidRDefault="00572AD9">
      <w:pPr>
        <w:pStyle w:val="TOC2"/>
        <w:tabs>
          <w:tab w:val="right" w:leader="dot" w:pos="9016"/>
        </w:tabs>
        <w:rPr>
          <w:rFonts w:asciiTheme="minorHAnsi" w:eastAsiaTheme="minorEastAsia" w:hAnsiTheme="minorHAnsi" w:cstheme="minorBidi"/>
          <w:noProof/>
          <w:sz w:val="22"/>
          <w:szCs w:val="22"/>
          <w:lang w:eastAsia="en-GB"/>
        </w:rPr>
      </w:pPr>
      <w:hyperlink w:anchor="_Toc452798018" w:history="1">
        <w:r w:rsidR="00C11753" w:rsidRPr="00494791">
          <w:rPr>
            <w:rStyle w:val="Hyperlink"/>
            <w:noProof/>
          </w:rPr>
          <w:t>References</w:t>
        </w:r>
        <w:r w:rsidR="00C11753">
          <w:rPr>
            <w:noProof/>
            <w:webHidden/>
          </w:rPr>
          <w:tab/>
        </w:r>
        <w:r>
          <w:rPr>
            <w:noProof/>
            <w:webHidden/>
          </w:rPr>
          <w:fldChar w:fldCharType="begin"/>
        </w:r>
        <w:r w:rsidR="00C11753">
          <w:rPr>
            <w:noProof/>
            <w:webHidden/>
          </w:rPr>
          <w:instrText xml:space="preserve"> PAGEREF _Toc452798018 \h </w:instrText>
        </w:r>
        <w:r>
          <w:rPr>
            <w:noProof/>
            <w:webHidden/>
          </w:rPr>
        </w:r>
        <w:r>
          <w:rPr>
            <w:noProof/>
            <w:webHidden/>
          </w:rPr>
          <w:fldChar w:fldCharType="separate"/>
        </w:r>
        <w:r w:rsidR="00C11753">
          <w:rPr>
            <w:noProof/>
            <w:webHidden/>
          </w:rPr>
          <w:t>17</w:t>
        </w:r>
        <w:r>
          <w:rPr>
            <w:noProof/>
            <w:webHidden/>
          </w:rPr>
          <w:fldChar w:fldCharType="end"/>
        </w:r>
      </w:hyperlink>
    </w:p>
    <w:p w:rsidR="00D259D3" w:rsidRPr="00922D00" w:rsidRDefault="00572AD9" w:rsidP="00854588">
      <w:r w:rsidRPr="00922D00">
        <w:fldChar w:fldCharType="end"/>
      </w:r>
    </w:p>
    <w:p w:rsidR="00D259D3" w:rsidRPr="00922D00" w:rsidRDefault="00D259D3" w:rsidP="00D259D3">
      <w:r w:rsidRPr="00922D00">
        <w:br w:type="page"/>
      </w:r>
    </w:p>
    <w:p w:rsidR="00F91FC3" w:rsidRDefault="00F91FC3" w:rsidP="0066012C">
      <w:pPr>
        <w:pStyle w:val="Heading2"/>
        <w:sectPr w:rsidR="00F91FC3" w:rsidSect="00801343">
          <w:headerReference w:type="default" r:id="rId8"/>
          <w:footerReference w:type="default" r:id="rId9"/>
          <w:pgSz w:w="11906" w:h="16838"/>
          <w:pgMar w:top="1440" w:right="1440" w:bottom="1440" w:left="1440" w:header="708" w:footer="708" w:gutter="0"/>
          <w:cols w:space="708"/>
          <w:docGrid w:linePitch="360"/>
        </w:sectPr>
      </w:pPr>
      <w:bookmarkStart w:id="0" w:name="_GoBack"/>
      <w:bookmarkEnd w:id="0"/>
    </w:p>
    <w:p w:rsidR="00A33834" w:rsidRDefault="00A33834" w:rsidP="00A472E7">
      <w:pPr>
        <w:pStyle w:val="Heading2"/>
        <w:spacing w:before="0" w:after="360" w:line="360" w:lineRule="auto"/>
      </w:pPr>
      <w:bookmarkStart w:id="1" w:name="_Toc452798010"/>
      <w:r w:rsidRPr="00922D00">
        <w:lastRenderedPageBreak/>
        <w:t xml:space="preserve">Appendix </w:t>
      </w:r>
      <w:r w:rsidR="00A95572" w:rsidRPr="00922D00">
        <w:t>S</w:t>
      </w:r>
      <w:r w:rsidR="009533F2" w:rsidRPr="00922D00">
        <w:t>1</w:t>
      </w:r>
      <w:r w:rsidR="00762225" w:rsidRPr="00922D00">
        <w:t xml:space="preserve"> |</w:t>
      </w:r>
      <w:r w:rsidR="000B2FE0" w:rsidRPr="00922D00">
        <w:t xml:space="preserve"> </w:t>
      </w:r>
      <w:r w:rsidR="00B85E10">
        <w:t>Data</w:t>
      </w:r>
      <w:r w:rsidR="00632697">
        <w:t>base generation</w:t>
      </w:r>
      <w:bookmarkEnd w:id="1"/>
    </w:p>
    <w:p w:rsidR="00AE251A" w:rsidRDefault="00AE251A" w:rsidP="00C01DE8">
      <w:pPr>
        <w:pStyle w:val="Table"/>
        <w:spacing w:before="0" w:after="0"/>
      </w:pPr>
      <w:r w:rsidRPr="00AE251A">
        <w:rPr>
          <w:b/>
        </w:rPr>
        <w:t>Table S1 |</w:t>
      </w:r>
      <w:r w:rsidR="005C033A">
        <w:t xml:space="preserve"> List of d</w:t>
      </w:r>
      <w:r w:rsidR="00645E69">
        <w:t>ata sources</w:t>
      </w:r>
      <w:r w:rsidR="005C033A">
        <w:t xml:space="preserve"> </w:t>
      </w:r>
      <w:r w:rsidR="00E070EA">
        <w:t>included in the database.</w:t>
      </w:r>
    </w:p>
    <w:tbl>
      <w:tblPr>
        <w:tblW w:w="13338" w:type="dxa"/>
        <w:tblInd w:w="95" w:type="dxa"/>
        <w:tblLook w:val="04A0"/>
      </w:tblPr>
      <w:tblGrid>
        <w:gridCol w:w="1780"/>
        <w:gridCol w:w="1940"/>
        <w:gridCol w:w="2540"/>
        <w:gridCol w:w="7078"/>
      </w:tblGrid>
      <w:tr w:rsidR="005F5E5B" w:rsidRPr="005F5E5B" w:rsidTr="00D546AE">
        <w:trPr>
          <w:trHeight w:val="397"/>
        </w:trPr>
        <w:tc>
          <w:tcPr>
            <w:tcW w:w="1780" w:type="dxa"/>
            <w:tcBorders>
              <w:top w:val="single" w:sz="4" w:space="0" w:color="auto"/>
              <w:left w:val="nil"/>
              <w:bottom w:val="single" w:sz="4" w:space="0" w:color="auto"/>
              <w:right w:val="nil"/>
            </w:tcBorders>
            <w:shd w:val="clear" w:color="auto" w:fill="auto"/>
            <w:noWrap/>
            <w:vAlign w:val="center"/>
            <w:hideMark/>
          </w:tcPr>
          <w:p w:rsidR="005F5E5B" w:rsidRPr="006A50CC" w:rsidRDefault="005F5E5B" w:rsidP="005F5E5B">
            <w:pPr>
              <w:spacing w:after="0" w:line="240" w:lineRule="auto"/>
              <w:jc w:val="left"/>
              <w:rPr>
                <w:rFonts w:eastAsia="Times New Roman"/>
                <w:b/>
                <w:bCs/>
                <w:color w:val="000000"/>
                <w:szCs w:val="20"/>
                <w:lang w:eastAsia="en-GB"/>
              </w:rPr>
            </w:pPr>
            <w:r w:rsidRPr="006A50CC">
              <w:rPr>
                <w:rFonts w:eastAsia="Times New Roman"/>
                <w:b/>
                <w:bCs/>
                <w:color w:val="000000"/>
                <w:szCs w:val="20"/>
                <w:lang w:eastAsia="en-GB"/>
              </w:rPr>
              <w:t>Region</w:t>
            </w:r>
          </w:p>
        </w:tc>
        <w:tc>
          <w:tcPr>
            <w:tcW w:w="1940" w:type="dxa"/>
            <w:tcBorders>
              <w:top w:val="single" w:sz="4" w:space="0" w:color="auto"/>
              <w:left w:val="nil"/>
              <w:bottom w:val="single" w:sz="4" w:space="0" w:color="auto"/>
              <w:right w:val="nil"/>
            </w:tcBorders>
            <w:shd w:val="clear" w:color="auto" w:fill="auto"/>
            <w:noWrap/>
            <w:vAlign w:val="center"/>
            <w:hideMark/>
          </w:tcPr>
          <w:p w:rsidR="005F5E5B" w:rsidRPr="006A50CC" w:rsidRDefault="005F5E5B" w:rsidP="005F5E5B">
            <w:pPr>
              <w:spacing w:after="0" w:line="240" w:lineRule="auto"/>
              <w:jc w:val="left"/>
              <w:rPr>
                <w:rFonts w:eastAsia="Times New Roman"/>
                <w:b/>
                <w:bCs/>
                <w:color w:val="000000"/>
                <w:szCs w:val="20"/>
                <w:lang w:eastAsia="en-GB"/>
              </w:rPr>
            </w:pPr>
            <w:r w:rsidRPr="006A50CC">
              <w:rPr>
                <w:rFonts w:eastAsia="Times New Roman"/>
                <w:b/>
                <w:bCs/>
                <w:color w:val="000000"/>
                <w:szCs w:val="20"/>
                <w:lang w:eastAsia="en-GB"/>
              </w:rPr>
              <w:t>Country</w:t>
            </w:r>
          </w:p>
        </w:tc>
        <w:tc>
          <w:tcPr>
            <w:tcW w:w="2540" w:type="dxa"/>
            <w:tcBorders>
              <w:top w:val="single" w:sz="4" w:space="0" w:color="auto"/>
              <w:left w:val="nil"/>
              <w:bottom w:val="single" w:sz="4" w:space="0" w:color="auto"/>
              <w:right w:val="nil"/>
            </w:tcBorders>
            <w:shd w:val="clear" w:color="auto" w:fill="auto"/>
            <w:noWrap/>
            <w:vAlign w:val="center"/>
            <w:hideMark/>
          </w:tcPr>
          <w:p w:rsidR="005F5E5B" w:rsidRPr="006A50CC" w:rsidRDefault="005F5E5B" w:rsidP="005F5E5B">
            <w:pPr>
              <w:spacing w:after="0" w:line="240" w:lineRule="auto"/>
              <w:jc w:val="left"/>
              <w:rPr>
                <w:rFonts w:eastAsia="Times New Roman"/>
                <w:b/>
                <w:bCs/>
                <w:color w:val="000000"/>
                <w:szCs w:val="20"/>
                <w:lang w:eastAsia="en-GB"/>
              </w:rPr>
            </w:pPr>
            <w:r w:rsidRPr="006A50CC">
              <w:rPr>
                <w:rFonts w:eastAsia="Times New Roman"/>
                <w:b/>
                <w:bCs/>
                <w:color w:val="000000"/>
                <w:szCs w:val="20"/>
                <w:lang w:eastAsia="en-GB"/>
              </w:rPr>
              <w:t>Data source</w:t>
            </w:r>
          </w:p>
        </w:tc>
        <w:tc>
          <w:tcPr>
            <w:tcW w:w="7078" w:type="dxa"/>
            <w:tcBorders>
              <w:top w:val="single" w:sz="4" w:space="0" w:color="auto"/>
              <w:left w:val="nil"/>
              <w:bottom w:val="single" w:sz="4" w:space="0" w:color="auto"/>
              <w:right w:val="nil"/>
            </w:tcBorders>
            <w:shd w:val="clear" w:color="auto" w:fill="auto"/>
            <w:noWrap/>
            <w:vAlign w:val="center"/>
            <w:hideMark/>
          </w:tcPr>
          <w:p w:rsidR="005F5E5B" w:rsidRPr="006A50CC" w:rsidRDefault="005F5E5B" w:rsidP="005F5E5B">
            <w:pPr>
              <w:spacing w:after="0" w:line="240" w:lineRule="auto"/>
              <w:jc w:val="left"/>
              <w:rPr>
                <w:rFonts w:eastAsia="Times New Roman"/>
                <w:b/>
                <w:bCs/>
                <w:color w:val="000000"/>
                <w:szCs w:val="20"/>
                <w:lang w:eastAsia="en-GB"/>
              </w:rPr>
            </w:pPr>
            <w:r w:rsidRPr="006A50CC">
              <w:rPr>
                <w:rFonts w:eastAsia="Times New Roman"/>
                <w:b/>
                <w:bCs/>
                <w:color w:val="000000"/>
                <w:szCs w:val="20"/>
                <w:lang w:eastAsia="en-GB"/>
              </w:rPr>
              <w:t>Reference</w:t>
            </w:r>
          </w:p>
        </w:tc>
      </w:tr>
      <w:tr w:rsidR="005F5E5B" w:rsidRPr="005F5E5B" w:rsidTr="00D546AE">
        <w:trPr>
          <w:trHeight w:val="283"/>
        </w:trPr>
        <w:tc>
          <w:tcPr>
            <w:tcW w:w="178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Global</w:t>
            </w:r>
          </w:p>
        </w:tc>
        <w:tc>
          <w:tcPr>
            <w:tcW w:w="194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Open access database</w:t>
            </w:r>
          </w:p>
        </w:tc>
        <w:tc>
          <w:tcPr>
            <w:tcW w:w="7078" w:type="dxa"/>
            <w:tcBorders>
              <w:top w:val="nil"/>
              <w:left w:val="nil"/>
              <w:bottom w:val="nil"/>
              <w:right w:val="nil"/>
            </w:tcBorders>
            <w:shd w:val="clear" w:color="auto" w:fill="auto"/>
            <w:noWrap/>
            <w:vAlign w:val="center"/>
            <w:hideMark/>
          </w:tcPr>
          <w:p w:rsidR="005F5E5B" w:rsidRPr="00A472E7" w:rsidRDefault="00572AD9" w:rsidP="00763299">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"author" : [ { "dropping-particle" : "", "family" : "Falster", "given" : "Daniel S", "non-dropping-particle" : "", "parse-names" : false, "suffix" : "" }, { "dropping-particle" : "", "family" : "Duursma", "given" : "Remko A", "non-dropping-particle" : "", "parse-names" : false, "suffix" : "" }, { "dropping-particle" : "", "family" : "Ishihara", "given" : "Masae I", "non-dropping-particle" : "", "parse-names" : false, "suffix" : "" }, { "dropping-particle" : "", "family" : "Barneche", "given" : "Diego R", "non-dropping-particle" : "", "parse-names" : false, "suffix" : "" }, { "dropping-particle" : "", "family" : "Fitzjohn", "given" : "Richard G", "non-dropping-particle" : "", "parse-names" : false, "suffix" : "" }, { "dropping-particle" : "", "family" : "V\u00e5rhammar", "given" : "Angelica", "non-dropping-particle" : "", "parse-names" : false, "suffix" : "" }, { "dropping-particle" : "", "family" : "Aiba", "given" : "Masahiro", "non-dropping-particle" : "", "parse-names" : false, "suffix" : "" }, { "dropping-particle" : "", "family" : "Ando", "given" : "Makoto", "non-dropping-particle" : "", "parse-names" : false, "suffix" : "" }, { "dropping-particle" : "", "family" : "Anten", "given" : "Niels", "non-dropping-particle" : "", "parse-names" : false, "suffix" : "" }, { "dropping-particle" : "", "family" : "Aspinwall", "given" : "Michael J", "non-dropping-particle" : "", "parse-names" : false, "suffix" : "" }, { "dropping-particle" : "", "family" : "Jennifer", "given" : "L", "non-dropping-particle" : "", "parse-names" : false, "suffix" : "" }, { "dropping-particle" : "", "family" : "Baraloto", "given" : "Christopher", "non-dropping-particle" : "", "parse-names" : false, "suffix" : "" }, { "dropping-particle" : "", "family" : "Battaglia", "given" : "Michael", "non-dropping-particle" : "", "parse-names" : false, "suffix" : "" }, { "dropping-particle" : "", "family" : "Battles", "given" : "John J", "non-dropping-particle" : "", "parse-names" : false, "suffix" : "" }, { "dropping-particle" : "", "family" : "Bond-lamberty", "given" : "Ben", "non-dropping-particle" : "", "parse-names" : false, "suffix" : "" }, { "dropping-particle" : "", "family" : "Van", "given" : "Michiel", "non-dropping-particle" : "", "parse-names" : false, "suffix" : "" }, { "dropping-particle" : "", "family" : "Camac", "given" : "James", "non-dropping-particle" : "", "parse-names" : false, "suffix" : "" }, { "dropping-particle" : "", "family" : "Claveau", "given" : "Yves", "non-dropping-particle" : "", "parse-names" : false, "suffix" : "" }, { "dropping-particle" : "", "family" : "Coll", "given" : "Llu\u00eds", "non-dropping-particle" : "", "parse-names" : false, "suffix" : "" }, { "dropping-particle" : "", "family" : "Dannoura", "given" : "Masako", "non-dropping-particle" : "", "parse-names" : false, "suffix" : "" }, { "dropping-particle" : "", "family" : "Delagrange", "given" : "Sylvain", "non-dropping-particle" : "", "parse-names" : false, "suffix" : "" }, { "dropping-particle" : "", "family" : "Domec", "given" : "Christophe", "non-dropping-particle" : "", "parse-names" : false, "suffix" : "" }, { "dropping-particle" : "", "family" : "Fatemi", "given" : "Farrah", "non-dropping-particle" : "", "parse-names" : false, "suffix" : "" }, { "dropping-particle" : "", "family" : "Feng", "given" : "Wang", "non-dropping-particle" : "", "parse-names" : false, "suffix" : "" }, { "dropping-particle" : "", "family" : "Gargaglione", "given" : "Veronica", "non-dropping-particle" : "", "parse-names" : false, "suffix" : "" }, { "dropping-particle" : "", "family" : "Goto", "given" : "Yoshiaki", "non-dropping-particle" : "", "parse-names" : false, "suffix" : "" }, { "dropping-particle" : "", "family" : "Hagihara", "given" : "Akio", "non-dropping-particle" : "", "parse-names" : false, "suffix" : "" }, { "dropping-particle" : "", "family" : "Hall", "given" : "Jefferson S", "non-dropping-particle" : "", "parse-names" : false, "suffix" : "" }, { "dropping-particle" : "", "family" : "Hamilton", "given" : "Steve", "non-dropping-particle" : "", "parse-names" : false, "suffix" : "" }, { "dropping-particle" : "", "family" : "Harja", "given" : "Degi", "non-dropping-particle" : "", "parse-names" : false, "suffix" : "" }, { "dropping-particle" : "", "family" : "Hiura", "given" : "Tsutom", "non-dropping-particle" : "", "parse-names" : false, "suffix" : "" }, { "dropping-particle" : "", "family" : "Holdaway", "given" : "Robert", "non-dropping-particle" : "", "parse-names" : false, "suffix" : "" }, { "dropping-particle" : "", "family" : "Hutley", "given" : "Lindsay B", "non-dropping-particle" : "", "parse-names" : false, "suffix" : "" }, { "dropping-particle" : "", "family" : "Ichie", "given" : "Tomoaki", "non-dropping-particle" : "", "parse-names" : false, "suffix" : "" }, { "dropping-particle" : "", "family" : "Jokela", "given" : "Eric J", "non-dropping-particle" : "", "parse-names" : false, "suffix" : "" }, { "dropping-particle" : "", "family" : "Kantola", "given" : "Anu", "non-dropping-particle" : "", "parse-names" : false, "suffix" : "" }, { "dropping-particle" : "", "family" : "Kelly", "given" : "Jeff W G", "non-dropping-particle" : "", "parse-names" : false, "suffix" : "" }, { "dropping-particle" : "", "family" : "Kenzo", "given" : "Tanaka", "non-dropping-particle" : "", "parse-names" : false, "suffix" : "" }, { "dropping-particle" : "", "family" : "King", "given" : "David", "non-dropping-particle" : "", "parse-names" : false, "suffix" : "" }, { "dropping-particle" : "", "family" : "Brian", "given" : "D", "non-dropping-particle" : "", "parse-names" : false, "suffix" : "" }, { "dropping-particle" : "", "family" : "Kohyama", "given" : "Takashi", "non-dropping-particle" : "", "parse-names" : false, "suffix" : "" }, { "dropping-particle" : "", "family" : "Komiyama", "given" : "Akira", "non-dropping-particle" : "", "parse-names" : false, "suffix" : "" }, { "dropping-particle" : "", "family" : "Laclau", "given" : "Jean-paul", "non-dropping-particle" : "", "parse-names" : false, "suffix" : "" }, { "dropping-particle" : "", "family" : "Lusk", "given" : "Christopher H", "non-dropping-particle" : "", "parse-names" : false, "suffix" : "" }, { "dropping-particle" : "", "family" : "Douglas", "given" : "A", "non-dropping-particle" : "", "parse-names" : false, "suffix" : "" }, { "dropping-particle" : "", "family" : "Maire", "given" : "Guerric", "non-dropping-particle" : "", "parse-names" : false, "suffix" : "" }, { "dropping-particle" : "", "family" : "M\u00e4kel\u00e4", "given" : "Annikki", "non-dropping-particle" : "", "parse-names" : false, "suffix" : "" }, { "dropping-particle" : "", "family" : "Markesteijn", "given" : "Lars", "non-dropping-particle" : "", "parse-names" : false, "suffix" : "" }, { "dropping-particle" : "", "family" : "Marshall", "given" : "John", "non-dropping-particle" : "", "parse-names" : false, "suffix" : "" }, { "dropping-particle" : "", "family" : "Mcculloh", "given" : "Katherine", "non-dropping-particle" : "", "parse-names" : false, "suffix" : "" }, { "dropping-particle" : "", "family" : "Miyata", "given" : "Itsuo", "non-dropping-particle" : "", "parse-names" : false, "suffix" : "" }, { "dropping-particle" : "", "family" : "Mokany", "given" : "Karel", "non-dropping-particle" : "", "parse-names" : false, "suffix" : "" }, { "dropping-particle" : "", "family" : "Mori", "given" : "Shigeta", "non-dropping-particle" : "", "parse-names" : false, "suffix" : "" }, { "dropping-particle" : "", "family" : "Myster", "given" : "Randall W", "non-dropping-particle" : "", "parse-names" : false, "suffix" : "" }, { "dropping-particle" : "", "family" : "Nagano", "given" : "Masahiro", "non-dropping-particle" : "", "parse-names" : false, "suffix" : "" }, { "dropping-particle" : "", "family" : "Naidu", "given" : "Shawna L", "non-dropping-particle" : "", "parse-names" : false, "suffix" : "" }, { "dropping-particle" : "", "family" : "Nouvellon", "given" : "Yann", "non-dropping-particle" : "", "parse-names" : false, "suffix" : "" }, { "dropping-particle" : "", "family" : "Grady", "given" : "Anthony P O", "non-dropping-particle" : "", "parse-names" : false, "suffix" : "" }, { "dropping-particle" : "", "family" : "Hara", "given" : "Kevin L O", "non-dropping-particle" : "", "parse-names" : false, "suffix" : "" }, { "dropping-particle" : "", "family" : "Ohtsuka", "given" : "Toshiyuki", "non-dropping-particle" : "", "parse-names" : false, "suffix" : "" }, { "dropping-particle" : "", "family" : "Osada", "given" : "Noriyuki", "non-dropping-particle" : "", "parse-names" : false, "suffix" : "" }, { "dropping-particle" : "", "family" : "Osunkoya", "given" : "O", "non-dropping-particle" : "", "parse-names" : false, "suffix" : "" }, { "dropping-particle" : "", "family" : "Peri", "given" : "Pablo Luis", "non-dropping-particle" : "", "parse-names" : false, "suffix" : "" }, { "dropping-particle" : "", "family" : "Petritan", "given" : "Any Mary", "non-dropping-particle" : "", "parse-names" : false, "suffix" : "" }, { "dropping-particle" : "", "family" : "Poorter", "given" : "Lourens", "non-dropping-particle" : "", "parse-names" : false, "suffix" : "" }, { "dropping-particle" : "", "family" : "Portsmuth", "given" : "Angelika", "non-dropping-particle" : "", "parse-names" : false, "suffix" : "" }, { "dropping-particle" : "", "family" : "Ransijn", "given" : "Johannes", "non-dropping-particle" : "", "parse-names" : false, "suffix" : "" }, { "dropping-particle" : "", "family" : "Reid", "given" : "Douglas", "non-dropping-particle" : "", "parse-names" : false, "suffix" : "" }, { "dropping-particle" : "", "family" : "Ribeiro", "given" : "Sabina C", "non-dropping-particle" : "", "parse-names" : false, "suffix" : "" }, { "dropping-particle" : "", "family" : "Roberts", "given" : "Scott D", "non-dropping-particle" : "", "parse-names" : false, "suffix" : "" }, { "dropping-particle" : "", "family" : "Rodr\u00edguez", "given" : "Rolando", "non-dropping-particle" : "", "parse-names" : false, "suffix" : "" }, { "dropping-particle" : "", "family" : "Santa-regina", "given" : "Ignacio", "non-dropping-particle" : "", "parse-names" : false, "suffix" : "" }, { "dropping-particle" : "", "family" : "Sasa", "given" : "Kaichiro", "non-dropping-particle" : "", "parse-names" : false, "suffix" : "" }, { "dropping-particle" : "", "family" : "Selaya", "given" : "N Galia", "non-dropping-particle" : "", "parse-names" : false, "suffix" : "" }, { "dropping-particle" : "", "family" : "Sillett", "given" : "Stephen C", "non-dropping-particle" : "", "parse-names" : false, "suffix" : "" }, { "dropping-particle" : "", "family" : "Sterck", "given" : "Frank", "non-dropping-particle" : "", "parse-names" : false, "suffix" : "" }, { "dropping-particle" : "", "family" : "Takagi", "given" : "Kentaro", "non-dropping-particle" : "", "parse-names" : false, "suffix" : "" }, { "dropping-particle" : "", "family" : "Tange", "given" : "Takeshi", "non-dropping-particle" : "", "parse-names" : false, "suffix" : "" }, { "dropping-particle" : "", "family" : "Tanouchi", "given" : "Hiroyuki", "non-dropping-particle" : "", "parse-names" : false, "suffix" : "" }, { "dropping-particle" : "", "family" : "Tissue", "given" : "David", "non-dropping-particle" : "", "parse-names" : false, "suffix" : "" }, { "dropping-particle" : "", "family" : "Umehara", "given" : "Toru", "non-dropping-particle" : "", "parse-names" : false, "suffix" : "" }, { "dropping-particle" : "", "family" : "Utsugi", "given" : "Hajime", "non-dropping-particle" : "", "parse-names" : false, "suffix" : "" }, { "dropping-particle" : "", "family" : "Vadeboncoeur", "given" : "Matthew A", "non-dropping-particle" : "", "parse-names" : false, "suffix" : "" }, { "dropping-particle" : "", "family" : "Valladares", "given" : "Fernando", "non-dropping-particle" : "", "parse-names" : false, "suffix" : "" }, { "dropping-particle" : "", "family" : "Vanninen", "given" : "Petteri", "non-dropping-particle" : "", "parse-names" : false, "suffix" : "" }, { "dropping-particle" : "", "family" : "Wang", "given" : "Jian R", "non-dropping-particle" : "", "parse-names" : false, "suffix" : "" }, { "dropping-particle" : "", "family" : "Wenk", "given" : "Elizabeth", "non-dropping-particle" : "", "parse-names" : false, "suffix" : "" }, { "dropping-particle" : "", "family" : "Yanai", "given" : "Ruth D", "non-dropping-particle" : "", "parse-names" : false, "suffix" : "" }, { "dropping-particle" : "", "family" : "York", "given" : "Robert A", "non-dropping-particle" : "", "parse-names" : false, "suffix" : "" } ], "container-title" : "Ecology", "id" : "ITEM-1", "issued" : { "date-parts" : [ [ "2015" ] ] }, "page" : "1445", "title" : "BAAD: a biomass and allometry database for woody plants", "type" : "article-journal", "volume" : "96" }, "uris" : [ "http://www.mendeley.com/documents/?uuid=8f21de90-6cdb-4434-b942-91ab0c24fbb6" ] } ], "mendeley" : { "formattedCitation" : "(Falster &lt;i&gt;et al.&lt;/i&gt;, 2015)", "manualFormatting" : "Falster et al. (2015)", "plainTextFormattedCitation" : "(Falster et al., 2015)", "previouslyFormattedCitation" : "(Falster &lt;i&gt;et al.&lt;/i&gt;, 2015)" }, "properties" : { "noteIndex" : 0 }, "schema" : "https://github.com/citation-style-language/schema/raw/master/csl-citation.json" }</w:instrText>
            </w:r>
            <w:r w:rsidRPr="00A472E7">
              <w:rPr>
                <w:rFonts w:eastAsia="Times New Roman"/>
                <w:sz w:val="22"/>
                <w:szCs w:val="20"/>
                <w:lang w:eastAsia="en-GB"/>
              </w:rPr>
              <w:fldChar w:fldCharType="separate"/>
            </w:r>
            <w:r w:rsidR="00763299" w:rsidRPr="00A472E7">
              <w:rPr>
                <w:rFonts w:eastAsia="Times New Roman"/>
                <w:noProof/>
                <w:sz w:val="22"/>
                <w:szCs w:val="20"/>
                <w:lang w:eastAsia="en-GB"/>
              </w:rPr>
              <w:t xml:space="preserve">Falster </w:t>
            </w:r>
            <w:r w:rsidR="00763299" w:rsidRPr="00A472E7">
              <w:rPr>
                <w:rFonts w:eastAsia="Times New Roman"/>
                <w:i/>
                <w:noProof/>
                <w:sz w:val="22"/>
                <w:szCs w:val="20"/>
                <w:lang w:eastAsia="en-GB"/>
              </w:rPr>
              <w:t>et al.</w:t>
            </w:r>
            <w:r w:rsidR="00763299" w:rsidRPr="00A472E7">
              <w:rPr>
                <w:rFonts w:eastAsia="Times New Roman"/>
                <w:noProof/>
                <w:sz w:val="22"/>
                <w:szCs w:val="20"/>
                <w:lang w:eastAsia="en-GB"/>
              </w:rPr>
              <w:t xml:space="preserve"> (2015)</w:t>
            </w:r>
            <w:r w:rsidRPr="00A472E7">
              <w:rPr>
                <w:rFonts w:eastAsia="Times New Roman"/>
                <w:sz w:val="22"/>
                <w:szCs w:val="20"/>
                <w:lang w:eastAsia="en-GB"/>
              </w:rPr>
              <w:fldChar w:fldCharType="end"/>
            </w:r>
          </w:p>
        </w:tc>
      </w:tr>
      <w:tr w:rsidR="005F5E5B" w:rsidRPr="005F5E5B" w:rsidTr="00D546AE">
        <w:trPr>
          <w:trHeight w:val="283"/>
        </w:trPr>
        <w:tc>
          <w:tcPr>
            <w:tcW w:w="178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Global</w:t>
            </w:r>
          </w:p>
        </w:tc>
        <w:tc>
          <w:tcPr>
            <w:tcW w:w="194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5F5E5B" w:rsidRPr="00A472E7" w:rsidRDefault="00572AD9" w:rsidP="00763299">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"10.1111/gcb.12629", "ISBN" : "1365-2486", "ISSN" : "13541013", "PMID" : "24817483", "abstract" : "Terrestrial carbon stock mapping is important for the successful implementation of climate change mitigation policies. Its accuracy depends on the availability of reliable allometric models to infer oven-dry aboveground biomass of trees from census data. The degree of uncertainty associated with previously published pantropical aboveground biomass allometries is large. We analyzed a global database of directly harvested trees at 58 sites, spanning a wide range of climatic conditions and vegetation types (4004 trees \u2265 5 cm trunk diameter). When trunk diameter, total tree height, and wood specific gravity were included in the aboveground biomass model as covariates, a single model was found to hold across tropical vegetation types, with no detectable effect of region or environmental factors. The mean percent bias and variance of this model was only slightly higher than that of locally fitted models. Wood specific gravity was an important predictor of aboveground biomass, especially when including a much broader range of vegetation types than previous studies. The generic tree diameter-height relationship depended linearly on a bioclimatic stress variable E, which compounds indices of temperature variability, precipitation variability, and drought intensity. For cases in which total tree height is unavailable for aboveground biomass estimation, a pantropical model incorporating wood density, trunk diameter, and the variable E outperformed previously published models without height. However, to minimize bias, the development of locally derived diameter-height relationships is advised whenever possible. Both new allometric models should contribute to improve the accuracy of biomass assessment protocols in tropical vegetation types, and to advancing our understanding of architectural and evolutionary constraints on woody plant development.", "author" : [ { "dropping-particle" : "", "family" : "Chave", "given" : "J\u00e9r\u00f4me", "non-dropping-particle" : "", "parse-names" : false, "suffix" : "" }, { "dropping-particle" : "", "family" : "R\u00e9jou-M\u00e9chain", "given" : "Maxime", "non-dropping-particle" : "", "parse-names" : false, "suffix" : "" }, { "dropping-particle" : "", "family" : "B\u00farquez", "given" : "Alberto", "non-dropping-particle" : "", "parse-names" : false, "suffix" : "" }, { "dropping-particle" : "", "family" : "Chidumayo", "given" : "Emmanuel", "non-dropping-particle" : "", "parse-names" : false, "suffix" : "" }, { "dropping-particle" : "", "family" : "Colgan", "given" : "Matthew S.", "non-dropping-particle" : "", "parse-names" : false, "suffix" : "" }, { "dropping-particle" : "", "family" : "Delitti", "given" : "Welington B C", "non-dropping-particle" : "", "parse-names" : false, "suffix" : "" }, { "dropping-particle" : "", "family" : "Duque", "given" : "Alvaro", "non-dropping-particle" : "", "parse-names" : false, "suffix" : "" }, { "dropping-particle" : "", "family" : "Eid", "given" : "Tron", "non-dropping-particle" : "", "parse-names" : false, "suffix" : "" }, { "dropping-particle" : "", "family" : "Fearnside", "given" : "Philip M.", "non-dropping-particle" : "", "parse-names" : false, "suffix" : "" }, { "dropping-particle" : "", "family" : "Goodman", "given" : "Rosa C.", "non-dropping-particle" : "", "parse-names" : false, "suffix" : "" }, { "dropping-particle" : "", "family" : "Henry", "given" : "Matieu", "non-dropping-particle" : "", "parse-names" : false, "suffix" : "" }, { "dropping-particle" : "", "family" : "Mart\u00ednez-Yr\u00edzar", "given" : "Angelina", "non-dropping-particle" : "", "parse-names" : false, "suffix" : "" }, { "dropping-particle" : "", "family" : "Mugasha", "given" : "Wilson A.", "non-dropping-particle" : "", "parse-names" : false, "suffix" : "" }, { "dropping-particle" : "", "family" : "Muller-Landau", "given" : "Helene C.", "non-dropping-particle" : "", "parse-names" : false, "suffix" : "" }, { "dropping-particle" : "", "family" : "Mencuccini", "given" : "Maurizio", "non-dropping-particle" : "", "parse-names" : false, "suffix" : "" }, { "dropping-particle" : "", "family" : "Nelson", "given" : "Bruce W.", "non-dropping-particle" : "", "parse-names" : false, "suffix" : "" }, { "dropping-particle" : "", "family" : "Ngomanda", "given" : "Alfred", "non-dropping-particle" : "", "parse-names" : false, "suffix" : "" }, { "dropping-particle" : "", "family" : "Nogueira", "given" : "Euler M.", "non-dropping-particle" : "", "parse-names" : false, "suffix" : "" }, { "dropping-particle" : "", "family" : "Ortiz-Malavassi", "given" : "Edgar", "non-dropping-particle" : "", "parse-names" : false, "suffix" : "" }, { "dropping-particle" : "", "family" : "P\u00e9lissier", "given" : "Rapha\u00ebl", "non-dropping-particle" : "", "parse-names" : false, "suffix" : "" }, { "dropping-particle" : "", "family" : "Ploton", "given" : "Pierre", "non-dropping-particle" : "", "parse-names" : false, "suffix" : "" }, { "dropping-particle" : "", "family" : "Ryan", "given" : "Casey M.", "non-dropping-particle" : "", "parse-names" : false, "suffix" : "" }, { "dropping-particle" : "", "family" : "Saldarriaga", "given" : "Juan G.", "non-dropping-particle" : "", "parse-names" : false, "suffix" : "" }, { "dropping-particle" : "", "family" : "Vieilledent", "given" : "Ghislain", "non-dropping-particle" : "", "parse-names" : false, "suffix" : "" } ], "container-title" : "Global Change Biology", "id" : "ITEM-1", "issued" : { "date-parts" : [ [ "2014" ] ] }, "page" : "3177-3190", "title" : "Improved allometric models to estimate the aboveground biomass of tropical trees", "type" : "article-journal", "volume" : "20" }, "uris" : [ "http://www.mendeley.com/documents/?uuid=d27f301c-a296-499f-819e-63b7e85f85a0" ] } ], "mendeley" : { "formattedCitation" : "(Chave &lt;i&gt;et al.&lt;/i&gt;, 2014)", "manualFormatting" : "Chave et al. (2014)", "plainTextFormattedCitation" : "(Chave et al., 2014)", "previouslyFormattedCitation" : "(Chave &lt;i&gt;et al.&lt;/i&gt;, 2014)" }, "properties" : { "noteIndex" : 0 }, "schema" : "https://github.com/citation-style-language/schema/raw/master/csl-citation.json" }</w:instrText>
            </w:r>
            <w:r w:rsidRPr="00A472E7">
              <w:rPr>
                <w:rFonts w:eastAsia="Times New Roman"/>
                <w:sz w:val="22"/>
                <w:szCs w:val="20"/>
                <w:lang w:eastAsia="en-GB"/>
              </w:rPr>
              <w:fldChar w:fldCharType="separate"/>
            </w:r>
            <w:r w:rsidR="00763299" w:rsidRPr="00A472E7">
              <w:rPr>
                <w:rFonts w:eastAsia="Times New Roman"/>
                <w:noProof/>
                <w:sz w:val="22"/>
                <w:szCs w:val="20"/>
                <w:lang w:eastAsia="en-GB"/>
              </w:rPr>
              <w:t xml:space="preserve">Chave </w:t>
            </w:r>
            <w:r w:rsidR="00763299" w:rsidRPr="00A472E7">
              <w:rPr>
                <w:rFonts w:eastAsia="Times New Roman"/>
                <w:i/>
                <w:noProof/>
                <w:sz w:val="22"/>
                <w:szCs w:val="20"/>
                <w:lang w:eastAsia="en-GB"/>
              </w:rPr>
              <w:t>et al.</w:t>
            </w:r>
            <w:r w:rsidR="00A01D5C" w:rsidRPr="00A472E7">
              <w:rPr>
                <w:rFonts w:eastAsia="Times New Roman"/>
                <w:noProof/>
                <w:sz w:val="22"/>
                <w:szCs w:val="20"/>
                <w:lang w:eastAsia="en-GB"/>
              </w:rPr>
              <w:t xml:space="preserve"> (</w:t>
            </w:r>
            <w:r w:rsidR="00B710F1" w:rsidRPr="00A472E7">
              <w:rPr>
                <w:rFonts w:eastAsia="Times New Roman"/>
                <w:noProof/>
                <w:sz w:val="22"/>
                <w:szCs w:val="20"/>
                <w:lang w:eastAsia="en-GB"/>
              </w:rPr>
              <w:t>2014</w:t>
            </w:r>
            <w:r w:rsidR="00763299" w:rsidRPr="00A472E7">
              <w:rPr>
                <w:rFonts w:eastAsia="Times New Roman"/>
                <w:noProof/>
                <w:sz w:val="22"/>
                <w:szCs w:val="20"/>
                <w:lang w:eastAsia="en-GB"/>
              </w:rPr>
              <w:t>)</w:t>
            </w:r>
            <w:r w:rsidRPr="00A472E7">
              <w:rPr>
                <w:rFonts w:eastAsia="Times New Roman"/>
                <w:sz w:val="22"/>
                <w:szCs w:val="20"/>
                <w:lang w:eastAsia="en-GB"/>
              </w:rPr>
              <w:fldChar w:fldCharType="end"/>
            </w:r>
          </w:p>
        </w:tc>
      </w:tr>
      <w:tr w:rsidR="005F5E5B" w:rsidRPr="005F5E5B" w:rsidTr="00D546AE">
        <w:trPr>
          <w:trHeight w:val="283"/>
        </w:trPr>
        <w:tc>
          <w:tcPr>
            <w:tcW w:w="178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Global</w:t>
            </w:r>
          </w:p>
        </w:tc>
        <w:tc>
          <w:tcPr>
            <w:tcW w:w="194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Open access database</w:t>
            </w:r>
          </w:p>
        </w:tc>
        <w:tc>
          <w:tcPr>
            <w:tcW w:w="7078" w:type="dxa"/>
            <w:tcBorders>
              <w:top w:val="nil"/>
              <w:left w:val="nil"/>
              <w:bottom w:val="nil"/>
              <w:right w:val="nil"/>
            </w:tcBorders>
            <w:shd w:val="clear" w:color="auto" w:fill="auto"/>
            <w:noWrap/>
            <w:vAlign w:val="center"/>
            <w:hideMark/>
          </w:tcPr>
          <w:p w:rsidR="005F5E5B" w:rsidRPr="00A472E7" w:rsidRDefault="005F5E5B" w:rsidP="005F5E5B">
            <w:pPr>
              <w:spacing w:after="0" w:line="240" w:lineRule="auto"/>
              <w:jc w:val="left"/>
              <w:rPr>
                <w:rFonts w:eastAsia="Times New Roman"/>
                <w:szCs w:val="20"/>
                <w:lang w:eastAsia="en-GB"/>
              </w:rPr>
            </w:pPr>
            <w:r w:rsidRPr="00A472E7">
              <w:rPr>
                <w:rFonts w:eastAsia="Times New Roman"/>
                <w:sz w:val="22"/>
                <w:szCs w:val="20"/>
                <w:lang w:eastAsia="en-GB"/>
              </w:rPr>
              <w:t>http://elar.usfeu.ru/handle/123456789/4931?locale=en</w:t>
            </w:r>
          </w:p>
        </w:tc>
      </w:tr>
      <w:tr w:rsidR="001A591F" w:rsidRPr="005F5E5B" w:rsidTr="00D546AE">
        <w:trPr>
          <w:trHeight w:val="283"/>
        </w:trPr>
        <w:tc>
          <w:tcPr>
            <w:tcW w:w="1780" w:type="dxa"/>
            <w:tcBorders>
              <w:top w:val="nil"/>
              <w:left w:val="nil"/>
              <w:bottom w:val="nil"/>
              <w:right w:val="nil"/>
            </w:tcBorders>
            <w:shd w:val="clear" w:color="auto" w:fill="auto"/>
            <w:noWrap/>
            <w:vAlign w:val="center"/>
          </w:tcPr>
          <w:p w:rsidR="001A591F" w:rsidRPr="00A472E7" w:rsidRDefault="001A591F"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Global</w:t>
            </w:r>
          </w:p>
        </w:tc>
        <w:tc>
          <w:tcPr>
            <w:tcW w:w="1940" w:type="dxa"/>
            <w:tcBorders>
              <w:top w:val="nil"/>
              <w:left w:val="nil"/>
              <w:bottom w:val="nil"/>
              <w:right w:val="nil"/>
            </w:tcBorders>
            <w:shd w:val="clear" w:color="auto" w:fill="auto"/>
            <w:noWrap/>
            <w:vAlign w:val="center"/>
          </w:tcPr>
          <w:p w:rsidR="001A591F" w:rsidRPr="00A472E7" w:rsidRDefault="001A591F"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vAlign w:val="center"/>
          </w:tcPr>
          <w:p w:rsidR="001A591F" w:rsidRPr="00A472E7" w:rsidRDefault="001A591F" w:rsidP="005F5E5B">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tcPr>
          <w:p w:rsidR="001A591F" w:rsidRPr="00A472E7" w:rsidRDefault="00572AD9" w:rsidP="001A591F">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"10.1111/geb.12205", "ISBN" : "1466-8238", "ISSN" : "1466822X", "abstract" : "ABSTRACT Aim We examined differences in the architecture of African and Australian savanna trees. We sought to attribute variation in tree architecture to current environments, wood density and phylogeny, and thereby elucidate the relative importance of biogeographic idiosyncrasies versus current factors in underpinning architectural differences. Location Africa and Australia. Methods We compiled canopy diameters and stem diameters from 4867 trees of 97 species and heights and stem diameters from 10,786 trees of 155 species from a range of African and Australian savanna ecosystems and climates. Using Bayesian methods we first estimated continental-scale savanna tree allometries, ignoring species differences. We then examined continental differences in species-specific allometries accounting for trait covariation using a phylogeny of our study species. Environmental variables and wood density data were included as covariates, allow- ing us to assess the potential underpinning of regional differences in tree allometries by differences in current environments and traits. Results Substantial allometric differences exist between Australian and African savanna trees. Australian trees are on average 6m taller at 20 cm diameter, with a 53%smaller canopy area than African trees.However, this extremecontinental-scale variation is driven by the architecture of only a few taxa in this study \u2013 Vachellia and Senegalia versus Eucalyptus and Corymbia \u2013 rather than systematic differences between species,wood density and environment.These same genera often dominate the woody strata of South African and Australian savannas, respectively. Main conclusions Stark differences in the architecture of African and Australian savanna tree taxa are not a product of environmental differences and are not consistent across species. Rather, the most likely explanation is the different evolu- tionary histories of African and Australian savannas, which share nowoody species. We consider that these architectural differences are likely to impact regional pat- terns of woody biomass accumulation", "author" : [ { "dropping-particle" : "", "family" : "Moncrieff", "given" : "Glenn R.", "non-dropping-particle" : "", "parse-names" : false, "suffix" : "" }, { "dropping-particle" : "", "family" : "Lehmann", "given" : "Caroline E R", "non-dropping-particle" : "", "parse-names" : false, "suffix" : "" }, { "dropping-particle" : "", "family" : "Schnitzler", "given" : "Jan", "non-dropping-particle" : "", "parse-names" : false, "suffix" : "" }, { "dropping-particle" : "", "family" : "Gambiza", "given" : "James", "non-dropping-particle" : "", "parse-names" : false, "suffix" : "" }, { "dropping-particle" : "", "family" : "Hiernaux", "given" : "Pierre", "non-dropping-particle" : "", "parse-names" : false, "suffix" : "" }, { "dropping-particle" : "", "family" : "Ryan", "given" : "Casey M.", "non-dropping-particle" : "", "parse-names" : false, "suffix" : "" }, { "dropping-particle" : "", "family" : "Shackleton", "given" : "Charlie M.", "non-dropping-particle" : "", "parse-names" : false, "suffix" : "" }, { "dropping-particle" : "", "family" : "Williams", "given" : "Richard J.", "non-dropping-particle" : "", "parse-names" : false, "suffix" : "" }, { "dropping-particle" : "", "family" : "Higgins", "given" : "Steven I.", "non-dropping-particle" : "", "parse-names" : false, "suffix" : "" } ], "container-title" : "Global Ecology and Biogeography", "id" : "ITEM-1", "issued" : { "date-parts" : [ [ "2014" ] ] }, "page" : "1235-1244", "title" : "Contrasting architecture of key African and Australian savanna tree taxa drives intercontinental structural divergence", "type" : "article-journal", "volume" : "23" }, "uris" : [ "http://www.mendeley.com/documents/?uuid=2181cc38-f3e7-410c-a046-8b42002f8722" ] } ], "mendeley" : { "formattedCitation" : "(Moncrieff &lt;i&gt;et al.&lt;/i&gt;, 2014)", "manualFormatting" : "Moncrieff et al. (2014)", "plainTextFormattedCitation" : "(Moncrieff et al., 2014)", "previouslyFormattedCitation" : "(Moncrieff &lt;i&gt;et al.&lt;/i&gt;, 2014)" }, "properties" : { "noteIndex" : 0 }, "schema" : "https://github.com/citation-style-language/schema/raw/master/csl-citation.json" }</w:instrText>
            </w:r>
            <w:r w:rsidRPr="00A472E7">
              <w:rPr>
                <w:rFonts w:eastAsia="Times New Roman"/>
                <w:sz w:val="22"/>
                <w:szCs w:val="20"/>
                <w:lang w:eastAsia="en-GB"/>
              </w:rPr>
              <w:fldChar w:fldCharType="separate"/>
            </w:r>
            <w:r w:rsidR="001A591F" w:rsidRPr="00A472E7">
              <w:rPr>
                <w:rFonts w:eastAsia="Times New Roman"/>
                <w:noProof/>
                <w:sz w:val="22"/>
                <w:szCs w:val="20"/>
                <w:lang w:eastAsia="en-GB"/>
              </w:rPr>
              <w:t xml:space="preserve">Moncrieff </w:t>
            </w:r>
            <w:r w:rsidR="001A591F" w:rsidRPr="00A472E7">
              <w:rPr>
                <w:rFonts w:eastAsia="Times New Roman"/>
                <w:i/>
                <w:noProof/>
                <w:sz w:val="22"/>
                <w:szCs w:val="20"/>
                <w:lang w:eastAsia="en-GB"/>
              </w:rPr>
              <w:t>et al.</w:t>
            </w:r>
            <w:r w:rsidR="001A591F" w:rsidRPr="00A472E7">
              <w:rPr>
                <w:rFonts w:eastAsia="Times New Roman"/>
                <w:noProof/>
                <w:sz w:val="22"/>
                <w:szCs w:val="20"/>
                <w:lang w:eastAsia="en-GB"/>
              </w:rPr>
              <w:t xml:space="preserve"> (2014)</w:t>
            </w:r>
            <w:r w:rsidRPr="00A472E7">
              <w:rPr>
                <w:rFonts w:eastAsia="Times New Roman"/>
                <w:sz w:val="22"/>
                <w:szCs w:val="20"/>
                <w:lang w:eastAsia="en-GB"/>
              </w:rPr>
              <w:fldChar w:fldCharType="end"/>
            </w:r>
          </w:p>
        </w:tc>
      </w:tr>
      <w:tr w:rsidR="005F5E5B" w:rsidRPr="005F5E5B" w:rsidTr="00D546AE">
        <w:trPr>
          <w:trHeight w:val="283"/>
        </w:trPr>
        <w:tc>
          <w:tcPr>
            <w:tcW w:w="1780" w:type="dxa"/>
            <w:tcBorders>
              <w:top w:val="nil"/>
              <w:left w:val="nil"/>
              <w:bottom w:val="nil"/>
              <w:right w:val="nil"/>
            </w:tcBorders>
            <w:shd w:val="clear" w:color="auto" w:fill="auto"/>
            <w:noWrap/>
            <w:hideMark/>
          </w:tcPr>
          <w:p w:rsidR="005F5E5B" w:rsidRPr="00A472E7" w:rsidRDefault="005F5E5B" w:rsidP="00D546A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Africa</w:t>
            </w:r>
          </w:p>
        </w:tc>
        <w:tc>
          <w:tcPr>
            <w:tcW w:w="1940" w:type="dxa"/>
            <w:tcBorders>
              <w:top w:val="nil"/>
              <w:left w:val="nil"/>
              <w:bottom w:val="nil"/>
              <w:right w:val="nil"/>
            </w:tcBorders>
            <w:shd w:val="clear" w:color="auto" w:fill="auto"/>
            <w:noWrap/>
            <w:hideMark/>
          </w:tcPr>
          <w:p w:rsidR="005F5E5B" w:rsidRPr="00A472E7" w:rsidRDefault="005F5E5B" w:rsidP="00D546A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hideMark/>
          </w:tcPr>
          <w:p w:rsidR="005F5E5B" w:rsidRPr="00A472E7" w:rsidRDefault="000223B4" w:rsidP="00D546A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Institutional database</w:t>
            </w:r>
          </w:p>
        </w:tc>
        <w:tc>
          <w:tcPr>
            <w:tcW w:w="7078" w:type="dxa"/>
            <w:tcBorders>
              <w:top w:val="nil"/>
              <w:left w:val="nil"/>
              <w:bottom w:val="nil"/>
              <w:right w:val="nil"/>
            </w:tcBorders>
            <w:shd w:val="clear" w:color="auto" w:fill="auto"/>
            <w:noWrap/>
            <w:vAlign w:val="center"/>
            <w:hideMark/>
          </w:tcPr>
          <w:p w:rsidR="005F5E5B" w:rsidRPr="00A472E7" w:rsidRDefault="00D546AE" w:rsidP="00763299">
            <w:pPr>
              <w:spacing w:after="0" w:line="240" w:lineRule="auto"/>
              <w:jc w:val="left"/>
              <w:rPr>
                <w:rFonts w:eastAsia="Times New Roman"/>
                <w:szCs w:val="20"/>
                <w:lang w:eastAsia="en-GB"/>
              </w:rPr>
            </w:pPr>
            <w:r w:rsidRPr="00D546AE">
              <w:rPr>
                <w:rFonts w:eastAsia="Times New Roman"/>
                <w:sz w:val="22"/>
                <w:szCs w:val="20"/>
                <w:lang w:eastAsia="en-GB"/>
              </w:rPr>
              <w:t>http://vmamapgn-test.mpl.ird.fr:8080/geonetwork/srv/eng/search#|7dd46c7d-db2f-4bb0-920a-8afe4832f1b3</w:t>
            </w:r>
          </w:p>
        </w:tc>
      </w:tr>
      <w:tr w:rsidR="000223B4" w:rsidRPr="005F5E5B" w:rsidTr="00D546AE">
        <w:trPr>
          <w:trHeight w:val="283"/>
        </w:trPr>
        <w:tc>
          <w:tcPr>
            <w:tcW w:w="1780" w:type="dxa"/>
            <w:tcBorders>
              <w:top w:val="nil"/>
              <w:left w:val="nil"/>
              <w:bottom w:val="nil"/>
              <w:right w:val="nil"/>
            </w:tcBorders>
            <w:shd w:val="clear" w:color="auto" w:fill="auto"/>
            <w:noWrap/>
            <w:vAlign w:val="center"/>
          </w:tcPr>
          <w:p w:rsidR="000223B4" w:rsidRPr="00A472E7" w:rsidRDefault="000223B4"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Africa</w:t>
            </w:r>
          </w:p>
        </w:tc>
        <w:tc>
          <w:tcPr>
            <w:tcW w:w="1940" w:type="dxa"/>
            <w:tcBorders>
              <w:top w:val="nil"/>
              <w:left w:val="nil"/>
              <w:bottom w:val="nil"/>
              <w:right w:val="nil"/>
            </w:tcBorders>
            <w:shd w:val="clear" w:color="auto" w:fill="auto"/>
            <w:noWrap/>
            <w:vAlign w:val="center"/>
          </w:tcPr>
          <w:p w:rsidR="000223B4" w:rsidRPr="00A472E7" w:rsidRDefault="000223B4"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vAlign w:val="center"/>
          </w:tcPr>
          <w:p w:rsidR="000223B4" w:rsidRPr="00A472E7" w:rsidRDefault="000223B4"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tcPr>
          <w:p w:rsidR="000223B4" w:rsidRPr="00A472E7" w:rsidRDefault="00572AD9" w:rsidP="00914E28">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C4719B" w:rsidRPr="00A472E7">
              <w:rPr>
                <w:rFonts w:eastAsia="Times New Roman"/>
                <w:sz w:val="22"/>
                <w:szCs w:val="20"/>
                <w:lang w:eastAsia="en-GB"/>
              </w:rPr>
              <w:instrText>ADDIN CSL_CITATION { "citationItems" : [ { "id" : "ITEM-1", "itemData" : { "DOI" : "10.5194/bgd-12-19711-2015", "ISBN" : "1315712016", "ISSN" : "1810-6285", "abstract" : "Accurately monitoring tropical forest carbon stocks is an outstanding challenge. Allometric models that consider tree diameter, height and wood density as predictors are currently used in most tropical forest carbon studies. In particular, a pantropical biomass model has been widely used for approximately a decade, and its most recent version will certainly constitute a reference in the coming years. However, this reference model shows a systematic bias for the largest trees. Because large trees are key drivers of forest carbon stocks and dynamics, understanding the origin and the consequences of this bias is of utmost concern. In this study, we compiled a unique tree mass dataset on 673 trees measured in five tropical countries (101 trees &gt; 100 cm in diameter) and an original dataset of 130 forest plots (1 ha) from central Africa to quantify the error of biomass allometric models at the individual and plot levels when explicitly accounting or not accounting for crown mass variations. We first showed that the proportion of crown to total tree aboveground biomass is highly variable among trees, ranging from 3 to 88 %. This proportion was constant on average for trees 1 Mg) and reduced the range of plot-level error from \u221223\u201316 to 0\u201310 %. The disproportionally higher allocation of large trees to crown mass may thus explain the bias observed recently in the reference pantropical model. This bias leads to far-from-negligible, but often overlooked, systematic errors at the plot level and may be easily corrected by accounting for a crown mass proxy for the largest trees in a stand, thus suggesting that the accuracy of forest carbon estimates can be significantly improved at a minimal cost.", "author" : [ { "dropping-particle" : "", "family" : "Ploton", "given" : "P.", "non-dropping-particle" : "", "parse-names" : false, "suffix" : "" }, { "dropping-particle" : "", "family" : "Barbier", "given" : "N.", "non-dropping-particle" : "", "parse-names" : false, "suffix" : "" }, { "dropping-particle" : "", "family" : "Momo", "given" : "S. T.", "non-dropping-particle" : "", "parse-names" : false, "suffix" : "" }, { "dropping-particle" : "", "family" : "R\u00e9jou-M\u00e9chain", "given" : "M.", "non-dropping-particle" : "", "parse-names" : false, "suffix" : "" }, { "dropping-particle" : "", "family" : "Boyemba Bosela", "given" : "F.", "non-dropping-particle" : "", "parse-names" : false, "suffix" : "" }, { "dropping-particle" : "", "family" : "Chuyong", "given" : "G.", "non-dropping-particle" : "", "parse-names" : false, "suffix" : "" }, { "dropping-particle" : "", "family" : "Dauby", "given" : "G.", "non-dropping-particle" : "", "parse-names" : false, "suffix" : "" }, { "dropping-particle" : "", "family" : "Droissart", "given" : "V.", "non-dropping-particle" : "", "parse-names" : false, "suffix" : "" }, { "dropping-particle" : "", "family" : "Fayolle", "given" : "A.", "non-dropping-particle" : "", "parse-names" : false, "suffix" : "" }, { "dropping-particle" : "", "family" : "Goodman", "given" : "R. C.", "non-dropping-particle" : "", "parse-names" : false, "suffix" : "" }, { "dropping-particle" : "", "family" : "Henry", "given" : "M.", "non-dropping-particle" : "", "parse-names" : false, "suffix" : "" }, { "dropping-particle" : "", "family" : "Kamdem", "given" : "N. G.", "non-dropping-particle" : "", "parse-names" : false, "suffix" : "" }, { "dropping-particle" : "", "family" : "Katembo Mukirania", "given" : "J.", "non-dropping-particle" : "", "parse-names" : false, "suffix" : "" }, { "dropping-particle" : "", "family" : "Kenfack", "given" : "D.", "non-dropping-particle" : "", "parse-names" : false, "suffix" : "" }, { "dropping-particle" : "", "family" : "Libalah", "given" : "M.", "non-dropping-particle" : "", "parse-names" : false, "suffix" : "" }, { "dropping-particle" : "", "family" : "Ngomanda", "given" : "A.", "non-dropping-particle" : "", "parse-names" : false, "suffix" : "" }, { "dropping-particle" : "", "family" : "Rossi", "given" : "V.", "non-dropping-particle" : "", "parse-names" : false, "suffix" : "" }, { "dropping-particle" : "", "family" : "Sonk\u00e9", "given" : "B.", "non-dropping-particle" : "", "parse-names" : false, "suffix" : "" }, { "dropping-particle" : "", "family" : "Texier", "given" : "N.", "non-dropping-particle" : "", "parse-names" : false, "suffix" : "" }, { "dropping-particle" : "", "family" : "Thomas", "given" : "D.", "non-dropping-particle" : "", "parse-names" : false, "suffix" : "" }, { "dropping-particle" : "", "family" : "Zebaze", "given" : "D.", "non-dropping-particle" : "", "parse-names" : false, "suffix" : "" }, { "dropping-particle" : "", "family" : "Couteron", "given" : "P.", "non-dropping-particle" : "", "parse-names" : false, "suffix" : "" }, { "dropping-particle" : "", "family" : "Berger", "given" : "U.", "non-dropping-particle" : "", "parse-names" : false, "suffix" : "" }, { "dropping-particle" : "", "family" : "P\u00e9lissier", "given" : "R.", "non-dropping-particle" : "", "parse-names" : false, "suffix" : "" } ], "container-title" : "Biogeosciences", "id" : "ITEM-1", "issued" : { "date-parts" : [ [ "2016" ] ] }, "page" : "1571\u20131585", "title" : "Closing a gap in tropical forest biomass estimation: accounting for crown mass variation in pantropical allometries", "type" : "article-journal", "volume" : "13" }, "uris" : [ "http://www.mendeley.com/documents/?uuid=e01b52a6-d2b6-4a30-b2e0-cdc72f6e6b73" ] } ], "mendeley" : { "formattedCitation" : "(Ploton &lt;i&gt;et al.&lt;/i&gt;, 2016)", "manualFormatting" : "Ploton et al. (2016)", "plainTextFormattedCitation" : "(Ploton et al., 2016)", "previouslyFormattedCitation" : "(Ploton &lt;i&gt;et al.&lt;/i&gt;, 2016)" }, "properties" : { "noteIndex" : 0 }, "schema" : "https://github.com/citation-style-language/schema/raw/master/csl-citation.json" }</w:instrText>
            </w:r>
            <w:r w:rsidRPr="00A472E7">
              <w:rPr>
                <w:rFonts w:eastAsia="Times New Roman"/>
                <w:sz w:val="22"/>
                <w:szCs w:val="20"/>
                <w:lang w:eastAsia="en-GB"/>
              </w:rPr>
              <w:fldChar w:fldCharType="separate"/>
            </w:r>
            <w:r w:rsidR="00914E28" w:rsidRPr="00A472E7">
              <w:rPr>
                <w:rFonts w:eastAsia="Times New Roman"/>
                <w:noProof/>
                <w:sz w:val="22"/>
                <w:szCs w:val="20"/>
                <w:lang w:eastAsia="en-GB"/>
              </w:rPr>
              <w:t xml:space="preserve">Ploton </w:t>
            </w:r>
            <w:r w:rsidR="00914E28" w:rsidRPr="00A472E7">
              <w:rPr>
                <w:rFonts w:eastAsia="Times New Roman"/>
                <w:i/>
                <w:noProof/>
                <w:sz w:val="22"/>
                <w:szCs w:val="20"/>
                <w:lang w:eastAsia="en-GB"/>
              </w:rPr>
              <w:t>et al.</w:t>
            </w:r>
            <w:r w:rsidR="00914E28" w:rsidRPr="00A472E7">
              <w:rPr>
                <w:rFonts w:eastAsia="Times New Roman"/>
                <w:noProof/>
                <w:sz w:val="22"/>
                <w:szCs w:val="20"/>
                <w:lang w:eastAsia="en-GB"/>
              </w:rPr>
              <w:t xml:space="preserve"> (2016)</w:t>
            </w:r>
            <w:r w:rsidRPr="00A472E7">
              <w:rPr>
                <w:rFonts w:eastAsia="Times New Roman"/>
                <w:sz w:val="22"/>
                <w:szCs w:val="20"/>
                <w:lang w:eastAsia="en-GB"/>
              </w:rPr>
              <w:fldChar w:fldCharType="end"/>
            </w:r>
          </w:p>
        </w:tc>
      </w:tr>
      <w:tr w:rsidR="000223B4" w:rsidRPr="005F5E5B" w:rsidTr="00D546AE">
        <w:trPr>
          <w:trHeight w:val="283"/>
        </w:trPr>
        <w:tc>
          <w:tcPr>
            <w:tcW w:w="1780" w:type="dxa"/>
            <w:tcBorders>
              <w:top w:val="nil"/>
              <w:left w:val="nil"/>
              <w:bottom w:val="nil"/>
              <w:right w:val="nil"/>
            </w:tcBorders>
            <w:shd w:val="clear" w:color="auto" w:fill="auto"/>
            <w:noWrap/>
            <w:vAlign w:val="center"/>
            <w:hideMark/>
          </w:tcPr>
          <w:p w:rsidR="000223B4" w:rsidRPr="00A472E7" w:rsidRDefault="000223B4"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Africa</w:t>
            </w:r>
          </w:p>
        </w:tc>
        <w:tc>
          <w:tcPr>
            <w:tcW w:w="1940" w:type="dxa"/>
            <w:tcBorders>
              <w:top w:val="nil"/>
              <w:left w:val="nil"/>
              <w:bottom w:val="nil"/>
              <w:right w:val="nil"/>
            </w:tcBorders>
            <w:shd w:val="clear" w:color="auto" w:fill="auto"/>
            <w:noWrap/>
            <w:vAlign w:val="center"/>
            <w:hideMark/>
          </w:tcPr>
          <w:p w:rsidR="000223B4" w:rsidRPr="00A472E7" w:rsidRDefault="000223B4"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Ghana</w:t>
            </w:r>
          </w:p>
        </w:tc>
        <w:tc>
          <w:tcPr>
            <w:tcW w:w="2540" w:type="dxa"/>
            <w:tcBorders>
              <w:top w:val="nil"/>
              <w:left w:val="nil"/>
              <w:bottom w:val="nil"/>
              <w:right w:val="nil"/>
            </w:tcBorders>
            <w:shd w:val="clear" w:color="auto" w:fill="auto"/>
            <w:noWrap/>
            <w:vAlign w:val="center"/>
            <w:hideMark/>
          </w:tcPr>
          <w:p w:rsidR="000223B4" w:rsidRPr="00A472E7" w:rsidRDefault="00CE08FA"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0223B4" w:rsidRPr="00A472E7" w:rsidRDefault="00572AD9" w:rsidP="000223B4">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"10.1016/j.foreco.2010.07.040", "ISBN" : "0378-1127", "ISSN" : "03781127", "abstract" : "The development of tree allometric equations is crucial to accurate forest carbon assessment. However, very few allometric equations exist for sub-Saharan Africa and as a result generalized allometric equations, often established for forests in other continents, are used by default. The objectives of this study were (1) to propose a sampling methodology and calculation procedures to assess biomass for tropical tree species of contrasted tree shapes in Africa, (2) to identify factors affecting within and between trees wood density, (3) to propose an allometric model that integrates these factors and (4) to evaluate the reliability of using generalized allometric equations in this type of forests. Models were developed to predict wood density and phytomass of the trees based on the harvesting of 42 trees from 16 species, representing three guild status in the wet evergreen forest of Boi Tano in Ghana. Results indicated that the wood density was highly influenced by the tree species, guild status, size of the tree and pith to bark distance. Dry mass of a tree was influenced by diameter at breast height, crown diameter and wood density. The wood density depends on the position of the wood within the tree and the guild status considered. The use of generalized allometric models in literature is limited by the specific climate zone, the consideration of tree height and species specific wood density. In considering those factors, using generalized allometric equations could result in an error of 3%. Further research should better consider the bigger trees and the influence of the topography and ecosystem history. \u00a9 2010 Elsevier B.V.", "author" : [ { "dropping-particle" : "", "family" : "Henry", "given" : "M.", "non-dropping-particle" : "", "parse-names" : false, "suffix" : "" }, { "dropping-particle" : "", "family" : "Besnard", "given" : "A.", "non-dropping-particle" : "", "parse-names" : false, "suffix" : "" }, { "dropping-particle" : "", "family" : "Asante", "given" : "W.A. A.", "non-dropping-particle" : "", "parse-names" : false, "suffix" : "" }, { "dropping-particle" : "", "family" : "Eshun", "given" : "J.", "non-dropping-particle" : "", "parse-names" : false, "suffix" : "" }, { "dropping-particle" : "", "family" : "Adu-Bredu", "given" : "S.", "non-dropping-particle" : "", "parse-names" : false, "suffix" : "" }, { "dropping-particle" : "", "family" : "Valentini", "given" : "R.", "non-dropping-particle" : "", "parse-names" : false, "suffix" : "" }, { "dropping-particle" : "", "family" : "Bernoux", "given" : "M.", "non-dropping-particle" : "", "parse-names" : false, "suffix" : "" }, { "dropping-particle" : "", "family" : "Saint-Andr\u00e9", "given" : "L.", "non-dropping-particle" : "", "parse-names" : false, "suffix" : "" } ], "container-title" : "Forest Ecology and Management", "id" : "ITEM-1", "issue" : "8", "issued" : { "date-parts" : [ [ "2010" ] ] }, "page" : "1375-1388", "publisher" : "Elsevier B.V.", "title" : "Wood density, phytomass variations within and among trees, and allometric equations in a tropical rainforest of Africa", "type" : "article-journal", "volume" : "260" }, "uris" : [ "http://www.mendeley.com/documents/?uuid=46633884-a94e-4b4e-89fe-e5a3f9e7dd0e" ] } ], "mendeley" : { "formattedCitation" : "(Henry &lt;i&gt;et al.&lt;/i&gt;, 2010)", "manualFormatting" : "Henry et al. (2010)", "plainTextFormattedCitation" : "(Henry et al., 2010)", "previouslyFormattedCitation" : "(Henry &lt;i&gt;et al.&lt;/i&gt;, 2010)" }, "properties" : { "noteIndex" : 0 }, "schema" : "https://github.com/citation-style-language/schema/raw/master/csl-citation.json" }</w:instrText>
            </w:r>
            <w:r w:rsidRPr="00A472E7">
              <w:rPr>
                <w:rFonts w:eastAsia="Times New Roman"/>
                <w:sz w:val="22"/>
                <w:szCs w:val="20"/>
                <w:lang w:eastAsia="en-GB"/>
              </w:rPr>
              <w:fldChar w:fldCharType="separate"/>
            </w:r>
            <w:r w:rsidR="000223B4" w:rsidRPr="00A472E7">
              <w:rPr>
                <w:rFonts w:eastAsia="Times New Roman"/>
                <w:noProof/>
                <w:sz w:val="22"/>
                <w:szCs w:val="20"/>
                <w:lang w:eastAsia="en-GB"/>
              </w:rPr>
              <w:t xml:space="preserve">Henry </w:t>
            </w:r>
            <w:r w:rsidR="000223B4" w:rsidRPr="00A472E7">
              <w:rPr>
                <w:rFonts w:eastAsia="Times New Roman"/>
                <w:i/>
                <w:noProof/>
                <w:sz w:val="22"/>
                <w:szCs w:val="20"/>
                <w:lang w:eastAsia="en-GB"/>
              </w:rPr>
              <w:t>et al.</w:t>
            </w:r>
            <w:r w:rsidR="000223B4" w:rsidRPr="00A472E7">
              <w:rPr>
                <w:rFonts w:eastAsia="Times New Roman"/>
                <w:noProof/>
                <w:sz w:val="22"/>
                <w:szCs w:val="20"/>
                <w:lang w:eastAsia="en-GB"/>
              </w:rPr>
              <w:t xml:space="preserve"> (2010)</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41420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Africa</w:t>
            </w:r>
          </w:p>
        </w:tc>
        <w:tc>
          <w:tcPr>
            <w:tcW w:w="1940" w:type="dxa"/>
            <w:tcBorders>
              <w:top w:val="nil"/>
              <w:left w:val="nil"/>
              <w:bottom w:val="nil"/>
              <w:right w:val="nil"/>
            </w:tcBorders>
            <w:shd w:val="clear" w:color="auto" w:fill="auto"/>
            <w:noWrap/>
            <w:vAlign w:val="center"/>
            <w:hideMark/>
          </w:tcPr>
          <w:p w:rsidR="00E51693" w:rsidRPr="00A472E7" w:rsidRDefault="00E51693" w:rsidP="0041420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Liberia</w:t>
            </w:r>
          </w:p>
        </w:tc>
        <w:tc>
          <w:tcPr>
            <w:tcW w:w="2540" w:type="dxa"/>
            <w:tcBorders>
              <w:top w:val="nil"/>
              <w:left w:val="nil"/>
              <w:bottom w:val="nil"/>
              <w:right w:val="nil"/>
            </w:tcBorders>
            <w:shd w:val="clear" w:color="auto" w:fill="auto"/>
            <w:noWrap/>
            <w:vAlign w:val="center"/>
            <w:hideMark/>
          </w:tcPr>
          <w:p w:rsidR="00E51693" w:rsidRPr="00A472E7" w:rsidRDefault="00E51693" w:rsidP="0041420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E51693">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"author" : [ { "dropping-particle" : "", "family" : "Poorter", "given" : "Lourens", "non-dropping-particle" : "", "parse-names" : false, "suffix" : "" }, { "dropping-particle" : "", "family" : "Bongers", "given" : "Frans", "non-dropping-particle" : "", "parse-names" : false, "suffix" : "" }, { "dropping-particle" : "", "family" : "Sterck", "given" : "Frank J", "non-dropping-particle" : "", "parse-names" : false, "suffix" : "" }, { "dropping-particle" : "", "family" : "W\u00f6ll", "given" : "Hannsj\u00f6rg", "non-dropping-particle" : "", "parse-names" : false, "suffix" : "" } ], "container-title" : "Ecology", "id" : "ITEM-1", "issue" : "3", "issued" : { "date-parts" : [ [ "2003" ] ] }, "page" : "602-608", "title" : "Architecture of 53 rain forest tree species differing in adult stature and shade tolerance", "type" : "article-journal", "volume" : "84" }, "uris" : [ "http://www.mendeley.com/documents/?uuid=0ba67360-cd21-4820-8acb-170c875e7385" ] } ], "mendeley" : { "formattedCitation" : "(Poorter &lt;i&gt;et al.&lt;/i&gt;, 2003)", "manualFormatting" : "Poorter et al. (2003)", "plainTextFormattedCitation" : "(Poorter et al., 2003)", "previouslyFormattedCitation" : "(Poorter &lt;i&gt;et al.&lt;/i&gt;, 2003)"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Poorter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(2003)</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Asia</w:t>
            </w:r>
          </w:p>
        </w:tc>
        <w:tc>
          <w:tcPr>
            <w:tcW w:w="19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China</w:t>
            </w:r>
          </w:p>
        </w:tc>
        <w:tc>
          <w:tcPr>
            <w:tcW w:w="25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0223B4">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"10.1016/j.foreco.2015.05.029", "ISSN" : "03781127", "author" : [ { "dropping-particle" : "", "family" : "Guisasola", "given" : "Rub\u00e9n", "non-dropping-particle" : "", "parse-names" : false, "suffix" : "" }, { "dropping-particle" : "", "family" : "Tang", "given" : "Xiaolu", "non-dropping-particle" : "", "parse-names" : false, "suffix" : "" }, { "dropping-particle" : "", "family" : "Bauhus", "given" : "J\u00fcrgen", "non-dropping-particle" : "", "parse-names" : false, "suffix" : "" }, { "dropping-particle" : "", "family" : "Forrester", "given" : "David I.", "non-dropping-particle" : "", "parse-names" : false, "suffix" : "" } ], "container-title" : "Forest Ecology and Management", "id" : "ITEM-1", "issued" : { "date-parts" : [ [ "2015" ] ] }, "page" : "164-172", "title" : "Intra- and inter-specific differences in crown architecture in Chinese subtropical mixed-species forests", "type" : "article-journal", "volume" : "353" }, "uris" : [ "http://www.mendeley.com/documents/?uuid=19b32a4c-8f76-49c3-9ea9-b6208a264ca9" ] } ], "mendeley" : { "formattedCitation" : "(Guisasola &lt;i&gt;et al.&lt;/i&gt;, 2015)", "manualFormatting" : "Guisasola et al. (2015)", "plainTextFormattedCitation" : "(Guisasola et al., 2015)", "previouslyFormattedCitation" : "(Guisasola &lt;i&gt;et al.&lt;/i&gt;, 2015)"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Guisasola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(2015)</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Asia</w:t>
            </w:r>
          </w:p>
        </w:tc>
        <w:tc>
          <w:tcPr>
            <w:tcW w:w="19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China</w:t>
            </w:r>
          </w:p>
        </w:tc>
        <w:tc>
          <w:tcPr>
            <w:tcW w:w="2540" w:type="dxa"/>
            <w:tcBorders>
              <w:top w:val="nil"/>
              <w:left w:val="nil"/>
              <w:bottom w:val="nil"/>
              <w:right w:val="nil"/>
            </w:tcBorders>
            <w:shd w:val="clear" w:color="auto" w:fill="auto"/>
            <w:noWrap/>
            <w:vAlign w:val="center"/>
            <w:hideMark/>
          </w:tcPr>
          <w:p w:rsidR="00E51693" w:rsidRPr="00A472E7" w:rsidRDefault="008C53CE" w:rsidP="000223B4">
            <w:pPr>
              <w:spacing w:after="0" w:line="240" w:lineRule="auto"/>
              <w:jc w:val="left"/>
              <w:rPr>
                <w:rFonts w:eastAsia="Times New Roman"/>
                <w:color w:val="000000"/>
                <w:szCs w:val="20"/>
                <w:lang w:eastAsia="en-GB"/>
              </w:rPr>
            </w:pPr>
            <w:r>
              <w:rPr>
                <w:rFonts w:eastAsia="Times New Roman"/>
                <w:color w:val="000000"/>
                <w:sz w:val="22"/>
                <w:szCs w:val="20"/>
                <w:lang w:eastAsia="en-GB"/>
              </w:rPr>
              <w:t>Unpublished data</w:t>
            </w:r>
          </w:p>
        </w:tc>
        <w:tc>
          <w:tcPr>
            <w:tcW w:w="7078" w:type="dxa"/>
            <w:tcBorders>
              <w:top w:val="nil"/>
              <w:left w:val="nil"/>
              <w:bottom w:val="nil"/>
              <w:right w:val="nil"/>
            </w:tcBorders>
            <w:shd w:val="clear" w:color="auto" w:fill="auto"/>
            <w:noWrap/>
            <w:vAlign w:val="center"/>
            <w:hideMark/>
          </w:tcPr>
          <w:p w:rsidR="00E51693" w:rsidRPr="00A472E7" w:rsidRDefault="00E51693" w:rsidP="00CB1178">
            <w:pPr>
              <w:spacing w:after="0" w:line="240" w:lineRule="auto"/>
              <w:jc w:val="left"/>
              <w:rPr>
                <w:rFonts w:eastAsia="Times New Roman"/>
                <w:szCs w:val="20"/>
                <w:lang w:eastAsia="en-GB"/>
              </w:rPr>
            </w:pPr>
            <w:r w:rsidRPr="00A472E7">
              <w:rPr>
                <w:rFonts w:eastAsia="Times New Roman"/>
                <w:sz w:val="22"/>
                <w:szCs w:val="20"/>
                <w:lang w:eastAsia="en-GB"/>
              </w:rPr>
              <w:t xml:space="preserve">Xiang </w:t>
            </w:r>
            <w:r w:rsidRPr="00A472E7">
              <w:rPr>
                <w:rFonts w:eastAsia="Times New Roman"/>
                <w:i/>
                <w:sz w:val="22"/>
                <w:szCs w:val="20"/>
                <w:lang w:eastAsia="en-GB"/>
              </w:rPr>
              <w:t>et al</w:t>
            </w:r>
            <w:r w:rsidRPr="00A472E7">
              <w:rPr>
                <w:rFonts w:eastAsia="Times New Roman"/>
                <w:sz w:val="22"/>
                <w:szCs w:val="20"/>
                <w:lang w:eastAsia="en-GB"/>
              </w:rPr>
              <w:t>. (</w:t>
            </w:r>
            <w:r w:rsidR="00CB1178" w:rsidRPr="00A472E7">
              <w:rPr>
                <w:rFonts w:eastAsia="Times New Roman"/>
                <w:sz w:val="22"/>
                <w:szCs w:val="20"/>
                <w:lang w:eastAsia="en-GB"/>
              </w:rPr>
              <w:t>unpublished</w:t>
            </w:r>
            <w:r w:rsidRPr="00A472E7">
              <w:rPr>
                <w:rFonts w:eastAsia="Times New Roman"/>
                <w:sz w:val="22"/>
                <w:szCs w:val="20"/>
                <w:lang w:eastAsia="en-GB"/>
              </w:rPr>
              <w:t>)</w:t>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Asia</w:t>
            </w:r>
          </w:p>
        </w:tc>
        <w:tc>
          <w:tcPr>
            <w:tcW w:w="19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India</w:t>
            </w:r>
          </w:p>
        </w:tc>
        <w:tc>
          <w:tcPr>
            <w:tcW w:w="25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0223B4">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"10.1007/s00468-013-0896-7", "ISBN" : "0046801308", "ISSN" : "09311890", "abstract" : "While theoretical allometric models postulate universal scaling exponents, empirical relationships between tree dimensions show marked variability that reflects changes in the biomass allocation pattern. As growth of the various tree compartments may be controlled by different functions, it is hypothesized that they may respond differently to factors of variation, resulting in variable tree morphologies and potentially in trade-offs between allometric relationships. We explore the variability of tree stem and crown allometries using a dataset of 1,729 trees located in an undisturbed wet evergreen forest of the Western Ghats, India. We specifically test whether species adult stature, terrain slope, tree size and crown light exposure affect the relationships between stem diameter and stem height (stem allometry), and between stem diameter and crown width, crown area and crown volume (crown allometries). Results show that both stem and crown allometries are subject to variations in relation to both endogenous (tree size, species adult stature) and exogenous (terrain slope, crown light exposure) factors. Stem allometry appears to be more affected by these factors than are crown allometries, including the stem diameter-crown volume relationship, which proved to be particularly stable. Our results support the idea that height is a prevailing adjustment factor for a tree facing variable growth (notably light) conditions, while stem diameter-crown volume allometry responds more to internal metabolic constraints. We ultimately discuss the various sources of variability in the stem and crown allometries of tropical trees that likely play an important role in forest community dynamics.", "author" : [ { "dropping-particle" : "", "family" : "Antin", "given" : "C\u00e9cile", "non-dropping-particle" : "", "parse-names" : false, "suffix" : "" }, { "dropping-particle" : "", "family" : "P\u00e9lissier", "given" : "Rapha\u00ebl", "non-dropping-particle" : "", "parse-names" : false, "suffix" : "" }, { "dropping-particle" : "", "family" : "Vincent", "given" : "Gr\u00e9goire", "non-dropping-particle" : "", "parse-names" : false, "suffix" : "" }, { "dropping-particle" : "", "family" : "Couteron", "given" : "Pierre", "non-dropping-particle" : "", "parse-names" : false, "suffix" : "" } ], "container-title" : "Trees - Structure and Function", "id" : "ITEM-1", "issue" : "5", "issued" : { "date-parts" : [ [ "2013" ] ] }, "page" : "1485-1495", "title" : "Crown allometries are less responsive than stem allometry to tree size and habitat variations in an Indian monsoon forest", "type" : "article-journal", "volume" : "27" }, "uris" : [ "http://www.mendeley.com/documents/?uuid=a1523ed6-8779-42cf-ac06-ca810782bf45" ] } ], "mendeley" : { "formattedCitation" : "(Antin &lt;i&gt;et al.&lt;/i&gt;, 2013)", "manualFormatting" : "Antin et al. (2013)", "plainTextFormattedCitation" : "(Antin et al., 2013)", "previouslyFormattedCitation" : "(Antin &lt;i&gt;et al.&lt;/i&gt;, 2013)"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Antin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(2013)</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Asia</w:t>
            </w:r>
          </w:p>
        </w:tc>
        <w:tc>
          <w:tcPr>
            <w:tcW w:w="19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Indonesia</w:t>
            </w:r>
          </w:p>
        </w:tc>
        <w:tc>
          <w:tcPr>
            <w:tcW w:w="25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60043E">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"10.1016/j.rse.2014.11.016", "ISSN" : "00344257", "author" : [ { "dropping-particle" : "", "family" : "Schlund", "given" : "Michael", "non-dropping-particle" : "", "parse-names" : false, "suffix" : "" }, { "dropping-particle" : "", "family" : "Poncet", "given" : "Felicitas", "non-dropping-particle" : "von", "parse-names" : false, "suffix" : "" }, { "dropping-particle" : "", "family" : "Kuntz", "given" : "Steffen", "non-dropping-particle" : "", "parse-names" : false, "suffix" : "" }, { "dropping-particle" : "", "family" : "Schmullius", "given" : "Christiane", "non-dropping-particle" : "", "parse-names" : false, "suffix" : "" }, { "dropping-particle" : "", "family" : "Hoekman", "given" : "Dirk H.", "non-dropping-particle" : "", "parse-names" : false, "suffix" : "" } ], "container-title" : "Remote Sensing of Environment", "id" : "ITEM-1", "issued" : { "date-parts" : [ [ "2015" ] ] }, "page" : "255-266", "publisher" : "Elsevier Inc.", "title" : "TanDEM-X data for aboveground biomass retrieval in a tropical peat swamp forest", "type" : "article-journal", "volume" : "158" }, "uris" : [ "http://www.mendeley.com/documents/?uuid=e25a7e08-6d03-4f90-83da-ff23b582c6ae" ] } ], "mendeley" : { "formattedCitation" : "(Schlund &lt;i&gt;et al.&lt;/i&gt;, 2015)", "manualFormatting" : "Schlund et al. (2015)", "plainTextFormattedCitation" : "(Schlund et al., 2015)", "previouslyFormattedCitation" : "(Schlund &lt;i&gt;et al.&lt;/i&gt;, 2015)"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Schlund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(2015)</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Asia</w:t>
            </w:r>
          </w:p>
        </w:tc>
        <w:tc>
          <w:tcPr>
            <w:tcW w:w="19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Malaysia</w:t>
            </w:r>
          </w:p>
        </w:tc>
        <w:tc>
          <w:tcPr>
            <w:tcW w:w="25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0223B4">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"author" : [ { "dropping-particle" : "", "family" : "Sterck", "given" : "Frank J", "non-dropping-particle" : "", "parse-names" : false, "suffix" : "" }, { "dropping-particle" : "", "family" : "Sterck", "given" : "Frank J", "non-dropping-particle" : "", "parse-names" : false, "suffix" : "" }, { "dropping-particle" : "", "family" : "Bongers", "given" : "Frans", "non-dropping-particle" : "", "parse-names" : false, "suffix" : "" }, { "dropping-particle" : "", "family" : "Bongers", "given" : "Frans", "non-dropping-particle" : "", "parse-names" : false, "suffix" : "" }, { "dropping-particle" : "", "family" : "Newbery", "given" : "David M", "non-dropping-particle" : "", "parse-names" : false, "suffix" : "" }, { "dropping-particle" : "", "family" : "Newbery", "given" : "David M", "non-dropping-particle" : "", "parse-names" : false, "suffix" : "" } ], "container-title" : "Plant Ecology", "id" : "ITEM-1", "issued" : { "date-parts" : [ [ "2001" ] ] }, "page" : "279-292", "title" : "Tree architecture in a Bornean lowland rain forest: intraspecic and interspecic patterns", "type" : "article-journal", "volume" : "153" }, "uris" : [ "http://www.mendeley.com/documents/?uuid=1f9a6eb7-c3d5-43b2-89a9-718b37d8e287" ] } ], "mendeley" : { "formattedCitation" : "(Sterck &lt;i&gt;et al.&lt;/i&gt;, 2001)", "manualFormatting" : "Sterck et al. (2001)", "plainTextFormattedCitation" : "(Sterck et al., 2001)", "previouslyFormattedCitation" : "(Sterck &lt;i&gt;et al.&lt;/i&gt;, 2001)"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Sterck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(2001)</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Asia</w:t>
            </w:r>
          </w:p>
        </w:tc>
        <w:tc>
          <w:tcPr>
            <w:tcW w:w="19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Malaysia</w:t>
            </w:r>
          </w:p>
        </w:tc>
        <w:tc>
          <w:tcPr>
            <w:tcW w:w="25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C4719B">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3E4B6B" w:rsidRPr="00A472E7">
              <w:rPr>
                <w:rFonts w:eastAsia="Times New Roman"/>
                <w:sz w:val="22"/>
                <w:szCs w:val="20"/>
                <w:lang w:eastAsia="en-GB"/>
              </w:rPr>
              <w:instrText>ADDIN CSL_CITATION { "citationItems" : [ { "id" : "ITEM-1", "itemData" : { "DOI" : "10.1111/j.1365-2435.2011.01921.x", "ISBN" : "1365-2435", "ISSN" : "02698463", "abstract" : "1.Because of its mechanical properties, wood density may affect the\\nway that trees expand their stem and crown to exploit favourable\\nlight conditions in a mechanically stable way. From engineering theory\\nand wood density properties, it is predicted that in terms of biomass\\ninvestment, low-density wood is more efficient for vertical stem\\nexpansion, while high-density wood is more efficient for horizontal\\nbranch expansion. So far, these predictions have rarely been tested\\nby empirical studies. 2. We tested these predictions for 145 co-occurring\\ntree species in a Malaysian tropical rainforest. For each species,\\nwe selected trees across a broad size range and measured architectural\\ndimensions (stem diameter, height of the lowest foliage and crown\\nwidth). We used a hierarchical Bayesian model to estimate species-specific\\nallometric relationships between architectural dimensions including\\nestimated stem biomass. Then, we examined correlations between species\\nwood density and estimated architectural variables at standardized\\nheights. 3. When species were compared at standardized tree heights,\\nwood density correlated negatively with stem diameter and positively\\nwith stem biomass at most reference heights. This indicates that\\nspecies with low wood density produce thicker stems but at lower\\nbiomass costs. Wood density correlated positively with crown width\\nand negatively with height of the lowest foliage, which indicates\\nthat high wood density species have wider and deeper crowns than\\nlow wood density species. These relationships were maintained at\\nmost reference heights. However, the relationship with crown width\\nwas nonsignificant above 18 m height. This may reflect large plastic\\nresponse of lateral crown expansion to a local condition. 4. Wood\\ndensity explains the trade-off between effective vertical stem expansion\\nand horizontal crown expansion across co-occurring tropical tree\\nspecies. Such mechanical constraints characterize the difference\\nin tree architecture between low wood density species that show an\\nefficient height expansion to attain better light conditions in the\\nexposed canopy and high wood density species that show an efficient\\nhorizontal crown expansion to enhance current light interception\\nand persistence in the shaded forest understorey. Our study thus\\nsuggests that the mechanical constraints set by wood density contribute\\nto the co-existence of species differing in architecture and light\\ncapture strategy.", "author" : [ { "dropping-particle" : "", "family" : "Iida", "given" : "Yoshiko", "non-dropping-particle" : "", "parse-names" : false, "suffix" : "" }, { "dropping-particle" : "", "family" : "Poorter", "given" : "Lourens", "non-dropping-particle" : "", "parse-names" : false, "suffix" : "" }, { "dropping-particle" : "", "family" : "Sterck", "given" : "Frank J.", "non-dropping-particle" : "", "parse-names" : false, "suffix" : "" }, { "dropping-particle" : "", "family" : "Kassim", "given" : "Abd R.", "non-dropping-particle" : "", "parse-names" : false, "suffix" : "" }, { "dropping-particle" : "", "family" : "Kubo", "given" : "Takuya", "non-dropping-particle" : "", "parse-names" : false, "suffix" : "" }, { "dropping-particle" : "", "family" : "Potts", "given" : "Matthew D.", "non-dropping-particle" : "", "parse-names" : false, "suffix" : "" }, { "dropping-particle" : "", "family" : "Kohyama", "given" : "Takashi S.", "non-dropping-particle" : "", "parse-names" : false, "suffix" : "" } ], "container-title" : "Functional Ecology", "id" : "ITEM-1", "issue" : "1", "issued" : { "date-parts" : [ [ "2012" ] ] }, "page" : "274-282", "title" : "Wood density explains architectural differentiation across 145 co-occurring tropical tree species", "type" : "article-journal", "volume" : "26" }, "uris" : [ "http://www.mendeley.com/documents/?uuid=ab28838f-c600-4cf8-be0a-65fe22e6fadd" ] } ], "mendeley" : { "formattedCitation" : "(Iida &lt;i&gt;et al.&lt;/i&gt;, 2012)", "manualFormatting" : "Iida et al. (2012)", "plainTextFormattedCitation" : "(Iida et al., 2012)", "previouslyFormattedCitation" : "(Iida &lt;i&gt;et al.&lt;/i&gt;, 2012)" }, "properties" : { "noteIndex" : 0 }, "schema" : "https://github.com/citation-style-language/schema/raw/master/csl-citation.json" }</w:instrText>
            </w:r>
            <w:r w:rsidRPr="00A472E7">
              <w:rPr>
                <w:rFonts w:eastAsia="Times New Roman"/>
                <w:sz w:val="22"/>
                <w:szCs w:val="20"/>
                <w:lang w:eastAsia="en-GB"/>
              </w:rPr>
              <w:fldChar w:fldCharType="separate"/>
            </w:r>
            <w:r w:rsidR="00C4719B" w:rsidRPr="00A472E7">
              <w:rPr>
                <w:rFonts w:eastAsia="Times New Roman"/>
                <w:noProof/>
                <w:sz w:val="22"/>
                <w:szCs w:val="20"/>
                <w:lang w:eastAsia="en-GB"/>
              </w:rPr>
              <w:t xml:space="preserve">Iida </w:t>
            </w:r>
            <w:r w:rsidR="00C4719B" w:rsidRPr="00A472E7">
              <w:rPr>
                <w:rFonts w:eastAsia="Times New Roman"/>
                <w:i/>
                <w:noProof/>
                <w:sz w:val="22"/>
                <w:szCs w:val="20"/>
                <w:lang w:eastAsia="en-GB"/>
              </w:rPr>
              <w:t>et al.</w:t>
            </w:r>
            <w:r w:rsidR="00C4719B" w:rsidRPr="00A472E7">
              <w:rPr>
                <w:rFonts w:eastAsia="Times New Roman"/>
                <w:noProof/>
                <w:sz w:val="22"/>
                <w:szCs w:val="20"/>
                <w:lang w:eastAsia="en-GB"/>
              </w:rPr>
              <w:t xml:space="preserve"> (2012)</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hideMark/>
          </w:tcPr>
          <w:p w:rsidR="00E51693" w:rsidRPr="00A472E7" w:rsidRDefault="00E51693" w:rsidP="00A472E7">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Europe</w:t>
            </w:r>
          </w:p>
        </w:tc>
        <w:tc>
          <w:tcPr>
            <w:tcW w:w="1940" w:type="dxa"/>
            <w:tcBorders>
              <w:top w:val="nil"/>
              <w:left w:val="nil"/>
              <w:bottom w:val="nil"/>
              <w:right w:val="nil"/>
            </w:tcBorders>
            <w:shd w:val="clear" w:color="auto" w:fill="auto"/>
            <w:noWrap/>
            <w:hideMark/>
          </w:tcPr>
          <w:p w:rsidR="00E51693" w:rsidRPr="00A472E7" w:rsidRDefault="00E51693" w:rsidP="00A472E7">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hideMark/>
          </w:tcPr>
          <w:p w:rsidR="00E51693" w:rsidRPr="00A472E7" w:rsidRDefault="00E51693" w:rsidP="00A472E7">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Institutional database</w:t>
            </w:r>
          </w:p>
        </w:tc>
        <w:tc>
          <w:tcPr>
            <w:tcW w:w="7078" w:type="dxa"/>
            <w:tcBorders>
              <w:top w:val="nil"/>
              <w:left w:val="nil"/>
              <w:bottom w:val="nil"/>
              <w:right w:val="nil"/>
            </w:tcBorders>
            <w:shd w:val="clear" w:color="auto" w:fill="auto"/>
            <w:noWrap/>
            <w:vAlign w:val="center"/>
            <w:hideMark/>
          </w:tcPr>
          <w:p w:rsidR="00A472E7" w:rsidRDefault="00572AD9" w:rsidP="003E4B6B">
            <w:pPr>
              <w:spacing w:after="0" w:line="240" w:lineRule="auto"/>
              <w:jc w:val="left"/>
              <w:rPr>
                <w:rFonts w:eastAsia="Times New Roman"/>
                <w:lang w:eastAsia="en-GB"/>
              </w:rPr>
            </w:pPr>
            <w:hyperlink r:id="rId10" w:history="1">
              <w:r w:rsidR="00E51693" w:rsidRPr="00A472E7">
                <w:rPr>
                  <w:rFonts w:eastAsia="Times New Roman"/>
                  <w:sz w:val="22"/>
                  <w:lang w:eastAsia="en-GB"/>
                </w:rPr>
                <w:t>http://icp-forests.net</w:t>
              </w:r>
            </w:hyperlink>
            <w:r w:rsidR="006A50CC" w:rsidRPr="006A50CC">
              <w:rPr>
                <w:rFonts w:eastAsia="Times New Roman"/>
                <w:b/>
                <w:sz w:val="22"/>
                <w:vertAlign w:val="superscript"/>
                <w:lang w:eastAsia="en-GB"/>
              </w:rPr>
              <w:t>1</w:t>
            </w:r>
          </w:p>
          <w:p w:rsidR="00E51693" w:rsidRPr="00A472E7" w:rsidRDefault="00572AD9" w:rsidP="003E4B6B">
            <w:pPr>
              <w:spacing w:after="0" w:line="240" w:lineRule="auto"/>
              <w:jc w:val="left"/>
              <w:rPr>
                <w:rFonts w:eastAsia="Times New Roman"/>
                <w:szCs w:val="20"/>
                <w:lang w:eastAsia="en-GB"/>
              </w:rPr>
            </w:pPr>
            <w:r w:rsidRPr="00A472E7">
              <w:rPr>
                <w:rFonts w:eastAsia="Times New Roman"/>
                <w:sz w:val="22"/>
                <w:lang w:eastAsia="en-GB"/>
              </w:rPr>
              <w:fldChar w:fldCharType="begin" w:fldLock="1"/>
            </w:r>
            <w:r w:rsidR="003E4B6B" w:rsidRPr="00A472E7">
              <w:rPr>
                <w:rFonts w:eastAsia="Times New Roman"/>
                <w:sz w:val="22"/>
                <w:lang w:eastAsia="en-GB"/>
              </w:rPr>
              <w:instrText>ADDIN CSL_CITATION { "citationItems" : [ { "id" : "ITEM-1", "itemData" : { "DOI" : "10.1016/B978-0-08-098222-9.00010-8", "ISBN" : "9780080982229", "ISSN" : "14748177", "abstract" : "The growth of trees is a key ecological parameter of forests and thus of high importance as an indicator of forest condition in long-term forest monitoring. Forest growth can be easily and fairly inexpensively assessed on both intensive monitoring plots and large-scale plots. For intensive monitoring plots, we propose a hierarchical system of stem diameter measurements with simple manual growth assessments in regular multiannual intervals on all trees (periodic measurements), annual to weekly readings of permanently installed girth bands (permanent measurements) on a subset of trees, and electronically recorded dendrometer measurements with high-time resolution on a few selected trees (continuous measurements) for physiological measurements. For this, we describe possible plot layouts, sampling protocols for the trees, and measuring methods and instruments used, and give suggestions for data Quality Assurance, forest growth calculations, and data evaluations.", "author" : [ { "dropping-particle" : "", "family" : "Dobbertin", "given" : "Matthias", "non-dropping-particle" : "", "parse-names" : false, "suffix" : "" }, { "dropping-particle" : "", "family" : "Neumann", "given" : "Markus", "non-dropping-particle" : "", "parse-names" : false, "suffix" : "" }, { "dropping-particle" : "", "family" : "Schroeck", "given" : "Hans-Werner", "non-dropping-particle" : "", "parse-names" : false, "suffix" : "" } ], "container-title" : "Developments in Environmental Science", "id" : "ITEM-1", "issued" : { "date-parts" : [ [ "2013" ] ] }, "page" : "183-204", "title" : "Chapter 10 \u2013 Tree Growth Measurements in Long-Term Forest Monitoring in Europe", "type" : "chapter", "volume" : "12" }, "uris" : [ "http://www.mendeley.com/documents/?uuid=7373571a-5f99-37ee-88c4-535103825d85" ] } ], "mendeley" : { "formattedCitation" : "(Dobbertin &lt;i&gt;et al.&lt;/i&gt;, 2013)", "manualFormatting" : "Dobbertin et al., (2013)", "plainTextFormattedCitation" : "(Dobbertin et al., 2013)", "previouslyFormattedCitation" : "(Dobbertin &lt;i&gt;et al.&lt;/i&gt;, 2013)" }, "properties" : { "noteIndex" : 0 }, "schema" : "https://github.com/citation-style-language/schema/raw/master/csl-citation.json" }</w:instrText>
            </w:r>
            <w:r w:rsidRPr="00A472E7">
              <w:rPr>
                <w:rFonts w:eastAsia="Times New Roman"/>
                <w:sz w:val="22"/>
                <w:lang w:eastAsia="en-GB"/>
              </w:rPr>
              <w:fldChar w:fldCharType="separate"/>
            </w:r>
            <w:r w:rsidR="003E4B6B" w:rsidRPr="00A472E7">
              <w:rPr>
                <w:rFonts w:eastAsia="Times New Roman"/>
                <w:noProof/>
                <w:sz w:val="22"/>
                <w:lang w:eastAsia="en-GB"/>
              </w:rPr>
              <w:t xml:space="preserve">Dobbertin </w:t>
            </w:r>
            <w:r w:rsidR="003E4B6B" w:rsidRPr="00A472E7">
              <w:rPr>
                <w:rFonts w:eastAsia="Times New Roman"/>
                <w:i/>
                <w:noProof/>
                <w:sz w:val="22"/>
                <w:lang w:eastAsia="en-GB"/>
              </w:rPr>
              <w:t>et al.</w:t>
            </w:r>
            <w:r w:rsidR="003E4B6B" w:rsidRPr="00A472E7">
              <w:rPr>
                <w:rFonts w:eastAsia="Times New Roman"/>
                <w:noProof/>
                <w:sz w:val="22"/>
                <w:lang w:eastAsia="en-GB"/>
              </w:rPr>
              <w:t xml:space="preserve"> (2013)</w:t>
            </w:r>
            <w:r w:rsidRPr="00A472E7">
              <w:rPr>
                <w:rFonts w:eastAsia="Times New Roman"/>
                <w:sz w:val="22"/>
                <w:lang w:eastAsia="en-GB"/>
              </w:rPr>
              <w:fldChar w:fldCharType="end"/>
            </w:r>
            <w:r w:rsidR="009249C6" w:rsidRPr="00A472E7">
              <w:rPr>
                <w:rFonts w:eastAsia="Times New Roman"/>
                <w:sz w:val="22"/>
                <w:lang w:eastAsia="en-GB"/>
              </w:rPr>
              <w:t xml:space="preserve"> </w:t>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Europe</w:t>
            </w:r>
          </w:p>
        </w:tc>
        <w:tc>
          <w:tcPr>
            <w:tcW w:w="19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vAlign w:val="center"/>
            <w:hideMark/>
          </w:tcPr>
          <w:p w:rsidR="00E51693" w:rsidRPr="00A472E7" w:rsidRDefault="00E51693" w:rsidP="000223B4">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0223B4">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"10.1093/biostatistics/manuscript-acf-v5", "ISBN" : "8224406113", "author" : [ { "dropping-particle" : "", "family" : "Jucker", "given" : "Tommaso", "non-dropping-particle" : "", "parse-names" : false, "suffix" : "" }, { "dropping-particle" : "", "family" : "Bouriaud", "given" : "Olivier", "non-dropping-particle" : "", "parse-names" : false, "suffix" : "" }, { "dropping-particle" : "", "family" : "Coomes", "given" : "David A.", "non-dropping-particle" : "", "parse-names" : false, "suffix" : "" } ], "container-title" : "Functional Ecology", "id" : "ITEM-1", "issued" : { "date-parts" : [ [ "2015" ] ] }, "page" : "1078-1086", "title" : "Crown plasticity enables trees to optimize canopy packing in mixed-species forests", "type" : "article-journal", "volume" : "29" }, "uris" : [ "http://www.mendeley.com/documents/?uuid=864568f7-55d5-45e8-bb7a-d970888e35bc" ] } ], "mendeley" : { "formattedCitation" : "(Jucker &lt;i&gt;et al.&lt;/i&gt;, 2015)", "manualFormatting" : "Jucker et al. (2015)", "plainTextFormattedCitation" : "(Jucker et al., 2015)", "previouslyFormattedCitation" : "(Jucker &lt;i&gt;et al.&lt;/i&gt;, 2015)"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Jucker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(2015)</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Europe</w:t>
            </w:r>
          </w:p>
        </w:tc>
        <w:tc>
          <w:tcPr>
            <w:tcW w:w="19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Multiple countries</w:t>
            </w:r>
          </w:p>
        </w:tc>
        <w:tc>
          <w:tcPr>
            <w:tcW w:w="25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tcPr>
          <w:p w:rsidR="00E51693" w:rsidRPr="00A472E7" w:rsidRDefault="00572AD9" w:rsidP="00CF2560">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"ISSN" : "0829-318X", "PMID" : "14676030", "abstract" : "To facilitate future carbon and nutrient inventories, we used mixed-effect linear models to develop new generic biomass functions for Norway spruce (Picea abies (L.) Karst.) in Central Europe. We present both the functions and their respective variance-covariance matrices and illustrate their application for biomass prediction and uncertainty estimation for Norway spruce trees ranging widely in size, age, competitive status and site. We collected biomass data for 688 trees sampled in 102 stands by 19 authors. The total number of trees in the \"base\" model data sets containing the predictor variables diameter at breast height (D), height (H), age (A), site index (SI) and site elevation (HSL) varied according to compartment (roots: n = 114, stem: n = 235, dry branches: n = 207, live branches: n = 429 and needles: n = 551). \"Core\" data sets with about 40% fewer trees could be extracted containing the additional predictor variables crown length and social class. A set of 43 candidate models representing combinations of lnD, lnH, lnA, SI and HSL, including second-order polynomials and interactions, was established. The categorical variable \"author\" subsuming mainly methodological differences was included as a random effect in a mixed linear model. The Akaike Information Criterion was used for model selection. The best models for stem, root and branch biomass contained only combinations of D, H and A as predictors. More complex models that included site-related variables resulted for needle biomass. Adding crown length as a predictor for needles, branches and roots reduced both the bias and the confidence interval of predictions substantially. Applying the best models to a test data set of 17 stands ranging in age from 16 to 172 years produced realistic allocation patterns at the tree and stand levels. The 95% confidence intervals (% of mean prediction) were highest for crown compartments (approximately +/- 12%) and lowest for stem biomass (approximately +/- 5%), and within each compartment, they were highest for the youngest and oldest stands, respectively.", "author" : [ { "dropping-particle" : "", "family" : "Wirth", "given" : "Christian", "non-dropping-particle" : "", "parse-names" : false, "suffix" : "" }, { "dropping-particle" : "", "family" : "Schumacher", "given" : "Jens", "non-dropping-particle" : "", "parse-names" : false, "suffix" : "" }, { "dropping-particle" : "", "family" : "Schulze", "given" : "Ernst-Detlef", "non-dropping-particle" : "", "parse-names" : false, "suffix" : "" } ], "container-title" : "Tree Physiology", "id" : "ITEM-1", "issue" : "2", "issued" : { "date-parts" : [ [ "2004", "2" ] ] }, "page" : "121-39", "title" : "Generic biomass functions for Norway spruce in Central Europe - a meta-analysis approach toward prediction and uncertainty estimation", "type" : "article-journal", "volume" : "24" }, "uris" : [ "http://www.mendeley.com/documents/?uuid=eaeba591-f344-4772-ac38-615b4756112a" ] } ], "mendeley" : { "formattedCitation" : "(Wirth &lt;i&gt;et al.&lt;/i&gt;, 2004)", "manualFormatting" : "Wirth et al. (2004)", "plainTextFormattedCitation" : "(Wirth et al., 2004)", "previouslyFormattedCitation" : "(Wirth &lt;i&gt;et al.&lt;/i&gt;, 2004)"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Wirth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(2004)</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Europe</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Switzerland</w:t>
            </w:r>
          </w:p>
        </w:tc>
        <w:tc>
          <w:tcPr>
            <w:tcW w:w="25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Institutional database</w:t>
            </w:r>
          </w:p>
        </w:tc>
        <w:tc>
          <w:tcPr>
            <w:tcW w:w="7078"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szCs w:val="20"/>
                <w:lang w:eastAsia="en-GB"/>
              </w:rPr>
            </w:pPr>
            <w:r w:rsidRPr="00A472E7">
              <w:rPr>
                <w:rFonts w:eastAsia="Times New Roman"/>
                <w:sz w:val="22"/>
                <w:szCs w:val="20"/>
                <w:lang w:eastAsia="en-GB"/>
              </w:rPr>
              <w:t>http://www.wsl.ch/info/organisation/fpo/lwf/index_EN</w:t>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Europe</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Italy</w:t>
            </w:r>
          </w:p>
        </w:tc>
        <w:tc>
          <w:tcPr>
            <w:tcW w:w="25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CF2560">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C4719B" w:rsidRPr="00A472E7">
              <w:rPr>
                <w:rFonts w:eastAsia="Times New Roman"/>
                <w:sz w:val="22"/>
                <w:szCs w:val="20"/>
                <w:lang w:eastAsia="en-GB"/>
              </w:rPr>
              <w:instrText>ADDIN CSL_CITATION { "citationItems" : [ { "id" : "ITEM-1", "itemData" : { "DOI" : "10.1111/2041-210X.12575", "ISSN" : "2041210X", "author" : [ { "dropping-particle" : "", "family" : "Dalponte", "given" : "Michele", "non-dropping-particle" : "", "parse-names" : false, "suffix" : "" }, { "dropping-particle" : "", "family" : "Coomes", "given" : "David A.", "non-dropping-particle" : "", "parse-names" : false, "suffix" : "" } ], "container-title" : "Methods in Ecology and Evolution", "id" : "ITEM-1", "issued" : { "date-parts" : [ [ "2016" ] ] }, "title" : "Tree-centric mapping of forest carbon density from airborne laser scanning and hyperspectral data", "type" : "article-journal" }, "uris" : [ "http://www.mendeley.com/documents/?uuid=7c24c9e2-69aa-4868-b430-39c945535fa0" ] } ], "mendeley" : { "formattedCitation" : "(Dalponte &amp; Coomes, 2016)", "manualFormatting" : "Dalponte &amp; Coomes (2016)", "plainTextFormattedCitation" : "(Dalponte &amp; Coomes, 2016)", "previouslyFormattedCitation" : "(Dalponte &amp; Coomes, 2016)" }, "properties" : { "noteIndex" : 0 }, "schema" : "https://github.com/citation-style-language/schema/raw/master/csl-citation.json" }</w:instrText>
            </w:r>
            <w:r w:rsidRPr="00A472E7">
              <w:rPr>
                <w:rFonts w:eastAsia="Times New Roman"/>
                <w:sz w:val="22"/>
                <w:szCs w:val="20"/>
                <w:lang w:eastAsia="en-GB"/>
              </w:rPr>
              <w:fldChar w:fldCharType="separate"/>
            </w:r>
            <w:r w:rsidR="00F575F5" w:rsidRPr="00A472E7">
              <w:rPr>
                <w:rFonts w:eastAsia="Times New Roman"/>
                <w:noProof/>
                <w:sz w:val="22"/>
                <w:szCs w:val="20"/>
                <w:lang w:eastAsia="en-GB"/>
              </w:rPr>
              <w:t>Dalponte &amp; Coomes (2016)</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North America</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Canada</w:t>
            </w:r>
          </w:p>
        </w:tc>
        <w:tc>
          <w:tcPr>
            <w:tcW w:w="2540" w:type="dxa"/>
            <w:tcBorders>
              <w:top w:val="nil"/>
              <w:left w:val="nil"/>
              <w:bottom w:val="nil"/>
              <w:right w:val="nil"/>
            </w:tcBorders>
            <w:shd w:val="clear" w:color="auto" w:fill="auto"/>
            <w:noWrap/>
            <w:vAlign w:val="center"/>
            <w:hideMark/>
          </w:tcPr>
          <w:p w:rsidR="00E51693" w:rsidRPr="00A472E7" w:rsidRDefault="008C53CE" w:rsidP="00CF2560">
            <w:pPr>
              <w:spacing w:after="0" w:line="240" w:lineRule="auto"/>
              <w:jc w:val="left"/>
              <w:rPr>
                <w:rFonts w:eastAsia="Times New Roman"/>
                <w:color w:val="000000"/>
                <w:szCs w:val="20"/>
                <w:lang w:eastAsia="en-GB"/>
              </w:rPr>
            </w:pPr>
            <w:r>
              <w:rPr>
                <w:rFonts w:eastAsia="Times New Roman"/>
                <w:color w:val="000000"/>
                <w:sz w:val="22"/>
                <w:szCs w:val="20"/>
                <w:lang w:eastAsia="en-GB"/>
              </w:rPr>
              <w:t>Unpublished data</w:t>
            </w:r>
          </w:p>
        </w:tc>
        <w:tc>
          <w:tcPr>
            <w:tcW w:w="7078" w:type="dxa"/>
            <w:tcBorders>
              <w:top w:val="nil"/>
              <w:left w:val="nil"/>
              <w:bottom w:val="nil"/>
              <w:right w:val="nil"/>
            </w:tcBorders>
            <w:shd w:val="clear" w:color="auto" w:fill="auto"/>
            <w:noWrap/>
            <w:vAlign w:val="center"/>
            <w:hideMark/>
          </w:tcPr>
          <w:p w:rsidR="00E51693" w:rsidRPr="00A472E7" w:rsidRDefault="008C53CE" w:rsidP="008C53CE">
            <w:pPr>
              <w:spacing w:after="0" w:line="240" w:lineRule="auto"/>
              <w:jc w:val="left"/>
              <w:rPr>
                <w:rFonts w:eastAsia="Times New Roman"/>
                <w:szCs w:val="20"/>
                <w:lang w:eastAsia="en-GB"/>
              </w:rPr>
            </w:pPr>
            <w:r>
              <w:rPr>
                <w:rFonts w:eastAsia="Times New Roman"/>
                <w:sz w:val="22"/>
                <w:szCs w:val="20"/>
                <w:lang w:eastAsia="en-GB"/>
              </w:rPr>
              <w:t xml:space="preserve">Marshall </w:t>
            </w:r>
            <w:r w:rsidRPr="00A472E7">
              <w:rPr>
                <w:rFonts w:eastAsia="Times New Roman"/>
                <w:i/>
                <w:sz w:val="22"/>
                <w:szCs w:val="20"/>
                <w:lang w:eastAsia="en-GB"/>
              </w:rPr>
              <w:t>et al</w:t>
            </w:r>
            <w:r w:rsidRPr="00A472E7">
              <w:rPr>
                <w:rFonts w:eastAsia="Times New Roman"/>
                <w:sz w:val="22"/>
                <w:szCs w:val="20"/>
                <w:lang w:eastAsia="en-GB"/>
              </w:rPr>
              <w:t>. (unpublished)</w:t>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North America</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Canada</w:t>
            </w:r>
          </w:p>
        </w:tc>
        <w:tc>
          <w:tcPr>
            <w:tcW w:w="25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CF2560">
            <w:pPr>
              <w:spacing w:after="0" w:line="240" w:lineRule="auto"/>
              <w:jc w:val="left"/>
              <w:rPr>
                <w:rFonts w:eastAsia="Times New Roman"/>
                <w:szCs w:val="20"/>
                <w:lang w:eastAsia="en-GB"/>
              </w:rPr>
            </w:pPr>
            <w:r w:rsidRPr="00F90AF8">
              <w:rPr>
                <w:rFonts w:eastAsia="Times New Roman"/>
                <w:sz w:val="22"/>
                <w:szCs w:val="20"/>
                <w:lang w:eastAsia="en-GB"/>
              </w:rPr>
              <w:fldChar w:fldCharType="begin" w:fldLock="1"/>
            </w:r>
            <w:r w:rsidR="00F575F5" w:rsidRPr="00F90AF8">
              <w:rPr>
                <w:rFonts w:eastAsia="Times New Roman"/>
                <w:sz w:val="22"/>
                <w:szCs w:val="20"/>
                <w:lang w:eastAsia="en-GB"/>
              </w:rPr>
              <w:instrText>ADDIN CSL_CITATION { "citationItems" : [ { "id" : "ITEM-1", "itemData" : { "DOI" : "10.1371/journal.pone.0028660", "ISSN" : "1932-6203", "PMID" : "22174861", "abstract" : "A BETTER UNDERSTANDING OF THE RELATIONSHIP BETWEEN STAND STRUCTURE AND PRODUCTIVITY IS REQUIRED FOR THE DEVELOPMENT OF: a) scalable models that can accurately predict growth and yield dynamics for the world's forests; and b) stand management regimes that maximize wood and/or timber yield, while maintaining structural and species diversity.", "author" : [ { "dropping-particle" : "", "family" : "Caspersen", "given" : "John P.", "non-dropping-particle" : "", "parse-names" : false, "suffix" : "" }, { "dropping-particle" : "", "family" : "Vanderwel", "given" : "Mark C", "non-dropping-particle" : "", "parse-names" : false, "suffix" : "" }, { "dropping-particle" : "", "family" : "Cole", "given" : "William G", "non-dropping-particle" : "", "parse-names" : false, "suffix" : "" }, { "dropping-particle" : "", "family" : "Purves", "given" : "Drew W", "non-dropping-particle" : "", "parse-names" : false, "suffix" : "" } ], "container-title" : "PLoS ONE", "id" : "ITEM-1", "issue" : "12", "issued" : { "date-parts" : [ [ "2011", "1" ] ] }, "page" : "e28660", "title" : "How stand productivity results from size- and competition-dependent growth and mortality.", "type" : "article-journal", "volume" : "6" }, "uris" : [ "http://www.mendeley.com/documents/?uuid=057d7c4d-752e-4a46-a653-e4454b0a9504" ] } ], "mendeley" : { "formattedCitation" : "(Caspersen &lt;i&gt;et al.&lt;/i&gt;, 2011)", "manualFormatting" : "Caspersen et al. (2011)", "plainTextFormattedCitation" : "(Caspersen et al., 2011)", "previouslyFormattedCitation" : "(Caspersen &lt;i&gt;et al.&lt;/i&gt;, 2011)" }, "properties" : { "noteIndex" : 0 }, "schema" : "https://github.com/citation-style-language/schema/raw/master/csl-citation.json" }</w:instrText>
            </w:r>
            <w:r w:rsidRPr="00F90AF8">
              <w:rPr>
                <w:rFonts w:eastAsia="Times New Roman"/>
                <w:sz w:val="22"/>
                <w:szCs w:val="20"/>
                <w:lang w:eastAsia="en-GB"/>
              </w:rPr>
              <w:fldChar w:fldCharType="separate"/>
            </w:r>
            <w:r w:rsidR="00E51693" w:rsidRPr="00F90AF8">
              <w:rPr>
                <w:rFonts w:eastAsia="Times New Roman"/>
                <w:noProof/>
                <w:sz w:val="22"/>
                <w:szCs w:val="20"/>
                <w:lang w:eastAsia="en-GB"/>
              </w:rPr>
              <w:t xml:space="preserve">Caspersen </w:t>
            </w:r>
            <w:r w:rsidR="00E51693" w:rsidRPr="00F90AF8">
              <w:rPr>
                <w:rFonts w:eastAsia="Times New Roman"/>
                <w:i/>
                <w:noProof/>
                <w:sz w:val="22"/>
                <w:szCs w:val="20"/>
                <w:lang w:eastAsia="en-GB"/>
              </w:rPr>
              <w:t>et al.</w:t>
            </w:r>
            <w:r w:rsidR="00E51693" w:rsidRPr="00F90AF8">
              <w:rPr>
                <w:rFonts w:eastAsia="Times New Roman"/>
                <w:noProof/>
                <w:sz w:val="22"/>
                <w:szCs w:val="20"/>
                <w:lang w:eastAsia="en-GB"/>
              </w:rPr>
              <w:t xml:space="preserve"> (2011)</w:t>
            </w:r>
            <w:r w:rsidRPr="00F90AF8">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North America</w:t>
            </w:r>
          </w:p>
        </w:tc>
        <w:tc>
          <w:tcPr>
            <w:tcW w:w="19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Canada</w:t>
            </w:r>
          </w:p>
        </w:tc>
        <w:tc>
          <w:tcPr>
            <w:tcW w:w="25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tcPr>
          <w:p w:rsidR="00E51693" w:rsidRPr="00A472E7" w:rsidRDefault="00572AD9" w:rsidP="00CF2560">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"author" : [ { "dropping-particle" : "", "family" : "Groot", "given" : "Arthur", "non-dropping-particle" : "", "parse-names" : false, "suffix" : "" }, { "dropping-particle" : "", "family" : "Luther", "given" : "Joan E", "non-dropping-particle" : "", "parse-names" : false, "suffix" : "" } ], "container-title" : "Canadian Journal of Forest Research", "id" : "ITEM-1", "issued" : { "date-parts" : [ [ "2015" ] ] }, "page" : "805-816", "title" : "Hierarchical analysis of black spruce and balsam fir wood density in Newfoundland", "type" : "article-journal", "volume" : "45" }, "uris" : [ "http://www.mendeley.com/documents/?uuid=5f868522-4b8c-4a71-909e-c8d631deb3d5" ] } ], "mendeley" : { "formattedCitation" : "(Groot &amp; Luther, 2015)", "manualFormatting" : "Groot &amp; Luther (2015)", "plainTextFormattedCitation" : "(Groot &amp; Luther, 2015)", "previouslyFormattedCitation" : "(Groot &amp; Luther, 2015)"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Groot &amp; Luther (2015)</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North America</w:t>
            </w:r>
          </w:p>
        </w:tc>
        <w:tc>
          <w:tcPr>
            <w:tcW w:w="19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Canada</w:t>
            </w:r>
          </w:p>
        </w:tc>
        <w:tc>
          <w:tcPr>
            <w:tcW w:w="25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Institutional database</w:t>
            </w:r>
          </w:p>
        </w:tc>
        <w:tc>
          <w:tcPr>
            <w:tcW w:w="7078" w:type="dxa"/>
            <w:tcBorders>
              <w:top w:val="nil"/>
              <w:left w:val="nil"/>
              <w:bottom w:val="nil"/>
              <w:right w:val="nil"/>
            </w:tcBorders>
            <w:shd w:val="clear" w:color="auto" w:fill="auto"/>
            <w:noWrap/>
            <w:vAlign w:val="center"/>
          </w:tcPr>
          <w:p w:rsidR="00E51693" w:rsidRPr="00A472E7" w:rsidRDefault="008C53CE" w:rsidP="00CF2560">
            <w:pPr>
              <w:spacing w:after="0" w:line="240" w:lineRule="auto"/>
              <w:jc w:val="left"/>
              <w:rPr>
                <w:rFonts w:eastAsia="Times New Roman"/>
                <w:szCs w:val="20"/>
                <w:lang w:eastAsia="en-GB"/>
              </w:rPr>
            </w:pPr>
            <w:r w:rsidRPr="008C53CE">
              <w:rPr>
                <w:rFonts w:eastAsia="Times New Roman"/>
                <w:sz w:val="22"/>
                <w:szCs w:val="20"/>
                <w:lang w:eastAsia="en-GB"/>
              </w:rPr>
              <w:t>https://www.agric.gov.ab.ca/app21/forestrypage</w:t>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lastRenderedPageBreak/>
              <w:t>North America</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Mexico</w:t>
            </w:r>
          </w:p>
        </w:tc>
        <w:tc>
          <w:tcPr>
            <w:tcW w:w="25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CF2560">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"author" : [ { "dropping-particle" : "", "family" : "Bongers", "given" : "F", "non-dropping-particle" : "", "parse-names" : false, "suffix" : "" }, { "dropping-particle" : "", "family" : "Popma", "given" : "J", "non-dropping-particle" : "", "parse-names" : false, "suffix" : "" }, { "dropping-particle" : "", "family" : "Meave del Castillo", "given" : "J", "non-dropping-particle" : "", "parse-names" : false, "suffix" : "" }, { "dropping-particle" : "", "family" : "Carabias", "given" : "J", "non-dropping-particle" : "", "parse-names" : false, "suffix" : "" } ], "container-title" : "Vegetatio", "id" : "ITEM-1", "issue" : "1", "issued" : { "date-parts" : [ [ "1988" ] ] }, "page" : "55-80", "title" : "Structure and floristic composition of the lowland rain forest of Los Tuxlas, Mexico", "type" : "article-journal", "volume" : "74" }, "uris" : [ "http://www.mendeley.com/documents/?uuid=0800e1d9-aeaa-4537-a022-cb5805c8a95a" ] } ], "mendeley" : { "formattedCitation" : "(Bongers &lt;i&gt;et al.&lt;/i&gt;, 1988)", "manualFormatting" : "Bongers et al. (1988)", "plainTextFormattedCitation" : "(Bongers et al., 1988)", "previouslyFormattedCitation" : "(Bongers &lt;i&gt;et al.&lt;/i&gt;, 1988)"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Bongers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(1988)</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North America</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USA</w:t>
            </w:r>
          </w:p>
        </w:tc>
        <w:tc>
          <w:tcPr>
            <w:tcW w:w="25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Open access database</w:t>
            </w:r>
          </w:p>
        </w:tc>
        <w:tc>
          <w:tcPr>
            <w:tcW w:w="7078" w:type="dxa"/>
            <w:tcBorders>
              <w:top w:val="nil"/>
              <w:left w:val="nil"/>
              <w:bottom w:val="nil"/>
              <w:right w:val="nil"/>
            </w:tcBorders>
            <w:shd w:val="clear" w:color="auto" w:fill="auto"/>
            <w:noWrap/>
            <w:vAlign w:val="center"/>
            <w:hideMark/>
          </w:tcPr>
          <w:p w:rsidR="00E51693" w:rsidRPr="00A472E7" w:rsidRDefault="00572AD9" w:rsidP="00CF2560">
            <w:pPr>
              <w:spacing w:after="0" w:line="240" w:lineRule="auto"/>
              <w:jc w:val="left"/>
              <w:rPr>
                <w:rFonts w:eastAsia="Times New Roman"/>
                <w:szCs w:val="20"/>
                <w:lang w:eastAsia="en-GB"/>
              </w:rPr>
            </w:pPr>
            <w:hyperlink r:id="rId11" w:history="1">
              <w:r w:rsidR="00E51693" w:rsidRPr="00A472E7">
                <w:rPr>
                  <w:rFonts w:eastAsia="Times New Roman"/>
                  <w:sz w:val="22"/>
                  <w:lang w:eastAsia="en-GB"/>
                </w:rPr>
                <w:t>http://www.fia.fs.fed.us/tools-data/other_data/index.php</w:t>
              </w:r>
            </w:hyperlink>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North America</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USA</w:t>
            </w:r>
          </w:p>
        </w:tc>
        <w:tc>
          <w:tcPr>
            <w:tcW w:w="25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Open access database</w:t>
            </w:r>
          </w:p>
        </w:tc>
        <w:tc>
          <w:tcPr>
            <w:tcW w:w="7078" w:type="dxa"/>
            <w:tcBorders>
              <w:top w:val="nil"/>
              <w:left w:val="nil"/>
              <w:bottom w:val="nil"/>
              <w:right w:val="nil"/>
            </w:tcBorders>
            <w:shd w:val="clear" w:color="auto" w:fill="auto"/>
            <w:noWrap/>
            <w:vAlign w:val="center"/>
            <w:hideMark/>
          </w:tcPr>
          <w:p w:rsidR="00E51693" w:rsidRPr="00A472E7" w:rsidRDefault="00572AD9" w:rsidP="00CF2560">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"10.1111/1365-2435.12470", "ISSN" : "1365-2435", "abstract" : "Many morphological, physiological, and ecological traits of trees scale with diameter, shaping the structure and function of forest ecosystems. Understanding the mechanistic basis for such scaling relationships is key to understanding forests globally and their role in Earth's changing climate system.Here, we evaluate theoretical predictions for the scaling of nine variables in a mixed-age temperate deciduous forest (CTFS-ForestGEO forest dynamics plot at the Smithsonian Conservation Biology Institute, Virginia, USA) and compare observed scaling parameters to those from other forests worldwide. We examine fifteen species and various environmental conditions.Structural, physiological, and ecological traits of trees scaled with stem diameter in a manner that was sometimes consistent with existing theoretical predictions\u2014more commonly with those predicting a range of scaling values than a single universal scaling value.Scaling relationships were variable among species, reflecting substantive ecological differences.Scaling relationships varied considerably with environmental conditions. For instance, the scaling of sap flux density varied with atmospheric moisture demand, and herbivore browsing dramatically influenced stem abundance scaling.Thus, stand-level, time-averaged scaling relationships (e.g., the scaling of diameter growth) are underlain by a diversity of species-level scaling relationships that can vary substantially with fluctuating environmental conditions. In order to use scaling theory to accurately characterize forest ecosystems and predict their responses to global change, it will be critical to develop a more nuanced understanding of both the forces that constrain stand-level scaling and the complexity of scaling variation across species and environmental conditions.This article is protected by copyright. All rights reserved.", "author" : [ { "dropping-particle" : "", "family" : "Anderson-Teixeira", "given" : "Kristina J", "non-dropping-particle" : "", "parse-names" : false, "suffix" : "" }, { "dropping-particle" : "", "family" : "McGarvey", "given" : "Jennifer C", "non-dropping-particle" : "", "parse-names" : false, "suffix" : "" }, { "dropping-particle" : "", "family" : "Muller-Landau", "given" : "Helene C", "non-dropping-particle" : "", "parse-names" : false, "suffix" : "" }, { "dropping-particle" : "", "family" : "Park", "given" : "Janice Y", "non-dropping-particle" : "", "parse-names" : false, "suffix" : "" }, { "dropping-particle" : "", "family" : "Gonzalez-Akre", "given" : "Erika B", "non-dropping-particle" : "", "parse-names" : false, "suffix" : "" }, { "dropping-particle" : "", "family" : "Herrmann", "given" : "Valentine", "non-dropping-particle" : "", "parse-names" : false, "suffix" : "" }, { "dropping-particle" : "", "family" : "Bennett", "given" : "Amy C", "non-dropping-particle" : "", "parse-names" : false, "suffix" : "" }, { "dropping-particle" : "V", "family" : "So", "given" : "Christopher", "non-dropping-particle" : "", "parse-names" : false, "suffix" : "" }, { "dropping-particle" : "", "family" : "Bourg", "given" : "Norman A", "non-dropping-particle" : "", "parse-names" : false, "suffix" : "" }, { "dropping-particle" : "", "family" : "Thompson", "given" : "Jonathan R", "non-dropping-particle" : "", "parse-names" : false, "suffix" : "" }, { "dropping-particle" : "", "family" : "McMahon", "given" : "Sean M", "non-dropping-particle" : "", "parse-names" : false, "suffix" : "" }, { "dropping-particle" : "", "family" : "McShea", "given" : "William J", "non-dropping-particle" : "", "parse-names" : false, "suffix" : "" } ], "container-title" : "Functional Ecology", "id" : "ITEM-1", "issued" : { "date-parts" : [ [ "2015" ] ] }, "page" : "1587\u20131602", "title" : "Size-related scaling of tree form and function in a mixed-age forest", "type" : "article-journal", "volume" : "29" }, "uris" : [ "http://www.mendeley.com/documents/?uuid=6347bd3e-321c-49c4-badc-3c5aef429abc" ] } ], "mendeley" : { "formattedCitation" : "(Anderson-Teixeira &lt;i&gt;et al.&lt;/i&gt;, 2015)", "manualFormatting" : "Anderson-Teixeira et al. (2015)", "plainTextFormattedCitation" : "(Anderson-Teixeira et al., 2015)", "previouslyFormattedCitation" : "(Anderson-Teixeira &lt;i&gt;et al.&lt;/i&gt;, 2015)"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Anderson-Teixeira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(2015)</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North America</w:t>
            </w:r>
          </w:p>
        </w:tc>
        <w:tc>
          <w:tcPr>
            <w:tcW w:w="19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USA</w:t>
            </w:r>
          </w:p>
        </w:tc>
        <w:tc>
          <w:tcPr>
            <w:tcW w:w="2540" w:type="dxa"/>
            <w:tcBorders>
              <w:top w:val="nil"/>
              <w:left w:val="nil"/>
              <w:bottom w:val="nil"/>
              <w:right w:val="nil"/>
            </w:tcBorders>
            <w:shd w:val="clear" w:color="auto" w:fill="auto"/>
            <w:noWrap/>
            <w:vAlign w:val="center"/>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tcPr>
          <w:p w:rsidR="00E51693" w:rsidRPr="00A472E7" w:rsidRDefault="00572AD9" w:rsidP="00CF2560">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"10.1016/0378-1127(94)90014-0", "ISBN" : "0378-1127", "ISSN" : "03781127", "abstract" : "The predictability of individual tree growth rates for Acer saccharum, Fraxinus americana, and Tilia americana in northern hardwood stands in Wisconsin was studied in relation to crown dimension and crown competition variables measured in the field. Data were collected from 221 destructively sampled trees in eight second-growth uneven-aged stands on above-average sites. Mean canopy tree age for all stands was 68 yr (range 22-248 yr). The single best independent variable for predicting basal area growth was the projection area of the exposed portion of the crown, which had higher correlations with observed growth than initial stem diameter, diameter-based competition indices, and other crown variables. Basal area growth equations containing total crown projection area, percentage exposed crown area, and relative height had R2 values of 0.77 to 0.88, which represent increases of 13 to 47 percentage points compared to similar equations with only diameter-based competition variables. The most accurate height growth models were functions of total tree height and percentage exposed crown area, with R2 values of 0.74 for the non-linear maple equation and 0.44 for the linear white ash equation. The results appear to support the hypothesis that significant competitive stress on individual trees is induced only by the ring of competitor trees immediately surrounding the subject tree crown. By using percentage exposed crown area as a crown competition variable, this competitive effect can be estimated without direct measurements of any of the competitors, potentially saving much field measurement time during the model calibration phase and eliminating the statistical lack of independence generally associated with plot competition measures.", "author" : [ { "dropping-particle" : "", "family" : "Cole", "given" : "William G.", "non-dropping-particle" : "", "parse-names" : false, "suffix" : "" }, { "dropping-particle" : "", "family" : "Lorimer", "given" : "Craig G.", "non-dropping-particle" : "", "parse-names" : false, "suffix" : "" } ], "container-title" : "Forest Ecology and Management", "id" : "ITEM-1", "issue" : "1-3", "issued" : { "date-parts" : [ [ "1994" ] ] }, "page" : "159-175", "title" : "Predicting tree growth from crown variables in managed northern hardwood stands", "type" : "article-journal", "volume" : "67" }, "uris" : [ "http://www.mendeley.com/documents/?uuid=61642ce8-72fe-447a-90de-896ae9ed10f9" ] } ], "mendeley" : { "formattedCitation" : "(Cole &amp; Lorimer, 1994)", "manualFormatting" : "Cole &amp; Lorimer (1994)", "plainTextFormattedCitation" : "(Cole &amp; Lorimer, 1994)", "previouslyFormattedCitation" : "(Cole &amp; Lorimer, 1994)"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Cole &amp; Lorimer (1994)</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Oceania</w:t>
            </w:r>
          </w:p>
        </w:tc>
        <w:tc>
          <w:tcPr>
            <w:tcW w:w="19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New Zealand</w:t>
            </w:r>
          </w:p>
        </w:tc>
        <w:tc>
          <w:tcPr>
            <w:tcW w:w="2540" w:type="dxa"/>
            <w:tcBorders>
              <w:top w:val="nil"/>
              <w:left w:val="nil"/>
              <w:bottom w:val="nil"/>
              <w:right w:val="nil"/>
            </w:tcBorders>
            <w:shd w:val="clear" w:color="auto" w:fill="auto"/>
            <w:noWrap/>
            <w:vAlign w:val="center"/>
            <w:hideMark/>
          </w:tcPr>
          <w:p w:rsidR="00E51693" w:rsidRPr="00A472E7" w:rsidRDefault="00E51693" w:rsidP="00CF2560">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nil"/>
              <w:right w:val="nil"/>
            </w:tcBorders>
            <w:shd w:val="clear" w:color="auto" w:fill="auto"/>
            <w:noWrap/>
            <w:vAlign w:val="center"/>
            <w:hideMark/>
          </w:tcPr>
          <w:p w:rsidR="00E51693" w:rsidRPr="00A472E7" w:rsidRDefault="00572AD9" w:rsidP="00CF2560">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"10.1111/gcb.12622", "ISSN" : "1365-2486", "PMID" : "24771558", "abstract" : "Established forests currently function as a major carbon sink, sequestering as woody biomass about 26% of global fossil fuel emissions. Whether forests continue to act as a global sink will depend on many factors, including the response of aboveground wood production (AWP; MgC ha(-1 ) yr(-1) ) to climate change. Here, we explore how AWP in New Zealand's natural forests is likely to change. We start by statistically modelling the present-day growth of 97 199 individual trees within 1070 permanently marked inventory plots as a function of tree size, competitive neighbourhood and climate. We then use these growth models to identify the factors that most influence present-day AWP and to predict responses to medium-term climate change under different assumptions. We find that if the composition and structure of New Zealand's forests were to remain unchanged over the next 30 years, then AWP would increase by 6-23%, primarily as a result of physiological responses to warmer temperatures (with no appreciable effect of changing rainfall). However, if warmth-requiring trees were able to migrate into currently cooler areas and if denser canopies were able to form, then a different AWP response is likely: forests growing in the cool mountain environments would show a 30% increase in AWP, while those in the lowland would hardly respond (on average, -3% when mean annual temperature exceeds 8.0 \u00b0C). We conclude that response of wood production to anthropogenic climate change is not only dependent on the physiological responses of individual trees, but is highly contingent on whether forests adjust in composition and structure.", "author" : [ { "dropping-particle" : "", "family" : "Coomes", "given" : "David A.", "non-dropping-particle" : "", "parse-names" : false, "suffix" : "" }, { "dropping-particle" : "", "family" : "Flores", "given" : "Olivier", "non-dropping-particle" : "", "parse-names" : false, "suffix" : "" }, { "dropping-particle" : "", "family" : "Holdaway", "given" : "Robert", "non-dropping-particle" : "", "parse-names" : false, "suffix" : "" }, { "dropping-particle" : "", "family" : "Jucker", "given" : "Tommaso", "non-dropping-particle" : "", "parse-names" : false, "suffix" : "" }, { "dropping-particle" : "", "family" : "Lines", "given" : "Emily R", "non-dropping-particle" : "", "parse-names" : false, "suffix" : "" }, { "dropping-particle" : "", "family" : "Vanderwel", "given" : "Mark C", "non-dropping-particle" : "", "parse-names" : false, "suffix" : "" } ], "container-title" : "Global Change Biology", "id" : "ITEM-1", "issued" : { "date-parts" : [ [ "2014", "4", "27" ] ] }, "page" : "3632-3645", "title" : "Wood production response to climate change will depend critically on forest composition and structure", "type" : "article-journal", "volume" : "20" }, "uris" : [ "http://www.mendeley.com/documents/?uuid=d6f4dc3f-ed90-43a1-b1ed-8e1f83d2237c" ] } ], "mendeley" : { "formattedCitation" : "(Coomes &lt;i&gt;et al.&lt;/i&gt;, 2014)", "manualFormatting" : "Coomes et al. (2014)", "plainTextFormattedCitation" : "(Coomes et al., 2014)", "previouslyFormattedCitation" : "(Coomes &lt;i&gt;et al.&lt;/i&gt;, 2014)"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Coomes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(2014)</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nil"/>
              <w:right w:val="nil"/>
            </w:tcBorders>
            <w:shd w:val="clear" w:color="auto" w:fill="auto"/>
            <w:noWrap/>
            <w:hideMark/>
          </w:tcPr>
          <w:p w:rsidR="00E51693" w:rsidRPr="00A472E7" w:rsidRDefault="00E51693" w:rsidP="00C01DE8">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South America</w:t>
            </w:r>
          </w:p>
        </w:tc>
        <w:tc>
          <w:tcPr>
            <w:tcW w:w="1940" w:type="dxa"/>
            <w:tcBorders>
              <w:top w:val="nil"/>
              <w:left w:val="nil"/>
              <w:bottom w:val="nil"/>
              <w:right w:val="nil"/>
            </w:tcBorders>
            <w:shd w:val="clear" w:color="auto" w:fill="auto"/>
            <w:noWrap/>
            <w:hideMark/>
          </w:tcPr>
          <w:p w:rsidR="00E51693" w:rsidRPr="00A472E7" w:rsidRDefault="00E51693" w:rsidP="00C01DE8">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Brazil</w:t>
            </w:r>
          </w:p>
        </w:tc>
        <w:tc>
          <w:tcPr>
            <w:tcW w:w="2540" w:type="dxa"/>
            <w:tcBorders>
              <w:top w:val="nil"/>
              <w:left w:val="nil"/>
              <w:bottom w:val="nil"/>
              <w:right w:val="nil"/>
            </w:tcBorders>
            <w:shd w:val="clear" w:color="auto" w:fill="auto"/>
            <w:noWrap/>
            <w:hideMark/>
          </w:tcPr>
          <w:p w:rsidR="00E51693" w:rsidRPr="00A472E7" w:rsidRDefault="00C01DE8" w:rsidP="00C01DE8">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Open access database</w:t>
            </w:r>
          </w:p>
        </w:tc>
        <w:tc>
          <w:tcPr>
            <w:tcW w:w="7078" w:type="dxa"/>
            <w:tcBorders>
              <w:top w:val="nil"/>
              <w:left w:val="nil"/>
              <w:bottom w:val="nil"/>
              <w:right w:val="nil"/>
            </w:tcBorders>
            <w:shd w:val="clear" w:color="auto" w:fill="auto"/>
            <w:noWrap/>
            <w:vAlign w:val="center"/>
            <w:hideMark/>
          </w:tcPr>
          <w:p w:rsidR="00E51693" w:rsidRPr="00A472E7" w:rsidRDefault="009249C6" w:rsidP="009249C6">
            <w:pPr>
              <w:spacing w:after="0" w:line="240" w:lineRule="auto"/>
              <w:jc w:val="left"/>
              <w:rPr>
                <w:rFonts w:eastAsia="Times New Roman"/>
                <w:szCs w:val="20"/>
                <w:lang w:eastAsia="en-GB"/>
              </w:rPr>
            </w:pPr>
            <w:r w:rsidRPr="0041645A">
              <w:rPr>
                <w:rFonts w:eastAsia="Times New Roman"/>
                <w:sz w:val="22"/>
                <w:lang w:eastAsia="en-GB"/>
              </w:rPr>
              <w:t>http://mapas.cnpm.embrapa.br/paisagenssustentaveis</w:t>
            </w:r>
            <w:r w:rsidRPr="00A472E7">
              <w:rPr>
                <w:rFonts w:eastAsia="Times New Roman"/>
                <w:sz w:val="22"/>
                <w:lang w:eastAsia="en-GB"/>
              </w:rPr>
              <w:t xml:space="preserve"> </w:t>
            </w:r>
            <w:r w:rsidR="00C01DE8" w:rsidRPr="00A472E7">
              <w:rPr>
                <w:rFonts w:eastAsia="Times New Roman"/>
                <w:sz w:val="22"/>
                <w:lang w:eastAsia="en-GB"/>
              </w:rPr>
              <w:t>http://dx.doi.org/10.3334/ORNLDAAC/1301</w:t>
            </w:r>
          </w:p>
        </w:tc>
      </w:tr>
      <w:tr w:rsidR="00E51693" w:rsidRPr="005F5E5B" w:rsidTr="00D546AE">
        <w:trPr>
          <w:trHeight w:val="283"/>
        </w:trPr>
        <w:tc>
          <w:tcPr>
            <w:tcW w:w="1780" w:type="dxa"/>
            <w:tcBorders>
              <w:top w:val="nil"/>
              <w:left w:val="nil"/>
              <w:bottom w:val="nil"/>
              <w:right w:val="nil"/>
            </w:tcBorders>
            <w:shd w:val="clear" w:color="auto" w:fill="auto"/>
            <w:noWrap/>
            <w:hideMark/>
          </w:tcPr>
          <w:p w:rsidR="00E51693" w:rsidRPr="00A472E7" w:rsidRDefault="00E51693" w:rsidP="00947941">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South America</w:t>
            </w:r>
          </w:p>
        </w:tc>
        <w:tc>
          <w:tcPr>
            <w:tcW w:w="1940" w:type="dxa"/>
            <w:tcBorders>
              <w:top w:val="nil"/>
              <w:left w:val="nil"/>
              <w:bottom w:val="nil"/>
              <w:right w:val="nil"/>
            </w:tcBorders>
            <w:shd w:val="clear" w:color="auto" w:fill="auto"/>
            <w:noWrap/>
            <w:hideMark/>
          </w:tcPr>
          <w:p w:rsidR="00E51693" w:rsidRPr="00A472E7" w:rsidRDefault="00E51693" w:rsidP="00947941">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Brazil</w:t>
            </w:r>
          </w:p>
        </w:tc>
        <w:tc>
          <w:tcPr>
            <w:tcW w:w="2540" w:type="dxa"/>
            <w:tcBorders>
              <w:top w:val="nil"/>
              <w:left w:val="nil"/>
              <w:bottom w:val="nil"/>
              <w:right w:val="nil"/>
            </w:tcBorders>
            <w:shd w:val="clear" w:color="auto" w:fill="auto"/>
            <w:noWrap/>
            <w:hideMark/>
          </w:tcPr>
          <w:p w:rsidR="00E51693" w:rsidRPr="00A472E7" w:rsidRDefault="00E51693" w:rsidP="00947941">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Open access database</w:t>
            </w:r>
          </w:p>
        </w:tc>
        <w:tc>
          <w:tcPr>
            <w:tcW w:w="7078" w:type="dxa"/>
            <w:tcBorders>
              <w:top w:val="nil"/>
              <w:left w:val="nil"/>
              <w:bottom w:val="nil"/>
              <w:right w:val="nil"/>
            </w:tcBorders>
            <w:shd w:val="clear" w:color="auto" w:fill="auto"/>
            <w:noWrap/>
            <w:vAlign w:val="center"/>
            <w:hideMark/>
          </w:tcPr>
          <w:p w:rsidR="00A472E7" w:rsidRDefault="009249C6" w:rsidP="009249C6">
            <w:pPr>
              <w:spacing w:after="0" w:line="240" w:lineRule="auto"/>
              <w:jc w:val="left"/>
              <w:rPr>
                <w:rFonts w:eastAsia="Times New Roman"/>
                <w:szCs w:val="20"/>
                <w:lang w:eastAsia="en-GB"/>
              </w:rPr>
            </w:pPr>
            <w:r w:rsidRPr="00A472E7">
              <w:rPr>
                <w:rFonts w:eastAsia="Times New Roman"/>
                <w:sz w:val="22"/>
                <w:szCs w:val="20"/>
                <w:lang w:eastAsia="en-GB"/>
              </w:rPr>
              <w:t>http://dx.doi.org/10.5061/dryad.p281g</w:t>
            </w:r>
          </w:p>
          <w:p w:rsidR="00E51693" w:rsidRPr="00A472E7" w:rsidRDefault="00572AD9" w:rsidP="009249C6">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"author" : [ { "dropping-particle" : "", "family" : "Goodman", "given" : "Rosa C.", "non-dropping-particle" : "", "parse-names" : false, "suffix" : "" }, { "dropping-particle" : "", "family" : "Phillips", "given" : "Oliver L.", "non-dropping-particle" : "", "parse-names" : false, "suffix" : "" }, { "dropping-particle" : "", "family" : "Baker", "given" : "Timothy R.", "non-dropping-particle" : "", "parse-names" : false, "suffix" : "" } ], "container-title" : "Ecological Applications", "id" : "ITEM-1", "issue" : "4", "issued" : { "date-parts" : [ [ "2014" ] ] }, "page" : "680-689", "title" : "The importance of crown dimensions to improve tropical tree biomass estimates", "type" : "article-journal", "volume" : "24" }, "uris" : [ "http://www.mendeley.com/documents/?uuid=bf8eef7a-ea48-4b16-a9f8-a0845b816050" ] } ], "mendeley" : { "formattedCitation" : "(Goodman &lt;i&gt;et al.&lt;/i&gt;, 2014)", "manualFormatting" : "Goodman et al. (2014)", "plainTextFormattedCitation" : "(Goodman et al., 2014)", "previouslyFormattedCitation" : "(Goodman &lt;i&gt;et al.&lt;/i&gt;, 2014)"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Goodman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(2014)</w:t>
            </w:r>
            <w:r w:rsidRPr="00A472E7">
              <w:rPr>
                <w:rFonts w:eastAsia="Times New Roman"/>
                <w:sz w:val="22"/>
                <w:szCs w:val="20"/>
                <w:lang w:eastAsia="en-GB"/>
              </w:rPr>
              <w:fldChar w:fldCharType="end"/>
            </w:r>
          </w:p>
        </w:tc>
      </w:tr>
      <w:tr w:rsidR="00E51693" w:rsidRPr="005F5E5B" w:rsidTr="00D546AE">
        <w:trPr>
          <w:trHeight w:val="283"/>
        </w:trPr>
        <w:tc>
          <w:tcPr>
            <w:tcW w:w="1780" w:type="dxa"/>
            <w:tcBorders>
              <w:top w:val="nil"/>
              <w:left w:val="nil"/>
              <w:bottom w:val="single" w:sz="4" w:space="0" w:color="auto"/>
              <w:right w:val="nil"/>
            </w:tcBorders>
            <w:shd w:val="clear" w:color="auto" w:fill="auto"/>
            <w:noWrap/>
            <w:vAlign w:val="center"/>
            <w:hideMark/>
          </w:tcPr>
          <w:p w:rsidR="00E51693" w:rsidRPr="00A472E7" w:rsidRDefault="00E51693" w:rsidP="0041420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South America</w:t>
            </w:r>
          </w:p>
        </w:tc>
        <w:tc>
          <w:tcPr>
            <w:tcW w:w="1940" w:type="dxa"/>
            <w:tcBorders>
              <w:top w:val="nil"/>
              <w:left w:val="nil"/>
              <w:bottom w:val="single" w:sz="4" w:space="0" w:color="auto"/>
              <w:right w:val="nil"/>
            </w:tcBorders>
            <w:shd w:val="clear" w:color="auto" w:fill="auto"/>
            <w:noWrap/>
            <w:vAlign w:val="center"/>
            <w:hideMark/>
          </w:tcPr>
          <w:p w:rsidR="00E51693" w:rsidRPr="00A472E7" w:rsidRDefault="00E51693" w:rsidP="0041420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Bolivia</w:t>
            </w:r>
          </w:p>
        </w:tc>
        <w:tc>
          <w:tcPr>
            <w:tcW w:w="2540" w:type="dxa"/>
            <w:tcBorders>
              <w:top w:val="nil"/>
              <w:left w:val="nil"/>
              <w:bottom w:val="single" w:sz="4" w:space="0" w:color="auto"/>
              <w:right w:val="nil"/>
            </w:tcBorders>
            <w:shd w:val="clear" w:color="auto" w:fill="auto"/>
            <w:noWrap/>
            <w:vAlign w:val="center"/>
            <w:hideMark/>
          </w:tcPr>
          <w:p w:rsidR="00E51693" w:rsidRPr="00A472E7" w:rsidRDefault="00E51693" w:rsidP="0041420E">
            <w:pPr>
              <w:spacing w:after="0" w:line="240" w:lineRule="auto"/>
              <w:jc w:val="left"/>
              <w:rPr>
                <w:rFonts w:eastAsia="Times New Roman"/>
                <w:color w:val="000000"/>
                <w:szCs w:val="20"/>
                <w:lang w:eastAsia="en-GB"/>
              </w:rPr>
            </w:pPr>
            <w:r w:rsidRPr="00A472E7">
              <w:rPr>
                <w:rFonts w:eastAsia="Times New Roman"/>
                <w:color w:val="000000"/>
                <w:sz w:val="22"/>
                <w:szCs w:val="20"/>
                <w:lang w:eastAsia="en-GB"/>
              </w:rPr>
              <w:t>Journal article</w:t>
            </w:r>
          </w:p>
        </w:tc>
        <w:tc>
          <w:tcPr>
            <w:tcW w:w="7078" w:type="dxa"/>
            <w:tcBorders>
              <w:top w:val="nil"/>
              <w:left w:val="nil"/>
              <w:bottom w:val="single" w:sz="4" w:space="0" w:color="auto"/>
              <w:right w:val="nil"/>
            </w:tcBorders>
            <w:shd w:val="clear" w:color="auto" w:fill="auto"/>
            <w:noWrap/>
            <w:vAlign w:val="center"/>
            <w:hideMark/>
          </w:tcPr>
          <w:p w:rsidR="00E51693" w:rsidRPr="00A472E7" w:rsidRDefault="00572AD9" w:rsidP="00E51693">
            <w:pPr>
              <w:spacing w:after="0" w:line="240" w:lineRule="auto"/>
              <w:jc w:val="left"/>
              <w:rPr>
                <w:rFonts w:eastAsia="Times New Roman"/>
                <w:szCs w:val="20"/>
                <w:lang w:eastAsia="en-GB"/>
              </w:rPr>
            </w:pPr>
            <w:r w:rsidRPr="00A472E7">
              <w:rPr>
                <w:rFonts w:eastAsia="Times New Roman"/>
                <w:sz w:val="22"/>
                <w:szCs w:val="20"/>
                <w:lang w:eastAsia="en-GB"/>
              </w:rPr>
              <w:fldChar w:fldCharType="begin" w:fldLock="1"/>
            </w:r>
            <w:r w:rsidR="00F575F5" w:rsidRPr="00A472E7">
              <w:rPr>
                <w:rFonts w:eastAsia="Times New Roman"/>
                <w:sz w:val="22"/>
                <w:szCs w:val="20"/>
                <w:lang w:eastAsia="en-GB"/>
              </w:rPr>
              <w:instrText>ADDIN CSL_CITATION { "citationItems" : [ { "id" : "ITEM-1", "itemData" : { "DOI" : "10.1890/0012-9658(2006)87[1289:AOMTST]2.0.CO;2", "ISSN" : "0012-9658", "author" : [ { "dropping-particle" : "", "family" : "Poorter", "given" : "Lourens", "non-dropping-particle" : "", "parse-names" : false, "suffix" : "" }, { "dropping-particle" : "", "family" : "Bongers", "given" : "Laurent", "non-dropping-particle" : "", "parse-names" : false, "suffix" : "" }, { "dropping-particle" : "", "family" : "Bongers", "given" : "Frans", "non-dropping-particle" : "", "parse-names" : false, "suffix" : "" } ], "container-title" : "Ecology", "id" : "ITEM-1", "issue" : "5", "issued" : { "date-parts" : [ [ "2006" ] ] }, "page" : "1289-1301", "title" : "Architecture of 54 moist-forest tree species: traits, trade-offs, and functional groups", "type" : "article-journal", "volume" : "87" }, "uris" : [ "http://www.mendeley.com/documents/?uuid=9a5f2c76-8d3c-47f1-a966-b0c43468823d" ] } ], "mendeley" : { "formattedCitation" : "(Poorter &lt;i&gt;et al.&lt;/i&gt;, 2006)", "manualFormatting" : "Poorter et al. (2006)", "plainTextFormattedCitation" : "(Poorter et al., 2006)", "previouslyFormattedCitation" : "(Poorter &lt;i&gt;et al.&lt;/i&gt;, 2006)" }, "properties" : { "noteIndex" : 0 }, "schema" : "https://github.com/citation-style-language/schema/raw/master/csl-citation.json" }</w:instrText>
            </w:r>
            <w:r w:rsidRPr="00A472E7">
              <w:rPr>
                <w:rFonts w:eastAsia="Times New Roman"/>
                <w:sz w:val="22"/>
                <w:szCs w:val="20"/>
                <w:lang w:eastAsia="en-GB"/>
              </w:rPr>
              <w:fldChar w:fldCharType="separate"/>
            </w:r>
            <w:r w:rsidR="00E51693" w:rsidRPr="00A472E7">
              <w:rPr>
                <w:rFonts w:eastAsia="Times New Roman"/>
                <w:noProof/>
                <w:sz w:val="22"/>
                <w:szCs w:val="20"/>
                <w:lang w:eastAsia="en-GB"/>
              </w:rPr>
              <w:t xml:space="preserve">Poorter </w:t>
            </w:r>
            <w:r w:rsidR="00E51693" w:rsidRPr="00A472E7">
              <w:rPr>
                <w:rFonts w:eastAsia="Times New Roman"/>
                <w:i/>
                <w:noProof/>
                <w:sz w:val="22"/>
                <w:szCs w:val="20"/>
                <w:lang w:eastAsia="en-GB"/>
              </w:rPr>
              <w:t>et al.</w:t>
            </w:r>
            <w:r w:rsidR="00E51693" w:rsidRPr="00A472E7">
              <w:rPr>
                <w:rFonts w:eastAsia="Times New Roman"/>
                <w:noProof/>
                <w:sz w:val="22"/>
                <w:szCs w:val="20"/>
                <w:lang w:eastAsia="en-GB"/>
              </w:rPr>
              <w:t xml:space="preserve"> (2006)</w:t>
            </w:r>
            <w:r w:rsidRPr="00A472E7">
              <w:rPr>
                <w:rFonts w:eastAsia="Times New Roman"/>
                <w:sz w:val="22"/>
                <w:szCs w:val="20"/>
                <w:lang w:eastAsia="en-GB"/>
              </w:rPr>
              <w:fldChar w:fldCharType="end"/>
            </w:r>
          </w:p>
        </w:tc>
      </w:tr>
    </w:tbl>
    <w:p w:rsidR="006A50CC" w:rsidRPr="006A50CC" w:rsidRDefault="006A50CC" w:rsidP="00D546AE">
      <w:pPr>
        <w:pStyle w:val="Maintext"/>
        <w:spacing w:before="120" w:line="240" w:lineRule="auto"/>
        <w:ind w:right="633"/>
        <w:rPr>
          <w:sz w:val="22"/>
        </w:rPr>
      </w:pPr>
      <w:r w:rsidRPr="006A50CC">
        <w:rPr>
          <w:b/>
          <w:sz w:val="22"/>
          <w:vertAlign w:val="superscript"/>
        </w:rPr>
        <w:t>1</w:t>
      </w:r>
      <w:r w:rsidRPr="006A50CC">
        <w:rPr>
          <w:sz w:val="22"/>
        </w:rPr>
        <w:t xml:space="preserve">Data from </w:t>
      </w:r>
      <w:r>
        <w:rPr>
          <w:sz w:val="22"/>
        </w:rPr>
        <w:t xml:space="preserve">the </w:t>
      </w:r>
      <w:r w:rsidRPr="006A50CC">
        <w:rPr>
          <w:sz w:val="22"/>
        </w:rPr>
        <w:t>ICP Forests Level II plot network for the following countries were included</w:t>
      </w:r>
      <w:r w:rsidR="00D546AE">
        <w:rPr>
          <w:sz w:val="22"/>
        </w:rPr>
        <w:t xml:space="preserve"> in the database</w:t>
      </w:r>
      <w:r w:rsidRPr="006A50CC">
        <w:rPr>
          <w:sz w:val="22"/>
        </w:rPr>
        <w:t>: France, Belgium, Germany, UK, Portugal, Spain, Luxembourg, F</w:t>
      </w:r>
      <w:r w:rsidR="00D546AE">
        <w:rPr>
          <w:sz w:val="22"/>
        </w:rPr>
        <w:t>inland, Hungary, Poland, Latvia and</w:t>
      </w:r>
      <w:r w:rsidRPr="006A50CC">
        <w:rPr>
          <w:sz w:val="22"/>
        </w:rPr>
        <w:t xml:space="preserve"> Serbia</w:t>
      </w:r>
      <w:r w:rsidR="00D546AE">
        <w:rPr>
          <w:sz w:val="22"/>
        </w:rPr>
        <w:t>.</w:t>
      </w:r>
    </w:p>
    <w:p w:rsidR="006A50CC" w:rsidRPr="006A50CC" w:rsidRDefault="006A50CC" w:rsidP="006A50CC">
      <w:pPr>
        <w:sectPr w:rsidR="006A50CC" w:rsidRPr="006A50CC" w:rsidSect="009249C6">
          <w:pgSz w:w="16838" w:h="11906" w:orient="landscape"/>
          <w:pgMar w:top="1276" w:right="1440" w:bottom="1440" w:left="1440" w:header="708" w:footer="708" w:gutter="0"/>
          <w:cols w:space="708"/>
          <w:docGrid w:linePitch="360"/>
        </w:sectPr>
      </w:pPr>
    </w:p>
    <w:p w:rsidR="0060457F" w:rsidRDefault="0060457F" w:rsidP="00286563">
      <w:pPr>
        <w:pStyle w:val="Heading3"/>
      </w:pPr>
      <w:bookmarkStart w:id="2" w:name="_Toc452798011"/>
      <w:r>
        <w:lastRenderedPageBreak/>
        <w:t>Measurement protocols</w:t>
      </w:r>
      <w:bookmarkEnd w:id="2"/>
    </w:p>
    <w:p w:rsidR="00692624" w:rsidRDefault="006E576B" w:rsidP="00FD77A0">
      <w:pPr>
        <w:pStyle w:val="Maintext"/>
        <w:spacing w:line="360" w:lineRule="auto"/>
      </w:pPr>
      <w:r>
        <w:t>Due to</w:t>
      </w:r>
      <w:r w:rsidR="00FD77A0">
        <w:t xml:space="preserve"> the geographic scope of the database and the fact that </w:t>
      </w:r>
      <w:r w:rsidR="00B40848">
        <w:t xml:space="preserve">the studies from which we obtained data were conducted over the span of several decades, </w:t>
      </w:r>
      <w:r w:rsidR="00FD77A0">
        <w:t xml:space="preserve">the protocols used to measure </w:t>
      </w:r>
      <w:r w:rsidR="00B40848">
        <w:t>the stem diameter (</w:t>
      </w:r>
      <w:r w:rsidR="00B40848" w:rsidRPr="001D3A29">
        <w:rPr>
          <w:i/>
        </w:rPr>
        <w:t>D</w:t>
      </w:r>
      <w:r w:rsidR="00B40848">
        <w:t>), height (</w:t>
      </w:r>
      <w:r w:rsidR="00B40848" w:rsidRPr="001D3A29">
        <w:rPr>
          <w:i/>
        </w:rPr>
        <w:t>H</w:t>
      </w:r>
      <w:r w:rsidR="00B40848">
        <w:t>), crown diameter (</w:t>
      </w:r>
      <w:r w:rsidR="00B40848" w:rsidRPr="001D3A29">
        <w:rPr>
          <w:i/>
        </w:rPr>
        <w:t>CD</w:t>
      </w:r>
      <w:r w:rsidR="00B40848">
        <w:t>) and aboveground biomass (</w:t>
      </w:r>
      <w:r w:rsidR="00B40848" w:rsidRPr="001D3A29">
        <w:rPr>
          <w:i/>
        </w:rPr>
        <w:t>AGB</w:t>
      </w:r>
      <w:r w:rsidR="00B40848">
        <w:t xml:space="preserve">) of trees differ </w:t>
      </w:r>
      <w:r>
        <w:t xml:space="preserve">to some extent </w:t>
      </w:r>
      <w:r w:rsidR="00B40848">
        <w:t>among d</w:t>
      </w:r>
      <w:r w:rsidR="00DC5F91">
        <w:t>ata sources. Here we outline the approaches used to m</w:t>
      </w:r>
      <w:r w:rsidR="00296A3E">
        <w:t>easure each of these attributes:</w:t>
      </w:r>
    </w:p>
    <w:p w:rsidR="00692624" w:rsidRDefault="00692624" w:rsidP="006F6112">
      <w:pPr>
        <w:pStyle w:val="Maintext"/>
        <w:spacing w:after="120" w:line="360" w:lineRule="auto"/>
      </w:pPr>
      <w:r w:rsidRPr="001D3A29">
        <w:rPr>
          <w:b/>
        </w:rPr>
        <w:t>Stem diameter</w:t>
      </w:r>
      <w:r w:rsidR="00EF3192">
        <w:t xml:space="preserve">: </w:t>
      </w:r>
      <w:r w:rsidR="00EF3192" w:rsidRPr="00EF3192">
        <w:rPr>
          <w:i/>
        </w:rPr>
        <w:t>D</w:t>
      </w:r>
      <w:r w:rsidR="006E576B">
        <w:t xml:space="preserve"> is typically recorded </w:t>
      </w:r>
      <w:r w:rsidR="00CC0C0C">
        <w:t xml:space="preserve">at a height of 1.3 m off the ground </w:t>
      </w:r>
      <w:r w:rsidR="006E576B">
        <w:t>using a tape measure</w:t>
      </w:r>
      <w:r w:rsidR="00CC0C0C">
        <w:t>, or alternatively with the aid of a caliper for small stems</w:t>
      </w:r>
      <w:r w:rsidR="006E576B">
        <w:t>.</w:t>
      </w:r>
      <w:r w:rsidR="00EF3192">
        <w:t xml:space="preserve"> </w:t>
      </w:r>
      <w:r w:rsidR="003A0539">
        <w:t>Note that i</w:t>
      </w:r>
      <w:r w:rsidR="00EF3192">
        <w:t>n the case of b</w:t>
      </w:r>
      <w:r w:rsidR="0080299D">
        <w:t xml:space="preserve">uttressed trees, the standard practise is to measure </w:t>
      </w:r>
      <w:r w:rsidR="0080299D" w:rsidRPr="0080299D">
        <w:rPr>
          <w:i/>
        </w:rPr>
        <w:t>D</w:t>
      </w:r>
      <w:r w:rsidR="0080299D">
        <w:t xml:space="preserve"> above buttress (although for data obtained from compiled databases it is impossible to determine whether this </w:t>
      </w:r>
      <w:r w:rsidR="00410731">
        <w:t>convention was followed</w:t>
      </w:r>
      <w:r w:rsidR="0080299D">
        <w:t>)</w:t>
      </w:r>
      <w:r w:rsidR="00D11562">
        <w:t>.</w:t>
      </w:r>
      <w:r w:rsidR="003923E9">
        <w:t xml:space="preserve"> All </w:t>
      </w:r>
      <w:r w:rsidR="003923E9" w:rsidRPr="003923E9">
        <w:rPr>
          <w:i/>
        </w:rPr>
        <w:t>D</w:t>
      </w:r>
      <w:r w:rsidR="003923E9">
        <w:t xml:space="preserve"> measurements were rounded</w:t>
      </w:r>
      <w:r w:rsidR="003923E9" w:rsidRPr="003923E9">
        <w:t xml:space="preserve"> to the nearest 0.1 cm</w:t>
      </w:r>
      <w:r w:rsidR="003923E9">
        <w:t>.</w:t>
      </w:r>
    </w:p>
    <w:p w:rsidR="005F5D9C" w:rsidRDefault="00692624" w:rsidP="003923E9">
      <w:pPr>
        <w:pStyle w:val="Maintext"/>
        <w:spacing w:after="120" w:line="360" w:lineRule="auto"/>
      </w:pPr>
      <w:r w:rsidRPr="001D3A29">
        <w:rPr>
          <w:b/>
        </w:rPr>
        <w:t>Tree height</w:t>
      </w:r>
      <w:r>
        <w:t>:</w:t>
      </w:r>
      <w:r w:rsidR="001D3A29">
        <w:t xml:space="preserve"> </w:t>
      </w:r>
      <w:r w:rsidR="00597630">
        <w:t>with the exception of small trees whose height</w:t>
      </w:r>
      <w:r w:rsidR="00F31273">
        <w:t xml:space="preserve"> could be measured directly from the ground and a small number of trees that were climbed, in the majority of cases </w:t>
      </w:r>
      <w:r w:rsidR="00F31273" w:rsidRPr="00F31273">
        <w:rPr>
          <w:i/>
        </w:rPr>
        <w:t>H</w:t>
      </w:r>
      <w:r w:rsidR="00F31273">
        <w:t xml:space="preserve"> was measured </w:t>
      </w:r>
      <w:r w:rsidR="00872CB4">
        <w:t xml:space="preserve">using </w:t>
      </w:r>
      <w:r w:rsidR="003923E9">
        <w:t xml:space="preserve">a vertex hypsometer or laser range finder (“sine” method </w:t>
      </w:r>
      <w:proofErr w:type="spellStart"/>
      <w:r w:rsidR="003923E9" w:rsidRPr="00BF16B7">
        <w:rPr>
          <w:i/>
        </w:rPr>
        <w:t>sensu</w:t>
      </w:r>
      <w:proofErr w:type="spellEnd"/>
      <w:r w:rsidR="003923E9">
        <w:t xml:space="preserve"> </w:t>
      </w:r>
      <w:r w:rsidR="00572AD9">
        <w:fldChar w:fldCharType="begin" w:fldLock="1"/>
      </w:r>
      <w:r w:rsidR="00F575F5">
        <w:instrText>ADDIN CSL_CITATION { "citationItems" : [ { "id" : "ITEM-1", "itemData" : { "DOI" : "10.1111/2041-210X.12071", "ISSN" : "2041210X", "author" : [ { "dropping-particle" : "", "family" : "Larjavaara", "given" : "Markku", "non-dropping-particle" : "", "parse-names" : false, "suffix" : "" }, { "dropping-particle" : "", "family" : "Muller-Landau", "given" : "Helene C.", "non-dropping-particle" : "", "parse-names" : false, "suffix" : "" } ], "container-title" : "Methods in Ecology and Evolution", "id" : "ITEM-1", "issue" : "9", "issued" : { "date-parts" : [ [ "2013" ] ] }, "page" : "793-801", "title" : "Measuring tree height: a quantitative comparison of two common field methods in a moist tropical forest", "type" : "article-journal", "volume" : "4" }, "uris" : [ "http://www.mendeley.com/documents/?uuid=22f88a33-9d2d-4540-9ed5-0353c3e10314" ] } ], "mendeley" : { "formattedCitation" : "(Larjavaara &amp; Muller-Landau, 2013)", "manualFormatting" : "Larjavaara &amp; Muller-Landau, 2013)", "plainTextFormattedCitation" : "(Larjavaara &amp; Muller-Landau, 2013)", "previouslyFormattedCitation" : "(Larjavaara &amp; Muller-Landau, 2013)" }, "properties" : { "noteIndex" : 0 }, "schema" : "https://github.com/citation-style-language/schema/raw/master/csl-citation.json" }</w:instrText>
      </w:r>
      <w:r w:rsidR="00572AD9">
        <w:fldChar w:fldCharType="separate"/>
      </w:r>
      <w:r w:rsidR="003923E9" w:rsidRPr="002B10D9">
        <w:rPr>
          <w:noProof/>
        </w:rPr>
        <w:t>Larjavaara &amp; Muller-Landau, 2013)</w:t>
      </w:r>
      <w:r w:rsidR="00572AD9">
        <w:fldChar w:fldCharType="end"/>
      </w:r>
      <w:r w:rsidR="003923E9">
        <w:t xml:space="preserve">. Alternatively, some studies employed a clinometer to measure tree height (“tangent” </w:t>
      </w:r>
      <w:r w:rsidR="00350706">
        <w:t>method</w:t>
      </w:r>
      <w:r w:rsidR="00BF16B7">
        <w:t xml:space="preserve"> </w:t>
      </w:r>
      <w:proofErr w:type="spellStart"/>
      <w:r w:rsidR="00BF16B7" w:rsidRPr="00BF16B7">
        <w:rPr>
          <w:i/>
        </w:rPr>
        <w:t>sensu</w:t>
      </w:r>
      <w:proofErr w:type="spellEnd"/>
      <w:r w:rsidR="00BF16B7">
        <w:t xml:space="preserve"> </w:t>
      </w:r>
      <w:r w:rsidR="00572AD9">
        <w:fldChar w:fldCharType="begin" w:fldLock="1"/>
      </w:r>
      <w:r w:rsidR="00F575F5">
        <w:instrText>ADDIN CSL_CITATION { "citationItems" : [ { "id" : "ITEM-1", "itemData" : { "DOI" : "10.1111/2041-210X.12071", "ISSN" : "2041210X", "author" : [ { "dropping-particle" : "", "family" : "Larjavaara", "given" : "Markku", "non-dropping-particle" : "", "parse-names" : false, "suffix" : "" }, { "dropping-particle" : "", "family" : "Muller-Landau", "given" : "Helene C.", "non-dropping-particle" : "", "parse-names" : false, "suffix" : "" } ], "container-title" : "Methods in Ecology and Evolution", "id" : "ITEM-1", "issue" : "9", "issued" : { "date-parts" : [ [ "2013" ] ] }, "page" : "793-801", "title" : "Measuring tree height: a quantitative comparison of two common field methods in a moist tropical forest", "type" : "article-journal", "volume" : "4" }, "uris" : [ "http://www.mendeley.com/documents/?uuid=22f88a33-9d2d-4540-9ed5-0353c3e10314" ] } ], "mendeley" : { "formattedCitation" : "(Larjavaara &amp; Muller-Landau, 2013)", "manualFormatting" : "Larjavaara &amp; Muller-Landau, 2013)", "plainTextFormattedCitation" : "(Larjavaara &amp; Muller-Landau, 2013)", "previouslyFormattedCitation" : "(Larjavaara &amp; Muller-Landau, 2013)" }, "properties" : { "noteIndex" : 0 }, "schema" : "https://github.com/citation-style-language/schema/raw/master/csl-citation.json" }</w:instrText>
      </w:r>
      <w:r w:rsidR="00572AD9">
        <w:fldChar w:fldCharType="separate"/>
      </w:r>
      <w:r w:rsidR="00BF16B7" w:rsidRPr="002B10D9">
        <w:rPr>
          <w:noProof/>
        </w:rPr>
        <w:t>Larjavaara &amp; Muller-Landau, 2013)</w:t>
      </w:r>
      <w:r w:rsidR="00572AD9">
        <w:fldChar w:fldCharType="end"/>
      </w:r>
      <w:r w:rsidR="00BF16B7">
        <w:t xml:space="preserve">. </w:t>
      </w:r>
      <w:r w:rsidR="00A34A32">
        <w:t xml:space="preserve">Measuring </w:t>
      </w:r>
      <w:r w:rsidR="00A34A32" w:rsidRPr="00A34A32">
        <w:rPr>
          <w:i/>
        </w:rPr>
        <w:t>H</w:t>
      </w:r>
      <w:r w:rsidR="00A34A32">
        <w:t xml:space="preserve"> </w:t>
      </w:r>
      <w:r w:rsidR="00CA5252">
        <w:t xml:space="preserve">in dense closed-canopy forests – where tree tops are hard to identify clearly – </w:t>
      </w:r>
      <w:r w:rsidR="00A34A32">
        <w:t>using either of these two approaches</w:t>
      </w:r>
      <w:r w:rsidR="00350706">
        <w:t xml:space="preserve"> can be challenging</w:t>
      </w:r>
      <w:r w:rsidR="00CA5252">
        <w:t xml:space="preserve"> </w:t>
      </w:r>
      <w:r w:rsidR="00572AD9">
        <w:fldChar w:fldCharType="begin" w:fldLock="1"/>
      </w:r>
      <w:r w:rsidR="00F575F5">
        <w:instrText>ADDIN CSL_CITATION { "citationItems" : [ { "id" : "ITEM-1", "itemData" : { "DOI" : "10.1111/2041-210X.12071", "ISSN" : "2041210X", "author" : [ { "dropping-particle" : "", "family" : "Larjavaara", "given" : "Markku", "non-dropping-particle" : "", "parse-names" : false, "suffix" : "" }, { "dropping-particle" : "", "family" : "Muller-Landau", "given" : "Helene C.", "non-dropping-particle" : "", "parse-names" : false, "suffix" : "" } ], "container-title" : "Methods in Ecology and Evolution", "id" : "ITEM-1", "issue" : "9", "issued" : { "date-parts" : [ [ "2013" ] ] }, "page" : "793-801", "title" : "Measuring tree height: a quantitative comparison of two common field methods in a moist tropical forest", "type" : "article-journal", "volume" : "4" }, "uris" : [ "http://www.mendeley.com/documents/?uuid=22f88a33-9d2d-4540-9ed5-0353c3e10314" ] } ], "mendeley" : { "formattedCitation" : "(Larjavaara &amp; Muller-Landau, 2013)", "plainTextFormattedCitation" : "(Larjavaara &amp; Muller-Landau, 2013)", "previouslyFormattedCitation" : "(Larjavaara &amp; Muller-Landau, 2013)" }, "properties" : { "noteIndex" : 0 }, "schema" : "https://github.com/citation-style-language/schema/raw/master/csl-citation.json" }</w:instrText>
      </w:r>
      <w:r w:rsidR="00572AD9">
        <w:fldChar w:fldCharType="separate"/>
      </w:r>
      <w:r w:rsidR="00F575F5" w:rsidRPr="00F575F5">
        <w:rPr>
          <w:noProof/>
        </w:rPr>
        <w:t>(Larjavaara &amp; Muller-Landau, 2013)</w:t>
      </w:r>
      <w:r w:rsidR="00572AD9">
        <w:fldChar w:fldCharType="end"/>
      </w:r>
      <w:r w:rsidR="00A34A32">
        <w:t>.</w:t>
      </w:r>
      <w:r w:rsidR="00CA5252">
        <w:t xml:space="preserve"> Of the two, </w:t>
      </w:r>
      <w:r w:rsidR="00CA5252" w:rsidRPr="005F5D9C">
        <w:rPr>
          <w:i/>
        </w:rPr>
        <w:t>H</w:t>
      </w:r>
      <w:r w:rsidR="00CA5252">
        <w:t xml:space="preserve"> estimates obtained using </w:t>
      </w:r>
      <w:r w:rsidR="003923E9">
        <w:t>the “tangent” method</w:t>
      </w:r>
      <w:r w:rsidR="00CA5252">
        <w:t xml:space="preserve"> </w:t>
      </w:r>
      <w:r w:rsidR="0041420E">
        <w:t>have been shown to be</w:t>
      </w:r>
      <w:r w:rsidR="005F5D9C">
        <w:t xml:space="preserve"> less precise, although vertex hypsometer</w:t>
      </w:r>
      <w:r w:rsidR="003923E9">
        <w:t>s and laser range finders</w:t>
      </w:r>
      <w:r w:rsidR="005F5D9C">
        <w:t xml:space="preserve"> </w:t>
      </w:r>
      <w:r w:rsidR="003923E9">
        <w:t xml:space="preserve">may in some cases </w:t>
      </w:r>
      <w:r w:rsidR="005F5D9C">
        <w:t>systematic</w:t>
      </w:r>
      <w:r w:rsidR="003923E9">
        <w:t>ally</w:t>
      </w:r>
      <w:r w:rsidR="005F5D9C">
        <w:t xml:space="preserve"> underestimat</w:t>
      </w:r>
      <w:r w:rsidR="003923E9">
        <w:t xml:space="preserve">e </w:t>
      </w:r>
      <w:r w:rsidR="005F5D9C" w:rsidRPr="005F5D9C">
        <w:rPr>
          <w:i/>
        </w:rPr>
        <w:t>H</w:t>
      </w:r>
      <w:r w:rsidR="005F5D9C">
        <w:t xml:space="preserve"> </w:t>
      </w:r>
      <w:r w:rsidR="00572AD9">
        <w:fldChar w:fldCharType="begin" w:fldLock="1"/>
      </w:r>
      <w:r w:rsidR="00F575F5">
        <w:instrText>ADDIN CSL_CITATION { "citationItems" : [ { "id" : "ITEM-1", "itemData" : { "DOI" : "10.1111/2041-210X.12071", "ISSN" : "2041210X", "author" : [ { "dropping-particle" : "", "family" : "Larjavaara", "given" : "Markku", "non-dropping-particle" : "", "parse-names" : false, "suffix" : "" }, { "dropping-particle" : "", "family" : "Muller-Landau", "given" : "Helene C.", "non-dropping-particle" : "", "parse-names" : false, "suffix" : "" } ], "container-title" : "Methods in Ecology and Evolution", "id" : "ITEM-1", "issue" : "9", "issued" : { "date-parts" : [ [ "2013" ] ] }, "page" : "793-801", "title" : "Measuring tree height: a quantitative comparison of two common field methods in a moist tropical forest", "type" : "article-journal", "volume" : "4" }, "uris" : [ "http://www.mendeley.com/documents/?uuid=22f88a33-9d2d-4540-9ed5-0353c3e10314" ] } ], "mendeley" : { "formattedCitation" : "(Larjavaara &amp; Muller-Landau, 2013)", "plainTextFormattedCitation" : "(Larjavaara &amp; Muller-Landau, 2013)", "previouslyFormattedCitation" : "(Larjavaara &amp; Muller-Landau, 2013)" }, "properties" : { "noteIndex" : 0 }, "schema" : "https://github.com/citation-style-language/schema/raw/master/csl-citation.json" }</w:instrText>
      </w:r>
      <w:r w:rsidR="00572AD9">
        <w:fldChar w:fldCharType="separate"/>
      </w:r>
      <w:r w:rsidR="00F575F5" w:rsidRPr="00F575F5">
        <w:rPr>
          <w:noProof/>
        </w:rPr>
        <w:t>(Larjavaara &amp; Muller-Landau, 2013)</w:t>
      </w:r>
      <w:r w:rsidR="00572AD9">
        <w:fldChar w:fldCharType="end"/>
      </w:r>
      <w:r w:rsidR="005F5D9C">
        <w:t>.</w:t>
      </w:r>
      <w:r w:rsidR="003923E9" w:rsidRPr="003923E9">
        <w:t xml:space="preserve"> </w:t>
      </w:r>
      <w:r w:rsidR="003923E9">
        <w:t xml:space="preserve">All </w:t>
      </w:r>
      <w:r w:rsidR="003923E9">
        <w:rPr>
          <w:i/>
        </w:rPr>
        <w:t>H</w:t>
      </w:r>
      <w:r w:rsidR="003923E9">
        <w:t xml:space="preserve"> measurements were rounded</w:t>
      </w:r>
      <w:r w:rsidR="003923E9" w:rsidRPr="003923E9">
        <w:t xml:space="preserve"> to the nearest 0.1 m</w:t>
      </w:r>
      <w:r w:rsidR="003923E9">
        <w:t>.</w:t>
      </w:r>
    </w:p>
    <w:p w:rsidR="006B440E" w:rsidRDefault="00692624" w:rsidP="000F1371">
      <w:pPr>
        <w:pStyle w:val="Maintext"/>
        <w:spacing w:after="120" w:line="360" w:lineRule="auto"/>
      </w:pPr>
      <w:r w:rsidRPr="001D3A29">
        <w:rPr>
          <w:b/>
        </w:rPr>
        <w:t>Crown diameter</w:t>
      </w:r>
      <w:r>
        <w:t>:</w:t>
      </w:r>
      <w:r w:rsidR="001D3A29">
        <w:t xml:space="preserve"> </w:t>
      </w:r>
      <w:r w:rsidR="00A737CD">
        <w:t>different attributes of crown size w</w:t>
      </w:r>
      <w:r w:rsidR="00BA2732">
        <w:t>ere reported across studies</w:t>
      </w:r>
      <w:r w:rsidR="00A737CD">
        <w:t>, including diameter, radius and area. In all cases</w:t>
      </w:r>
      <w:r w:rsidR="00BA2732">
        <w:t>,</w:t>
      </w:r>
      <w:r w:rsidR="00A737CD">
        <w:t xml:space="preserve"> </w:t>
      </w:r>
      <w:r w:rsidR="004F4DA3">
        <w:t xml:space="preserve">crown </w:t>
      </w:r>
      <w:r w:rsidR="00BA2732">
        <w:t>dimensions</w:t>
      </w:r>
      <w:r w:rsidR="004F4DA3">
        <w:t xml:space="preserve"> reflect the maximum extension of the crown</w:t>
      </w:r>
      <w:r w:rsidR="00B05D67">
        <w:t>,</w:t>
      </w:r>
      <w:r w:rsidR="00BA2732">
        <w:t xml:space="preserve"> and </w:t>
      </w:r>
      <w:r w:rsidR="00924D1B">
        <w:t>were</w:t>
      </w:r>
      <w:r w:rsidR="00BA2732">
        <w:t xml:space="preserve"> calculated as the average value of multiple crown measurements </w:t>
      </w:r>
      <w:r w:rsidR="00B05D67">
        <w:t>taken</w:t>
      </w:r>
      <w:r w:rsidR="00BA2732">
        <w:t xml:space="preserve"> in the field</w:t>
      </w:r>
      <w:r w:rsidR="00F71261">
        <w:t xml:space="preserve"> using either a tape measure or a laser range finder</w:t>
      </w:r>
      <w:r w:rsidR="00BA2732">
        <w:t xml:space="preserve"> (2 – 8 measurements</w:t>
      </w:r>
      <w:r w:rsidR="00F71261">
        <w:t xml:space="preserve"> per tree</w:t>
      </w:r>
      <w:r w:rsidR="00BA2732">
        <w:t>).</w:t>
      </w:r>
      <w:r w:rsidR="0090273D">
        <w:t xml:space="preserve"> </w:t>
      </w:r>
      <w:r w:rsidR="009F77BF">
        <w:t>A</w:t>
      </w:r>
      <w:r w:rsidR="00B05D67">
        <w:t xml:space="preserve">ll </w:t>
      </w:r>
      <w:r w:rsidR="00707FDF">
        <w:t xml:space="preserve">crown size </w:t>
      </w:r>
      <w:r w:rsidR="00B05D67">
        <w:t xml:space="preserve">measurements </w:t>
      </w:r>
      <w:r w:rsidR="009F77BF">
        <w:t xml:space="preserve">were converted </w:t>
      </w:r>
      <w:r w:rsidR="00B05D67">
        <w:t xml:space="preserve">to </w:t>
      </w:r>
      <w:r w:rsidR="00B05D67" w:rsidRPr="00B05D67">
        <w:rPr>
          <w:i/>
        </w:rPr>
        <w:t>CD</w:t>
      </w:r>
      <w:r w:rsidR="00E75C50">
        <w:t xml:space="preserve">, and were rounded </w:t>
      </w:r>
      <w:r w:rsidR="00E75C50" w:rsidRPr="003923E9">
        <w:t>to the nearest 0.1 m</w:t>
      </w:r>
      <w:r w:rsidR="00E75C50">
        <w:t>.</w:t>
      </w:r>
    </w:p>
    <w:p w:rsidR="00692624" w:rsidRDefault="00692624" w:rsidP="00B07785">
      <w:pPr>
        <w:pStyle w:val="Maintext"/>
        <w:spacing w:line="360" w:lineRule="auto"/>
      </w:pPr>
      <w:r w:rsidRPr="001D3A29">
        <w:rPr>
          <w:b/>
        </w:rPr>
        <w:t>Aboveground biomass</w:t>
      </w:r>
      <w:r>
        <w:t>:</w:t>
      </w:r>
      <w:r w:rsidR="00171506">
        <w:t xml:space="preserve"> </w:t>
      </w:r>
      <w:r w:rsidR="00B07785">
        <w:t xml:space="preserve">to measure </w:t>
      </w:r>
      <w:r w:rsidR="00A414B0" w:rsidRPr="009F77BF">
        <w:rPr>
          <w:i/>
        </w:rPr>
        <w:t>AGB</w:t>
      </w:r>
      <w:r w:rsidR="00B07785">
        <w:t>, trees were</w:t>
      </w:r>
      <w:r w:rsidR="00220059">
        <w:t xml:space="preserve"> first</w:t>
      </w:r>
      <w:r w:rsidR="00B07785">
        <w:t xml:space="preserve"> felled</w:t>
      </w:r>
      <w:r w:rsidR="00220059">
        <w:t xml:space="preserve"> at ground level and</w:t>
      </w:r>
      <w:r w:rsidR="00B07785">
        <w:t xml:space="preserve"> divided into sections (</w:t>
      </w:r>
      <w:r w:rsidR="00220059">
        <w:t>which included</w:t>
      </w:r>
      <w:r w:rsidR="00B07785">
        <w:t xml:space="preserve"> the </w:t>
      </w:r>
      <w:r w:rsidR="00171506">
        <w:t>main stem, branches and</w:t>
      </w:r>
      <w:r w:rsidR="00B07785">
        <w:t>,</w:t>
      </w:r>
      <w:r w:rsidR="00A414B0">
        <w:t xml:space="preserve"> </w:t>
      </w:r>
      <w:r w:rsidR="00171506">
        <w:t>where possible</w:t>
      </w:r>
      <w:r w:rsidR="00B07785">
        <w:t>,</w:t>
      </w:r>
      <w:r w:rsidR="00171506">
        <w:t xml:space="preserve"> </w:t>
      </w:r>
      <w:r w:rsidR="00A414B0">
        <w:t>leaves)</w:t>
      </w:r>
      <w:r w:rsidR="00B07785">
        <w:t>.</w:t>
      </w:r>
      <w:r w:rsidR="00220059">
        <w:t xml:space="preserve"> These sections were </w:t>
      </w:r>
      <w:r w:rsidR="00FC74BC">
        <w:t>then weighed fresh</w:t>
      </w:r>
      <w:r w:rsidR="00B44745">
        <w:t>,</w:t>
      </w:r>
      <w:r w:rsidR="00FC74BC">
        <w:t xml:space="preserve"> and their oven-dry weight </w:t>
      </w:r>
      <w:r w:rsidR="0090273D">
        <w:t xml:space="preserve">(in kg) </w:t>
      </w:r>
      <w:r w:rsidR="00FC74BC">
        <w:t>was determined by subtracting the measured water content of the different plant organs.</w:t>
      </w:r>
      <w:r w:rsidR="00B44745">
        <w:t xml:space="preserve"> For sections that were too large to be weighed directly, wood volume was</w:t>
      </w:r>
      <w:r w:rsidR="003260A8">
        <w:t xml:space="preserve"> first</w:t>
      </w:r>
      <w:r w:rsidR="00B44745">
        <w:t xml:space="preserve"> calculated</w:t>
      </w:r>
      <w:r w:rsidR="003260A8">
        <w:t xml:space="preserve"> </w:t>
      </w:r>
      <w:r w:rsidR="00983D9D">
        <w:t xml:space="preserve">based on geometric </w:t>
      </w:r>
      <w:r w:rsidR="00983D9D">
        <w:lastRenderedPageBreak/>
        <w:t xml:space="preserve">measurements (i.e., length, circumference and taper of the tree section). Oven-dry weight was then </w:t>
      </w:r>
      <w:r w:rsidR="00D078F4">
        <w:t>estimated</w:t>
      </w:r>
      <w:r w:rsidR="00983D9D">
        <w:t xml:space="preserve"> by multiplying </w:t>
      </w:r>
      <w:r w:rsidR="00D078F4">
        <w:t xml:space="preserve">the </w:t>
      </w:r>
      <w:r w:rsidR="00983D9D">
        <w:t xml:space="preserve">wood volume by </w:t>
      </w:r>
      <w:r w:rsidR="00D078F4">
        <w:t xml:space="preserve">the wood’s </w:t>
      </w:r>
      <w:r w:rsidR="00983D9D">
        <w:t>specific gravity</w:t>
      </w:r>
      <w:r w:rsidR="00D078F4">
        <w:t xml:space="preserve"> </w:t>
      </w:r>
      <w:r w:rsidR="00572AD9">
        <w:fldChar w:fldCharType="begin" w:fldLock="1"/>
      </w:r>
      <w:r w:rsidR="00F575F5">
        <w:instrText>ADDIN CSL_CITATION { "citationItems" : [ { "id" : "ITEM-1", "itemData" : { "DOI" : "10.1111/gcb.12629", "ISBN" : "1365-2486", "ISSN" : "13541013", "PMID" : "24817483", "abstract" : "Terrestrial carbon stock mapping is important for the successful implementation of climate change mitigation policies. Its accuracy depends on the availability of reliable allometric models to infer oven-dry aboveground biomass of trees from census data. The degree of uncertainty associated with previously published pantropical aboveground biomass allometries is large. We analyzed a global database of directly harvested trees at 58 sites, spanning a wide range of climatic conditions and vegetation types (4004 trees \u2265 5 cm trunk diameter). When trunk diameter, total tree height, and wood specific gravity were included in the aboveground biomass model as covariates, a single model was found to hold across tropical vegetation types, with no detectable effect of region or environmental factors. The mean percent bias and variance of this model was only slightly higher than that of locally fitted models. Wood specific gravity was an important predictor of aboveground biomass, especially when including a much broader range of vegetation types than previous studies. The generic tree diameter-height relationship depended linearly on a bioclimatic stress variable E, which compounds indices of temperature variability, precipitation variability, and drought intensity. For cases in which total tree height is unavailable for aboveground biomass estimation, a pantropical model incorporating wood density, trunk diameter, and the variable E outperformed previously published models without height. However, to minimize bias, the development of locally derived diameter-height relationships is advised whenever possible. Both new allometric models should contribute to improve the accuracy of biomass assessment protocols in tropical vegetation types, and to advancing our understanding of architectural and evolutionary constraints on woody plant development.", "author" : [ { "dropping-particle" : "", "family" : "Chave", "given" : "J\u00e9r\u00f4me", "non-dropping-particle" : "", "parse-names" : false, "suffix" : "" }, { "dropping-particle" : "", "family" : "R\u00e9jou-M\u00e9chain", "given" : "Maxime", "non-dropping-particle" : "", "parse-names" : false, "suffix" : "" }, { "dropping-particle" : "", "family" : "B\u00farquez", "given" : "Alberto", "non-dropping-particle" : "", "parse-names" : false, "suffix" : "" }, { "dropping-particle" : "", "family" : "Chidumayo", "given" : "Emmanuel", "non-dropping-particle" : "", "parse-names" : false, "suffix" : "" }, { "dropping-particle" : "", "family" : "Colgan", "given" : "Matthew S.", "non-dropping-particle" : "", "parse-names" : false, "suffix" : "" }, { "dropping-particle" : "", "family" : "Delitti", "given" : "Welington B C", "non-dropping-particle" : "", "parse-names" : false, "suffix" : "" }, { "dropping-particle" : "", "family" : "Duque", "given" : "Alvaro", "non-dropping-particle" : "", "parse-names" : false, "suffix" : "" }, { "dropping-particle" : "", "family" : "Eid", "given" : "Tron", "non-dropping-particle" : "", "parse-names" : false, "suffix" : "" }, { "dropping-particle" : "", "family" : "Fearnside", "given" : "Philip M.", "non-dropping-particle" : "", "parse-names" : false, "suffix" : "" }, { "dropping-particle" : "", "family" : "Goodman", "given" : "Rosa C.", "non-dropping-particle" : "", "parse-names" : false, "suffix" : "" }, { "dropping-particle" : "", "family" : "Henry", "given" : "Matieu", "non-dropping-particle" : "", "parse-names" : false, "suffix" : "" }, { "dropping-particle" : "", "family" : "Mart\u00ednez-Yr\u00edzar", "given" : "Angelina", "non-dropping-particle" : "", "parse-names" : false, "suffix" : "" }, { "dropping-particle" : "", "family" : "Mugasha", "given" : "Wilson A.", "non-dropping-particle" : "", "parse-names" : false, "suffix" : "" }, { "dropping-particle" : "", "family" : "Muller-Landau", "given" : "Helene C.", "non-dropping-particle" : "", "parse-names" : false, "suffix" : "" }, { "dropping-particle" : "", "family" : "Mencuccini", "given" : "Maurizio", "non-dropping-particle" : "", "parse-names" : false, "suffix" : "" }, { "dropping-particle" : "", "family" : "Nelson", "given" : "Bruce W.", "non-dropping-particle" : "", "parse-names" : false, "suffix" : "" }, { "dropping-particle" : "", "family" : "Ngomanda", "given" : "Alfred", "non-dropping-particle" : "", "parse-names" : false, "suffix" : "" }, { "dropping-particle" : "", "family" : "Nogueira", "given" : "Euler M.", "non-dropping-particle" : "", "parse-names" : false, "suffix" : "" }, { "dropping-particle" : "", "family" : "Ortiz-Malavassi", "given" : "Edgar", "non-dropping-particle" : "", "parse-names" : false, "suffix" : "" }, { "dropping-particle" : "", "family" : "P\u00e9lissier", "given" : "Rapha\u00ebl", "non-dropping-particle" : "", "parse-names" : false, "suffix" : "" }, { "dropping-particle" : "", "family" : "Ploton", "given" : "Pierre", "non-dropping-particle" : "", "parse-names" : false, "suffix" : "" }, { "dropping-particle" : "", "family" : "Ryan", "given" : "Casey M.", "non-dropping-particle" : "", "parse-names" : false, "suffix" : "" }, { "dropping-particle" : "", "family" : "Saldarriaga", "given" : "Juan G.", "non-dropping-particle" : "", "parse-names" : false, "suffix" : "" }, { "dropping-particle" : "", "family" : "Vieilledent", "given" : "Ghislain", "non-dropping-particle" : "", "parse-names" : false, "suffix" : "" } ], "container-title" : "Global Change Biology", "id" : "ITEM-1", "issued" : { "date-parts" : [ [ "2014" ] ] }, "page" : "3177-3190", "title" : "Improved allometric models to estimate the aboveground biomass of tropical trees", "type" : "article-journal", "volume" : "20" }, "uris" : [ "http://www.mendeley.com/documents/?uuid=d27f301c-a296-499f-819e-63b7e85f85a0" ] } ], "mendeley" : { "formattedCitation" : "(Chave &lt;i&gt;et al.&lt;/i&gt;, 2014)", "plainTextFormattedCitation" : "(Chave et al., 2014)", "previouslyFormattedCitation" : "(Chave &lt;i&gt;et al.&lt;/i&gt;, 2014)" }, "properties" : { "noteIndex" : 0 }, "schema" : "https://github.com/citation-style-language/schema/raw/master/csl-citation.json" }</w:instrText>
      </w:r>
      <w:r w:rsidR="00572AD9">
        <w:fldChar w:fldCharType="separate"/>
      </w:r>
      <w:r w:rsidR="00F575F5" w:rsidRPr="00F575F5">
        <w:rPr>
          <w:noProof/>
        </w:rPr>
        <w:t xml:space="preserve">(Chave </w:t>
      </w:r>
      <w:r w:rsidR="00F575F5" w:rsidRPr="00F575F5">
        <w:rPr>
          <w:i/>
          <w:noProof/>
        </w:rPr>
        <w:t>et al.</w:t>
      </w:r>
      <w:r w:rsidR="00F575F5" w:rsidRPr="00F575F5">
        <w:rPr>
          <w:noProof/>
        </w:rPr>
        <w:t>, 2014)</w:t>
      </w:r>
      <w:r w:rsidR="00572AD9">
        <w:fldChar w:fldCharType="end"/>
      </w:r>
      <w:r w:rsidR="00D078F4">
        <w:t>.</w:t>
      </w:r>
      <w:r w:rsidR="0090273D">
        <w:t xml:space="preserve"> </w:t>
      </w:r>
      <w:r w:rsidR="00E75C50">
        <w:t xml:space="preserve">All </w:t>
      </w:r>
      <w:r w:rsidR="002D4F11">
        <w:rPr>
          <w:i/>
        </w:rPr>
        <w:t>AGB</w:t>
      </w:r>
      <w:r w:rsidR="00E75C50">
        <w:t xml:space="preserve"> measurements were rounded</w:t>
      </w:r>
      <w:r w:rsidR="00E75C50" w:rsidRPr="003923E9">
        <w:t xml:space="preserve"> to the nearest 0.1 </w:t>
      </w:r>
      <w:r w:rsidR="00E75C50">
        <w:t>kg.</w:t>
      </w:r>
      <w:r w:rsidR="00D078F4">
        <w:t xml:space="preserve">  </w:t>
      </w:r>
      <w:r w:rsidR="00B44745">
        <w:t xml:space="preserve"> </w:t>
      </w:r>
    </w:p>
    <w:p w:rsidR="00286563" w:rsidRDefault="00286563" w:rsidP="00286563">
      <w:pPr>
        <w:pStyle w:val="Heading3"/>
      </w:pPr>
      <w:bookmarkStart w:id="3" w:name="_Toc452798012"/>
      <w:r w:rsidRPr="00A56B5E">
        <w:t xml:space="preserve">Data </w:t>
      </w:r>
      <w:r w:rsidR="0056408F">
        <w:t>screening</w:t>
      </w:r>
      <w:bookmarkEnd w:id="3"/>
    </w:p>
    <w:p w:rsidR="00FA4402" w:rsidRDefault="009844BD" w:rsidP="00D14DAC">
      <w:pPr>
        <w:pStyle w:val="Maintext"/>
        <w:spacing w:line="360" w:lineRule="auto"/>
      </w:pPr>
      <w:r w:rsidRPr="00D14DAC">
        <w:t>Outliers</w:t>
      </w:r>
      <w:r w:rsidR="007F031B">
        <w:t xml:space="preserve"> –</w:t>
      </w:r>
      <w:r w:rsidR="007B2703">
        <w:t xml:space="preserve"> defined as</w:t>
      </w:r>
      <w:r w:rsidR="007F031B">
        <w:t xml:space="preserve"> trees </w:t>
      </w:r>
      <w:r w:rsidR="007B2703">
        <w:t xml:space="preserve">that exhibit </w:t>
      </w:r>
      <w:r w:rsidR="007B2703" w:rsidRPr="001D3A29">
        <w:rPr>
          <w:i/>
        </w:rPr>
        <w:t>H–D</w:t>
      </w:r>
      <w:r w:rsidR="007B2703">
        <w:t xml:space="preserve"> or </w:t>
      </w:r>
      <w:r w:rsidR="007B2703" w:rsidRPr="001D3A29">
        <w:rPr>
          <w:i/>
        </w:rPr>
        <w:t>CD–D</w:t>
      </w:r>
      <w:r w:rsidR="007B2703">
        <w:t xml:space="preserve"> scaling relationships </w:t>
      </w:r>
      <w:r w:rsidR="007F031B">
        <w:t>which depart strongly from the mean –</w:t>
      </w:r>
      <w:r w:rsidRPr="00D14DAC">
        <w:t xml:space="preserve"> can disproportionate</w:t>
      </w:r>
      <w:r w:rsidR="007B2703">
        <w:t>ly</w:t>
      </w:r>
      <w:r w:rsidRPr="00D14DAC">
        <w:t xml:space="preserve"> influence </w:t>
      </w:r>
      <w:r w:rsidR="007B2703">
        <w:t>parameter estimates in a regression framework</w:t>
      </w:r>
      <w:r w:rsidRPr="00D14DAC">
        <w:t>.</w:t>
      </w:r>
      <w:r w:rsidR="007F031B">
        <w:t xml:space="preserve"> </w:t>
      </w:r>
      <w:r w:rsidR="00D76ABE">
        <w:t>Outliers can result from gross data entry errors (e.g., reporting centimetres as meters</w:t>
      </w:r>
      <w:r w:rsidR="00443C43">
        <w:t xml:space="preserve"> or </w:t>
      </w:r>
      <w:r w:rsidR="00443C43" w:rsidRPr="00443C43">
        <w:rPr>
          <w:i/>
        </w:rPr>
        <w:t>vice versa</w:t>
      </w:r>
      <w:r w:rsidR="00D76ABE">
        <w:t>)</w:t>
      </w:r>
      <w:r w:rsidR="00443C43">
        <w:t>,</w:t>
      </w:r>
      <w:r w:rsidR="005B2D4E">
        <w:t xml:space="preserve"> </w:t>
      </w:r>
      <w:r w:rsidR="00D76ABE">
        <w:t xml:space="preserve">or alternatively may indicate the presence of a damaged tree (e.g., broken main stem or major branch). </w:t>
      </w:r>
      <w:r w:rsidR="00443C43">
        <w:t xml:space="preserve">Visual inspection of the </w:t>
      </w:r>
      <w:r w:rsidR="005B2D4E">
        <w:t>data</w:t>
      </w:r>
      <w:r w:rsidR="00443C43">
        <w:t xml:space="preserve"> revealed no obvious gross data entry errors</w:t>
      </w:r>
      <w:r w:rsidR="005B2D4E">
        <w:t xml:space="preserve">. However, a certain number of trees </w:t>
      </w:r>
      <w:r w:rsidR="00A517B7">
        <w:t>were</w:t>
      </w:r>
      <w:r w:rsidR="005B2D4E">
        <w:t xml:space="preserve"> </w:t>
      </w:r>
      <w:r w:rsidR="00A517B7">
        <w:t>either (</w:t>
      </w:r>
      <w:proofErr w:type="spellStart"/>
      <w:r w:rsidR="00A517B7">
        <w:t>i</w:t>
      </w:r>
      <w:proofErr w:type="spellEnd"/>
      <w:r w:rsidR="00A517B7">
        <w:t xml:space="preserve">) </w:t>
      </w:r>
      <w:r w:rsidR="005B2D4E">
        <w:t>particularly</w:t>
      </w:r>
      <w:r w:rsidR="00A517B7">
        <w:t xml:space="preserve"> short or (ii) had very small crowns for a given stem diameter, suggesting they may be damaged.</w:t>
      </w:r>
      <w:r w:rsidR="00927945">
        <w:t xml:space="preserve"> For data sources which reported tree damage in their surveys</w:t>
      </w:r>
      <w:r w:rsidR="00544DB1">
        <w:t>,</w:t>
      </w:r>
      <w:r w:rsidR="00927945">
        <w:t xml:space="preserve"> we used </w:t>
      </w:r>
      <w:r w:rsidR="00544DB1">
        <w:t>available</w:t>
      </w:r>
      <w:r w:rsidR="00927945">
        <w:t xml:space="preserve"> records to filter out damaged trees from the database.</w:t>
      </w:r>
      <w:r w:rsidR="00544DB1">
        <w:t xml:space="preserve"> For </w:t>
      </w:r>
      <w:r w:rsidR="00FA7630">
        <w:t>surveys which did not report tree damage</w:t>
      </w:r>
      <w:r w:rsidR="00544DB1">
        <w:t xml:space="preserve">, we developed an approach based on quantile regression to identify </w:t>
      </w:r>
      <w:r w:rsidR="00A43079">
        <w:t xml:space="preserve">potentially damaged trees based on their </w:t>
      </w:r>
      <w:r w:rsidR="00A43079" w:rsidRPr="001D3A29">
        <w:rPr>
          <w:i/>
        </w:rPr>
        <w:t>H–D</w:t>
      </w:r>
      <w:r w:rsidR="00A43079">
        <w:t xml:space="preserve"> and </w:t>
      </w:r>
      <w:r w:rsidR="00A43079" w:rsidRPr="001D3A29">
        <w:rPr>
          <w:i/>
        </w:rPr>
        <w:t>CD–D</w:t>
      </w:r>
      <w:r w:rsidR="00A43079">
        <w:t xml:space="preserve"> scaling relationships. </w:t>
      </w:r>
      <w:r w:rsidR="00A43079" w:rsidRPr="00CC7394">
        <w:t xml:space="preserve">Using </w:t>
      </w:r>
      <w:r w:rsidR="00CC7394" w:rsidRPr="00CC7394">
        <w:t>height</w:t>
      </w:r>
      <w:r w:rsidR="00A43079" w:rsidRPr="00CC7394">
        <w:t>–</w:t>
      </w:r>
      <w:r w:rsidR="00CC7394" w:rsidRPr="00CC7394">
        <w:t>diameter</w:t>
      </w:r>
      <w:r w:rsidR="00A43079">
        <w:t xml:space="preserve"> scaling as an example, we first calculated the ratio </w:t>
      </w:r>
      <w:r w:rsidR="00A43079" w:rsidRPr="00CC7394">
        <w:t xml:space="preserve">between </w:t>
      </w:r>
      <w:r w:rsidR="00CC7394" w:rsidRPr="00CC7394">
        <w:t>height</w:t>
      </w:r>
      <w:r w:rsidR="00A43079" w:rsidRPr="00CC7394">
        <w:t xml:space="preserve"> and </w:t>
      </w:r>
      <w:r w:rsidR="00CC7394" w:rsidRPr="00CC7394">
        <w:t>diameter</w:t>
      </w:r>
      <w:r w:rsidR="00A43079">
        <w:t xml:space="preserve"> </w:t>
      </w:r>
      <w:r w:rsidR="00CC7394">
        <w:t>(</w:t>
      </w:r>
      <w:r w:rsidR="00CC7394" w:rsidRPr="00CC7394">
        <w:rPr>
          <w:i/>
        </w:rPr>
        <w:t>H</w:t>
      </w:r>
      <w:r w:rsidR="00CC7394">
        <w:t>/</w:t>
      </w:r>
      <w:r w:rsidR="00CC7394" w:rsidRPr="00CC7394">
        <w:rPr>
          <w:i/>
        </w:rPr>
        <w:t>D</w:t>
      </w:r>
      <w:r w:rsidR="00CC7394">
        <w:t xml:space="preserve">) </w:t>
      </w:r>
      <w:r w:rsidR="00296A3E">
        <w:t>for each tree.</w:t>
      </w:r>
      <w:r w:rsidR="002219F4">
        <w:t xml:space="preserve"> The </w:t>
      </w:r>
      <w:r w:rsidR="002219F4" w:rsidRPr="00491F4B">
        <w:rPr>
          <w:i/>
        </w:rPr>
        <w:t>H/D</w:t>
      </w:r>
      <w:r w:rsidR="002219F4">
        <w:t xml:space="preserve"> ratio tends to decrease with increasing tree </w:t>
      </w:r>
      <w:r w:rsidR="0044363D">
        <w:t>size</w:t>
      </w:r>
      <w:r w:rsidR="002219F4">
        <w:t xml:space="preserve"> (see Fig. S1).</w:t>
      </w:r>
      <w:r w:rsidR="0044363D">
        <w:t xml:space="preserve"> To identify trees with unusually small </w:t>
      </w:r>
      <w:r w:rsidR="0044363D" w:rsidRPr="00491F4B">
        <w:rPr>
          <w:i/>
        </w:rPr>
        <w:t>H/D</w:t>
      </w:r>
      <w:r w:rsidR="0044363D">
        <w:t xml:space="preserve"> ratios for a given stem size (which would suggest damage to the main stem), we therefore used quantile regression to relate </w:t>
      </w:r>
      <w:r w:rsidR="0044363D" w:rsidRPr="00491F4B">
        <w:rPr>
          <w:i/>
        </w:rPr>
        <w:t>H/D</w:t>
      </w:r>
      <w:r w:rsidR="0044363D">
        <w:t xml:space="preserve"> ratios to stem diameter</w:t>
      </w:r>
      <w:r w:rsidR="00825E74">
        <w:t xml:space="preserve"> on a log-log scale. The regression was f</w:t>
      </w:r>
      <w:r w:rsidR="0044363D">
        <w:t>it to the lower 0.1% of the data</w:t>
      </w:r>
      <w:r w:rsidR="00825E74">
        <w:t xml:space="preserve">, and tree’s falling below the regression line were assumed to be severely damaged and were dropped from the database (Fig. S1). This </w:t>
      </w:r>
      <w:r w:rsidR="00C70E04">
        <w:t xml:space="preserve">same </w:t>
      </w:r>
      <w:r w:rsidR="00825E74">
        <w:t xml:space="preserve">process was </w:t>
      </w:r>
      <w:r w:rsidR="00C70E04">
        <w:t xml:space="preserve">employed to identify trees with </w:t>
      </w:r>
      <w:r w:rsidR="00FA4402">
        <w:t>unusually</w:t>
      </w:r>
      <w:r w:rsidR="00C70E04">
        <w:t xml:space="preserve"> small </w:t>
      </w:r>
      <w:r w:rsidR="00C70E04" w:rsidRPr="001D3A29">
        <w:rPr>
          <w:i/>
        </w:rPr>
        <w:t>CD–D</w:t>
      </w:r>
      <w:r w:rsidR="00C70E04">
        <w:t xml:space="preserve"> ratios (indicating </w:t>
      </w:r>
      <w:r w:rsidR="00A07038">
        <w:t xml:space="preserve">either physical </w:t>
      </w:r>
      <w:r w:rsidR="00C70E04">
        <w:t>damage to major branches</w:t>
      </w:r>
      <w:r w:rsidR="00A07038">
        <w:t xml:space="preserve"> or crown dieback as a result of drought, insect damage and/or old age</w:t>
      </w:r>
      <w:r w:rsidR="00C70E04">
        <w:t xml:space="preserve">), and was undertaken </w:t>
      </w:r>
      <w:r w:rsidR="00825E74">
        <w:t>separately for each forest type</w:t>
      </w:r>
      <w:r w:rsidR="00C70E04">
        <w:t xml:space="preserve"> (as </w:t>
      </w:r>
      <w:r w:rsidR="00C70E04" w:rsidRPr="00491F4B">
        <w:rPr>
          <w:i/>
        </w:rPr>
        <w:t>H/D</w:t>
      </w:r>
      <w:r w:rsidR="00C70E04">
        <w:t xml:space="preserve"> and </w:t>
      </w:r>
      <w:r w:rsidR="00FA4402">
        <w:rPr>
          <w:i/>
        </w:rPr>
        <w:t>CD/</w:t>
      </w:r>
      <w:r w:rsidR="00C70E04" w:rsidRPr="001D3A29">
        <w:rPr>
          <w:i/>
        </w:rPr>
        <w:t>D</w:t>
      </w:r>
      <w:r w:rsidR="00C70E04">
        <w:t xml:space="preserve"> ratios vary among </w:t>
      </w:r>
      <w:r w:rsidR="006B3AC7">
        <w:t>forest types</w:t>
      </w:r>
      <w:r w:rsidR="00C70E04">
        <w:t xml:space="preserve">; see </w:t>
      </w:r>
      <w:r w:rsidR="00825E74">
        <w:t>Fig. S1).</w:t>
      </w:r>
      <w:r w:rsidR="00FA4402">
        <w:t xml:space="preserve"> In total, </w:t>
      </w:r>
      <w:r w:rsidR="000B5FEC">
        <w:t>218</w:t>
      </w:r>
      <w:r w:rsidRPr="00D14DAC">
        <w:t xml:space="preserve"> trees</w:t>
      </w:r>
      <w:r w:rsidR="00FA4402">
        <w:t xml:space="preserve"> were removed from the database, </w:t>
      </w:r>
      <w:r w:rsidR="007901B5">
        <w:t>corresponding</w:t>
      </w:r>
      <w:r w:rsidRPr="00D14DAC">
        <w:t xml:space="preserve"> to 0.2% of the entire datas</w:t>
      </w:r>
      <w:r w:rsidR="00FA4402">
        <w:t>et</w:t>
      </w:r>
      <w:r w:rsidRPr="00D14DAC">
        <w:t>.</w:t>
      </w:r>
    </w:p>
    <w:p w:rsidR="009844BD" w:rsidRDefault="009844BD" w:rsidP="00D14DAC">
      <w:pPr>
        <w:pStyle w:val="Maintext"/>
        <w:spacing w:line="360" w:lineRule="auto"/>
        <w:sectPr w:rsidR="009844BD" w:rsidSect="009844BD">
          <w:pgSz w:w="11906" w:h="16838"/>
          <w:pgMar w:top="1440" w:right="1440" w:bottom="1440" w:left="1440" w:header="708" w:footer="708" w:gutter="0"/>
          <w:cols w:space="708"/>
          <w:docGrid w:linePitch="360"/>
        </w:sectPr>
      </w:pPr>
      <w:r>
        <w:t xml:space="preserve"> </w:t>
      </w:r>
    </w:p>
    <w:p w:rsidR="002864BB" w:rsidRDefault="000B5FEC" w:rsidP="009844BD">
      <w:pPr>
        <w:spacing w:after="240"/>
      </w:pPr>
      <w:r>
        <w:rPr>
          <w:noProof/>
          <w:lang w:val="en-US"/>
        </w:rPr>
        <w:lastRenderedPageBreak/>
        <w:drawing>
          <wp:inline distT="0" distB="0" distL="0" distR="0">
            <wp:extent cx="8863330" cy="3545332"/>
            <wp:effectExtent l="19050" t="0" r="0" b="0"/>
            <wp:docPr id="7" name="Picture 2" descr="C:\Users\Tommaso Jucker\Desktop\PostDoc\BALI project\Sepilok biomass\D-H allometries\Figures and tables\Fig. S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maso Jucker\Desktop\PostDoc\BALI project\Sepilok biomass\D-H allometries\Figures and tables\Fig. S1.tiff"/>
                    <pic:cNvPicPr>
                      <a:picLocks noChangeAspect="1" noChangeArrowheads="1"/>
                    </pic:cNvPicPr>
                  </pic:nvPicPr>
                  <pic:blipFill>
                    <a:blip r:embed="rId12" cstate="print"/>
                    <a:srcRect/>
                    <a:stretch>
                      <a:fillRect/>
                    </a:stretch>
                  </pic:blipFill>
                  <pic:spPr bwMode="auto">
                    <a:xfrm>
                      <a:off x="0" y="0"/>
                      <a:ext cx="8863330" cy="3545332"/>
                    </a:xfrm>
                    <a:prstGeom prst="rect">
                      <a:avLst/>
                    </a:prstGeom>
                    <a:noFill/>
                    <a:ln w="9525">
                      <a:noFill/>
                      <a:miter lim="800000"/>
                      <a:headEnd/>
                      <a:tailEnd/>
                    </a:ln>
                  </pic:spPr>
                </pic:pic>
              </a:graphicData>
            </a:graphic>
          </wp:inline>
        </w:drawing>
      </w:r>
    </w:p>
    <w:p w:rsidR="00F908D3" w:rsidRDefault="000D5CEB" w:rsidP="008F3478">
      <w:pPr>
        <w:pStyle w:val="Figure"/>
      </w:pPr>
      <w:r>
        <w:rPr>
          <w:b/>
        </w:rPr>
        <w:t xml:space="preserve">Fig. </w:t>
      </w:r>
      <w:proofErr w:type="gramStart"/>
      <w:r>
        <w:rPr>
          <w:b/>
        </w:rPr>
        <w:t>S</w:t>
      </w:r>
      <w:r w:rsidR="00F908D3">
        <w:rPr>
          <w:b/>
        </w:rPr>
        <w:t>1</w:t>
      </w:r>
      <w:r>
        <w:rPr>
          <w:b/>
        </w:rPr>
        <w:t xml:space="preserve"> </w:t>
      </w:r>
      <w:r w:rsidRPr="00AE251A">
        <w:rPr>
          <w:b/>
        </w:rPr>
        <w:t>|</w:t>
      </w:r>
      <w:r w:rsidRPr="00AE251A">
        <w:t xml:space="preserve"> </w:t>
      </w:r>
      <w:r w:rsidR="0001505F">
        <w:t xml:space="preserve">Height – </w:t>
      </w:r>
      <w:r w:rsidR="003B0D5F">
        <w:t xml:space="preserve">stem </w:t>
      </w:r>
      <w:r w:rsidR="000E34C6">
        <w:t xml:space="preserve">diameter ratio </w:t>
      </w:r>
      <w:r w:rsidR="0001505F">
        <w:t xml:space="preserve">and crown diameter – </w:t>
      </w:r>
      <w:r w:rsidR="003B0D5F">
        <w:t xml:space="preserve">stem </w:t>
      </w:r>
      <w:r w:rsidR="000E34C6">
        <w:t xml:space="preserve">diameter ratio </w:t>
      </w:r>
      <w:r w:rsidR="0001505F">
        <w:t>as a function of</w:t>
      </w:r>
      <w:r w:rsidR="000E34C6">
        <w:t xml:space="preserve"> tree size for each forest type.</w:t>
      </w:r>
      <w:proofErr w:type="gramEnd"/>
      <w:r w:rsidR="000E34C6">
        <w:t xml:space="preserve"> </w:t>
      </w:r>
      <w:r w:rsidR="007865FD">
        <w:t xml:space="preserve">Dashed lines are </w:t>
      </w:r>
      <w:proofErr w:type="spellStart"/>
      <w:r w:rsidR="007865FD">
        <w:t>quantile</w:t>
      </w:r>
      <w:proofErr w:type="spellEnd"/>
      <w:r w:rsidR="007865FD">
        <w:t xml:space="preserve"> regressions fit to the 0.1 percentile of the data. Points falling below these lines correspond to trees that</w:t>
      </w:r>
      <w:r w:rsidR="003B0D5F">
        <w:t xml:space="preserve"> are either unusually</w:t>
      </w:r>
      <w:r w:rsidR="00AA169B">
        <w:t xml:space="preserve"> short</w:t>
      </w:r>
      <w:r w:rsidR="00873AEB">
        <w:t xml:space="preserve"> (top row)</w:t>
      </w:r>
      <w:r w:rsidR="00AA169B">
        <w:t xml:space="preserve"> </w:t>
      </w:r>
      <w:r w:rsidR="003B0D5F">
        <w:t>or have particularly small crown diameters</w:t>
      </w:r>
      <w:r w:rsidR="00AA169B">
        <w:t xml:space="preserve"> </w:t>
      </w:r>
      <w:r w:rsidR="00B636B5">
        <w:t xml:space="preserve">(bottom row) </w:t>
      </w:r>
      <w:r w:rsidR="003B0D5F">
        <w:t xml:space="preserve">for a given stem diameter, </w:t>
      </w:r>
      <w:r w:rsidR="00B636B5">
        <w:t>suggesting they may have been damaged (e.g., broken stems or major branches). We therefore removed these trees t</w:t>
      </w:r>
      <w:r w:rsidR="00AA169B">
        <w:t>he database</w:t>
      </w:r>
      <w:r w:rsidR="003B0D5F">
        <w:t xml:space="preserve"> </w:t>
      </w:r>
      <w:r w:rsidR="008E03E7">
        <w:t>(</w:t>
      </w:r>
      <w:r w:rsidR="008E03E7" w:rsidRPr="007E3D3E">
        <w:rPr>
          <w:i/>
        </w:rPr>
        <w:t>n</w:t>
      </w:r>
      <w:r w:rsidR="008E03E7">
        <w:t xml:space="preserve"> = </w:t>
      </w:r>
      <w:r w:rsidR="000B5FEC">
        <w:t>218</w:t>
      </w:r>
      <w:r w:rsidR="008E03E7">
        <w:t>)</w:t>
      </w:r>
      <w:r w:rsidR="00AA169B">
        <w:t>.</w:t>
      </w:r>
    </w:p>
    <w:p w:rsidR="00512981" w:rsidRDefault="00512981" w:rsidP="008F3478">
      <w:pPr>
        <w:pStyle w:val="Figure"/>
        <w:sectPr w:rsidR="00512981" w:rsidSect="00F91FC3">
          <w:pgSz w:w="16838" w:h="11906" w:orient="landscape"/>
          <w:pgMar w:top="1440" w:right="1440" w:bottom="1440" w:left="1440" w:header="708" w:footer="708" w:gutter="0"/>
          <w:cols w:space="708"/>
          <w:docGrid w:linePitch="360"/>
        </w:sectPr>
      </w:pPr>
    </w:p>
    <w:p w:rsidR="00512981" w:rsidRDefault="00512981" w:rsidP="00512981">
      <w:pPr>
        <w:pStyle w:val="Heading2"/>
      </w:pPr>
      <w:bookmarkStart w:id="4" w:name="_Toc452798013"/>
      <w:r w:rsidRPr="00922D00">
        <w:lastRenderedPageBreak/>
        <w:t>Appendix S</w:t>
      </w:r>
      <w:r>
        <w:t xml:space="preserve">2 </w:t>
      </w:r>
      <w:r w:rsidRPr="00922D00">
        <w:t xml:space="preserve">| </w:t>
      </w:r>
      <w:r>
        <w:t>Data binning</w:t>
      </w:r>
      <w:bookmarkEnd w:id="4"/>
    </w:p>
    <w:p w:rsidR="0013131E" w:rsidRDefault="00CD2E9F" w:rsidP="00BB6410">
      <w:pPr>
        <w:pStyle w:val="Maintext"/>
        <w:spacing w:line="360" w:lineRule="auto"/>
      </w:pPr>
      <w:r>
        <w:t>A</w:t>
      </w:r>
      <w:r w:rsidR="00F84E1B">
        <w:t xml:space="preserve">llometric equations are </w:t>
      </w:r>
      <w:r w:rsidR="00785C76">
        <w:t>generally</w:t>
      </w:r>
      <w:r>
        <w:t xml:space="preserve"> </w:t>
      </w:r>
      <w:r w:rsidR="00F84E1B">
        <w:t xml:space="preserve">derived by fitting </w:t>
      </w:r>
      <w:r>
        <w:t xml:space="preserve">ordinary least squares (OLS) </w:t>
      </w:r>
      <w:r w:rsidR="00F84E1B">
        <w:t>linear regression</w:t>
      </w:r>
      <w:r w:rsidR="008A5539">
        <w:t>s</w:t>
      </w:r>
      <w:r w:rsidR="00F84E1B">
        <w:t xml:space="preserve"> directly to </w:t>
      </w:r>
      <w:r w:rsidR="003D097B">
        <w:t>field</w:t>
      </w:r>
      <w:r w:rsidR="00F84E1B">
        <w:t xml:space="preserve"> data (which in most cases have been log-transformed). </w:t>
      </w:r>
      <w:r>
        <w:t xml:space="preserve">However, </w:t>
      </w:r>
      <w:r w:rsidR="003D097B">
        <w:t xml:space="preserve">in some cases this approach can result in </w:t>
      </w:r>
      <w:r>
        <w:t>severely biased parameter estimates,</w:t>
      </w:r>
      <w:r w:rsidR="008A5539">
        <w:t xml:space="preserve"> making it impossible to</w:t>
      </w:r>
      <w:r w:rsidR="00A561A6">
        <w:t xml:space="preserve"> use </w:t>
      </w:r>
      <w:r w:rsidR="003D097B">
        <w:t xml:space="preserve">the equations </w:t>
      </w:r>
      <w:r w:rsidR="00A561A6">
        <w:t>to derive reliable estimates of the response variable</w:t>
      </w:r>
      <w:r>
        <w:t>.</w:t>
      </w:r>
      <w:r w:rsidR="008A5539">
        <w:t xml:space="preserve"> </w:t>
      </w:r>
      <w:r w:rsidR="00937357">
        <w:t xml:space="preserve">There are several reasons </w:t>
      </w:r>
      <w:r w:rsidR="003D097B">
        <w:t xml:space="preserve">why OLS regression can </w:t>
      </w:r>
      <w:r w:rsidR="000A10DD">
        <w:t>produce</w:t>
      </w:r>
      <w:r w:rsidR="003D097B">
        <w:t xml:space="preserve"> systematically biased estimates. </w:t>
      </w:r>
      <w:r w:rsidR="000A10DD">
        <w:t>For instance, OLS regression will tend to</w:t>
      </w:r>
      <w:r w:rsidR="008A5539">
        <w:t xml:space="preserve"> underestimate bivariate slopes when the independent variable in </w:t>
      </w:r>
      <w:r w:rsidR="00E36B18">
        <w:t>a model is measured with error [</w:t>
      </w:r>
      <w:r w:rsidR="008A5539">
        <w:t>in our case height</w:t>
      </w:r>
      <w:r w:rsidR="00E36B18">
        <w:t xml:space="preserve"> (</w:t>
      </w:r>
      <w:r w:rsidR="00E36B18" w:rsidRPr="00E36B18">
        <w:rPr>
          <w:i/>
        </w:rPr>
        <w:t>H</w:t>
      </w:r>
      <w:r w:rsidR="00E36B18">
        <w:t>)</w:t>
      </w:r>
      <w:r w:rsidR="008A5539">
        <w:t xml:space="preserve"> and crown diameter</w:t>
      </w:r>
      <w:r w:rsidR="00E36B18">
        <w:t xml:space="preserve"> (</w:t>
      </w:r>
      <w:r w:rsidR="00E36B18" w:rsidRPr="00E36B18">
        <w:rPr>
          <w:i/>
        </w:rPr>
        <w:t>CD</w:t>
      </w:r>
      <w:r w:rsidR="00E36B18">
        <w:t>)]</w:t>
      </w:r>
      <w:r w:rsidR="00F70289">
        <w:t>, an issue which is commonly referred to as the “</w:t>
      </w:r>
      <w:r w:rsidR="00A561A6">
        <w:t xml:space="preserve">regression dilution </w:t>
      </w:r>
      <w:r w:rsidR="00F70289">
        <w:t>bias”</w:t>
      </w:r>
      <w:r w:rsidR="00A561A6">
        <w:t xml:space="preserve"> </w:t>
      </w:r>
      <w:r w:rsidR="00572AD9">
        <w:fldChar w:fldCharType="begin" w:fldLock="1"/>
      </w:r>
      <w:r w:rsidR="00C4719B">
        <w:instrText>ADDIN CSL_CITATION { "citationItems" : [ { "id" : "ITEM-1", "itemData" : { "DOI" : "10.1111/1467-985X.00164", "ISBN" : "0964-1998", "ISSN" : "0964-1998", "abstract" : "In an epidemiological study the regression slope between a response and predictor variable is underestimated when the predictor variable is measured imprecisely. Repeat measurements of the predictor in individuals in a subset of the study or in a separate study can be used to estimate a multiplicative factor to correct for this \u2018regression dilution bias\u2019. In applied statistics publications various methods have been used to estimate this correction factor. Here we compare six different estimation methods and explain how they fall into two categories, namely regression and correlation-based methods. We provide new asymptotic variance formulae for the optimal correction factors in each category, when these are estimated from the repeat measurements subset alone, and show analytically and by simulation that the correlation method of choice gives uniformly lower variance. The simulations also show that, when the correction factor is not much greater than 1, this correlation method gives a correction factor which is closer to the true value than that from the best regression method on up to 80% of occasions. We also provide a variance formula for a modified correlation method which uses the standard deviation of the predictor variable in the main study; this shows further improved performance provided that the correction factor is not too extreme. A confidence interval for a corrected regression slope in an epidemiological study should reflect the imprecision of both the uncorrected slope and the estimated correction factor. We provide formulae for this and show that, particularly when the correction factor is large and the size of the subset of repeat measures is small, the effect of allowing for imprecision in the estimated correction factor can be substantial.", "author" : [ { "dropping-particle" : "", "family" : "Frost", "given" : "Chris", "non-dropping-particle" : "", "parse-names" : false, "suffix" : "" }, { "dropping-particle" : "", "family" : "Thompson", "given" : "Simon G", "non-dropping-particle" : "", "parse-names" : false, "suffix" : "" } ], "container-title" : "Journal of the Royal Statistical Society: Series A (Statistics in Society)", "id" : "ITEM-1", "issue" : "2", "issued" : { "date-parts" : [ [ "2000" ] ] }, "page" : "173-189", "title" : "Correcting for regression dilution bias: comparison of methods for a single predictor variable", "type" : "article-journal", "volume" : "163" }, "uris" : [ "http://www.mendeley.com/documents/?uuid=5b0b87ad-1092-429a-8b84-60241a9f2da6" ] }, { "id" : "ITEM-2", "itemData" : { "DOI" : "10.1002/9780470316665", "ISBN" : "9780470316665", "author" : [ { "dropping-particle" : "", "family" : "Fuller", "given" : "Wayne A.", "non-dropping-particle" : "", "parse-names" : false, "suffix" : "" } ], "collection-title" : "Wiley Series in Probability and Statistics", "editor" : [ { "dropping-particle" : "", "family" : "Fuller", "given" : "Wayne A.", "non-dropping-particle" : "", "parse-names" : false, "suffix" : "" } ], "id" : "ITEM-2", "issued" : { "date-parts" : [ [ "1987", "6", "30" ] ] }, "number-of-pages" : "440", "publisher" : "John Wiley", "publisher-place" : "New York", "title" : "Measurement error models", "type" : "book" }, "uris" : [ "http://www.mendeley.com/documents/?uuid=fa1ccbf3-296f-4145-8ef2-cfd91e45d188" ] } ], "mendeley" : { "formattedCitation" : "(Fuller, 1987; Frost &amp; Thompson, 2000)", "plainTextFormattedCitation" : "(Fuller, 1987; Frost &amp; Thompson, 2000)", "previouslyFormattedCitation" : "(Fuller, 1987; Frost &amp; Thompson, 2000)" }, "properties" : { "noteIndex" : 0 }, "schema" : "https://github.com/citation-style-language/schema/raw/master/csl-citation.json" }</w:instrText>
      </w:r>
      <w:r w:rsidR="00572AD9">
        <w:fldChar w:fldCharType="separate"/>
      </w:r>
      <w:r w:rsidR="00F70289" w:rsidRPr="00F70289">
        <w:rPr>
          <w:noProof/>
        </w:rPr>
        <w:t>(Fuller, 1987; Frost &amp; Thompson, 2000)</w:t>
      </w:r>
      <w:r w:rsidR="00572AD9">
        <w:fldChar w:fldCharType="end"/>
      </w:r>
      <w:r w:rsidR="00A561A6">
        <w:t>.</w:t>
      </w:r>
      <w:r w:rsidR="00F70289">
        <w:t xml:space="preserve"> </w:t>
      </w:r>
      <w:r w:rsidR="000A10DD">
        <w:t xml:space="preserve">This issue is exacerbated by the tendency of allometric data to exhibit non-constant variance (i.e., increasing variability for higher mean values) and a strongly skewed distribution </w:t>
      </w:r>
      <w:r w:rsidR="0013131E">
        <w:t>(i.e., the fact that small stems vastly outnumber large ones).</w:t>
      </w:r>
    </w:p>
    <w:p w:rsidR="0013131E" w:rsidRDefault="0013131E" w:rsidP="00BB6410">
      <w:pPr>
        <w:pStyle w:val="Maintext"/>
        <w:spacing w:line="360" w:lineRule="auto"/>
      </w:pPr>
      <w:r>
        <w:t>Using stem diameter (</w:t>
      </w:r>
      <w:r w:rsidRPr="0013131E">
        <w:rPr>
          <w:i/>
        </w:rPr>
        <w:t>D</w:t>
      </w:r>
      <w:r>
        <w:t xml:space="preserve">) </w:t>
      </w:r>
      <w:r w:rsidR="00A16A09">
        <w:t>as an example, a</w:t>
      </w:r>
      <w:r>
        <w:t xml:space="preserve"> preliminary analysis of our data revealed that using OLS regression to mo</w:t>
      </w:r>
      <w:r w:rsidR="00FC37A7">
        <w:t xml:space="preserve">del the relationship between </w:t>
      </w:r>
      <w:r w:rsidRPr="0013131E">
        <w:rPr>
          <w:i/>
        </w:rPr>
        <w:t>D</w:t>
      </w:r>
      <w:r w:rsidR="00FC37A7">
        <w:t xml:space="preserve"> and </w:t>
      </w:r>
      <w:r w:rsidRPr="0013131E">
        <w:rPr>
          <w:i/>
        </w:rPr>
        <w:t>H ×</w:t>
      </w:r>
      <w:r>
        <w:rPr>
          <w:i/>
        </w:rPr>
        <w:t xml:space="preserve"> D</w:t>
      </w:r>
      <w:r>
        <w:t xml:space="preserve"> </w:t>
      </w:r>
      <w:r w:rsidR="00FC37A7">
        <w:t xml:space="preserve">(on a log-log scale) </w:t>
      </w:r>
      <w:r w:rsidR="00A16A09">
        <w:t xml:space="preserve">yielded systematically biased estimates of </w:t>
      </w:r>
      <w:r w:rsidR="00A16A09" w:rsidRPr="00A16A09">
        <w:rPr>
          <w:i/>
        </w:rPr>
        <w:t>D</w:t>
      </w:r>
      <w:r w:rsidR="00A16A09">
        <w:t xml:space="preserve"> </w:t>
      </w:r>
      <w:r>
        <w:t>(see green line</w:t>
      </w:r>
      <w:r w:rsidR="00FC37A7">
        <w:t>s</w:t>
      </w:r>
      <w:r>
        <w:t xml:space="preserve"> in Fig. S2)</w:t>
      </w:r>
      <w:r w:rsidR="00A16A09">
        <w:t>.</w:t>
      </w:r>
      <w:r w:rsidR="00D36E8B">
        <w:t xml:space="preserve"> Specifically, the model tended to severely overestimate </w:t>
      </w:r>
      <w:r w:rsidR="00D36E8B" w:rsidRPr="00D36E8B">
        <w:rPr>
          <w:i/>
        </w:rPr>
        <w:t>D</w:t>
      </w:r>
      <w:r w:rsidR="00D36E8B">
        <w:t xml:space="preserve"> for small </w:t>
      </w:r>
      <w:r w:rsidR="00E1710A">
        <w:t>trees</w:t>
      </w:r>
      <w:r w:rsidR="00D36E8B">
        <w:t xml:space="preserve">, while concurrently overestimating that of large </w:t>
      </w:r>
      <w:r w:rsidR="00E1710A">
        <w:t>ones</w:t>
      </w:r>
      <w:r w:rsidR="00D36E8B">
        <w:t>.</w:t>
      </w:r>
      <w:r w:rsidR="00E1710A">
        <w:t xml:space="preserve"> Several approaches have been put forward to deal with the </w:t>
      </w:r>
      <w:r w:rsidR="00DB2FCC">
        <w:t>regression dilution bias</w:t>
      </w:r>
      <w:r w:rsidR="00E1710A">
        <w:t xml:space="preserve">. Here we compare four </w:t>
      </w:r>
      <w:r w:rsidR="00E55FF5">
        <w:t>alternative</w:t>
      </w:r>
      <w:r w:rsidR="00E1710A">
        <w:t xml:space="preserve"> methods: </w:t>
      </w:r>
      <w:r w:rsidR="00A611DF">
        <w:t>(</w:t>
      </w:r>
      <w:proofErr w:type="spellStart"/>
      <w:r w:rsidR="00A611DF">
        <w:t>i</w:t>
      </w:r>
      <w:proofErr w:type="spellEnd"/>
      <w:r w:rsidR="00A611DF">
        <w:t xml:space="preserve">) </w:t>
      </w:r>
      <w:r w:rsidR="00E1710A">
        <w:t xml:space="preserve">standardized major axis (SMA) regression, </w:t>
      </w:r>
      <w:r w:rsidR="00A611DF">
        <w:t xml:space="preserve">(ii) </w:t>
      </w:r>
      <w:r w:rsidR="00E1710A">
        <w:t xml:space="preserve">weighted regression, </w:t>
      </w:r>
      <w:r w:rsidR="00A611DF">
        <w:t xml:space="preserve">(iii) </w:t>
      </w:r>
      <w:r w:rsidR="00E1710A">
        <w:t xml:space="preserve">data binning and </w:t>
      </w:r>
      <w:proofErr w:type="gramStart"/>
      <w:r w:rsidR="00A611DF">
        <w:t xml:space="preserve">(iv) </w:t>
      </w:r>
      <w:r w:rsidR="00E1710A">
        <w:t>data</w:t>
      </w:r>
      <w:proofErr w:type="gramEnd"/>
      <w:r w:rsidR="00E1710A">
        <w:t xml:space="preserve"> thinning.</w:t>
      </w:r>
    </w:p>
    <w:p w:rsidR="00490571" w:rsidRDefault="00E1710A" w:rsidP="00A611DF">
      <w:pPr>
        <w:pStyle w:val="Maintext"/>
        <w:numPr>
          <w:ilvl w:val="0"/>
          <w:numId w:val="5"/>
        </w:numPr>
        <w:spacing w:line="360" w:lineRule="auto"/>
        <w:ind w:left="567"/>
      </w:pPr>
      <w:r w:rsidRPr="00E1710A">
        <w:rPr>
          <w:i/>
        </w:rPr>
        <w:t>SMA regression</w:t>
      </w:r>
      <w:r>
        <w:t>:</w:t>
      </w:r>
      <w:r w:rsidR="007178CA">
        <w:t xml:space="preserve"> </w:t>
      </w:r>
      <w:r w:rsidR="005D594C">
        <w:t xml:space="preserve">in contrast to OLS regression – where the objective is to minimise the sum of squares of the residuals measured on the </w:t>
      </w:r>
      <w:r w:rsidR="00490571" w:rsidRPr="00490571">
        <w:rPr>
          <w:i/>
        </w:rPr>
        <w:t>y</w:t>
      </w:r>
      <w:r w:rsidR="00490571">
        <w:t xml:space="preserve"> </w:t>
      </w:r>
      <w:r w:rsidR="005D594C">
        <w:t xml:space="preserve">axis </w:t>
      </w:r>
      <w:r w:rsidR="00490571">
        <w:t>(i.e.,</w:t>
      </w:r>
      <w:r w:rsidR="005D594C">
        <w:t xml:space="preserve"> the response variable</w:t>
      </w:r>
      <w:r w:rsidR="00490571">
        <w:t>)</w:t>
      </w:r>
      <w:r w:rsidR="005D594C">
        <w:t xml:space="preserve"> – </w:t>
      </w:r>
      <w:r w:rsidR="00490571">
        <w:t xml:space="preserve">in </w:t>
      </w:r>
      <w:r w:rsidR="007178CA">
        <w:t>model II regression approaches</w:t>
      </w:r>
      <w:r w:rsidR="005D594C">
        <w:t xml:space="preserve"> </w:t>
      </w:r>
      <w:r w:rsidR="00490571">
        <w:t xml:space="preserve">such as SMA the line of best fit is obtained by minimizing the distance to the data along both the </w:t>
      </w:r>
      <w:r w:rsidR="00490571" w:rsidRPr="00490571">
        <w:rPr>
          <w:i/>
        </w:rPr>
        <w:t>x</w:t>
      </w:r>
      <w:r w:rsidR="00490571">
        <w:t xml:space="preserve"> and </w:t>
      </w:r>
      <w:r w:rsidR="00490571" w:rsidRPr="00490571">
        <w:rPr>
          <w:i/>
        </w:rPr>
        <w:t>y</w:t>
      </w:r>
      <w:r w:rsidR="00490571">
        <w:t xml:space="preserve"> axes </w:t>
      </w:r>
      <w:r w:rsidR="00572AD9">
        <w:fldChar w:fldCharType="begin" w:fldLock="1"/>
      </w:r>
      <w:r w:rsidR="00490571">
        <w:instrText>ADDIN CSL_CITATION { "citationItems" : [ { "id" : "ITEM-1", "itemData" : { "DOI" : "10.1017/S1464793106007007", "ISSN" : "1464-7931", "PMID" : "16573844", "abstract" : "Fitting a line to a bivariate dataset can be a deceptively complex problem, and there has been much debate on this issue in the literature. In this review, we describe for the practitioner the essential features of line-fitting methods for estimating the relationship between two variables: what methods are commonly used, which method should be used when, and how to make inferences from these lines to answer common research questions. A particularly important point for line-fitting in allometry is that usually, two sources of error are present (which we call measurement and equation error), and these have quite different implications for choice of line-fitting method. As a consequence, the approach in this review and the methods presented have subtle but important differences from previous reviews in the biology literature. Linear regression, major axis and standardised major axis are alternative methods that can be appropriate when there is no measurement error. When there is measurement error, this often needs to be estimated and used to adjust the variance terms in formulae for line-fitting. We also review line-fitting methods for phylogenetic analyses. Methods of inference are described for the line-fitting techniques discussed in this paper. The types of inference considered here are testing if the slope or elevation equals a given value, constructing confidence intervals for the slope or elevation, comparing several slopes or elevations, and testing for shift along the axis amongst several groups. In some cases several methods have been proposed in the literature. These are discussed and compared. In other cases there is little or no previous guidance available in the literature. Simulations were conducted to check whether the methods of inference proposed have the intended coverage probability or Type I error. We identified the methods of inference that perform well and recommend the techniques that should be adopted in future work.", "author" : [ { "dropping-particle" : "", "family" : "Warton", "given" : "David I", "non-dropping-particle" : "", "parse-names" : false, "suffix" : "" }, { "dropping-particle" : "", "family" : "Wright", "given" : "Ian J", "non-dropping-particle" : "", "parse-names" : false, "suffix" : "" }, { "dropping-particle" : "", "family" : "Falster", "given" : "Daniel S.", "non-dropping-particle" : "", "parse-names" : false, "suffix" : "" }, { "dropping-particle" : "", "family" : "Westoby", "given" : "Mark", "non-dropping-particle" : "", "parse-names" : false, "suffix" : "" } ], "container-title" : "Biological Reviews", "id" : "ITEM-1", "issue" : "2", "issued" : { "date-parts" : [ [ "2006", "5" ] ] }, "page" : "259-91", "title" : "Bivariate line-fitting methods for allometry.", "type" : "article-journal", "volume" : "81" }, "uris" : [ "http://www.mendeley.com/documents/?uuid=0721f335-ce86-431e-a455-022a9b8e75d9" ] } ], "mendeley" : { "formattedCitation" : "(Warton &lt;i&gt;et al.&lt;/i&gt;, 2006)", "plainTextFormattedCitation" : "(Warton et al., 2006)", "previouslyFormattedCitation" : "(Warton &lt;i&gt;et al.&lt;/i&gt;, 2006)" }, "properties" : { "noteIndex" : 0 }, "schema" : "https://github.com/citation-style-language/schema/raw/master/csl-citation.json" }</w:instrText>
      </w:r>
      <w:r w:rsidR="00572AD9">
        <w:fldChar w:fldCharType="separate"/>
      </w:r>
      <w:r w:rsidR="00490571" w:rsidRPr="00F575F5">
        <w:rPr>
          <w:noProof/>
        </w:rPr>
        <w:t xml:space="preserve">(Warton </w:t>
      </w:r>
      <w:r w:rsidR="00490571" w:rsidRPr="00F575F5">
        <w:rPr>
          <w:i/>
          <w:noProof/>
        </w:rPr>
        <w:t>et al.</w:t>
      </w:r>
      <w:r w:rsidR="00490571" w:rsidRPr="00F575F5">
        <w:rPr>
          <w:noProof/>
        </w:rPr>
        <w:t>, 2006)</w:t>
      </w:r>
      <w:r w:rsidR="00572AD9">
        <w:fldChar w:fldCharType="end"/>
      </w:r>
      <w:r w:rsidR="00490571">
        <w:t>. SMA regression is better suited than OLS for estimating the</w:t>
      </w:r>
      <w:r w:rsidR="004E1A56">
        <w:t xml:space="preserve"> true</w:t>
      </w:r>
      <w:r w:rsidR="00490571">
        <w:t xml:space="preserve"> slope of a bivariate line, but has the drawback of not being designed as a predictive tool.</w:t>
      </w:r>
      <w:r w:rsidR="00E63F74">
        <w:t xml:space="preserve"> SMA regression was implemented using the </w:t>
      </w:r>
      <w:proofErr w:type="spellStart"/>
      <w:r w:rsidR="00E63F74" w:rsidRPr="00FD1EC3">
        <w:rPr>
          <w:i/>
        </w:rPr>
        <w:t>sma</w:t>
      </w:r>
      <w:proofErr w:type="spellEnd"/>
      <w:r w:rsidR="00E63F74">
        <w:t xml:space="preserve"> function in </w:t>
      </w:r>
      <w:r w:rsidR="00FD1EC3">
        <w:t>R</w:t>
      </w:r>
      <w:r w:rsidR="00E63F74">
        <w:t xml:space="preserve"> </w:t>
      </w:r>
      <w:r w:rsidR="00572AD9">
        <w:fldChar w:fldCharType="begin" w:fldLock="1"/>
      </w:r>
      <w:r w:rsidR="0011375A">
        <w:instrText>ADDIN CSL_CITATION { "citationItems" : [ { "id" : "ITEM-1", "itemData" : { "DOI" : "10.1111/j.2041-210X.2011.00153.x", "ISSN" : "2041210X", "author" : [ { "dropping-particle" : "", "family" : "Warton", "given" : "David I.", "non-dropping-particle" : "", "parse-names" : false, "suffix" : "" }, { "dropping-particle" : "", "family" : "Duursma", "given" : "Remko A.", "non-dropping-particle" : "", "parse-names" : false, "suffix" : "" }, { "dropping-particle" : "", "family" : "Falster", "given" : "Daniel S.", "non-dropping-particle" : "", "parse-names" : false, "suffix" : "" }, { "dropping-particle" : "", "family" : "Taskinen", "given" : "Sara", "non-dropping-particle" : "", "parse-names" : false, "suffix" : "" } ], "container-title" : "Methods in Ecology and Evolution", "id" : "ITEM-1", "issue" : "2", "issued" : { "date-parts" : [ [ "2012", "4", "29" ] ] }, "page" : "257-259", "title" : "SMATR 3- an R package for estimation and inference about allometric lines", "type" : "article-journal", "volume" : "3" }, "uris" : [ "http://www.mendeley.com/documents/?uuid=86d4c610-0f93-45f6-9f8b-3ca5111d1933" ] } ], "mendeley" : { "formattedCitation" : "(Warton &lt;i&gt;et al.&lt;/i&gt;, 2012)", "plainTextFormattedCitation" : "(Warton et al., 2012)", "previouslyFormattedCitation" : "(Warton &lt;i&gt;et al.&lt;/i&gt;, 2012)" }, "properties" : { "noteIndex" : 0 }, "schema" : "https://github.com/citation-style-language/schema/raw/master/csl-citation.json" }</w:instrText>
      </w:r>
      <w:r w:rsidR="00572AD9">
        <w:fldChar w:fldCharType="separate"/>
      </w:r>
      <w:r w:rsidR="00E63F74" w:rsidRPr="00E63F74">
        <w:rPr>
          <w:noProof/>
        </w:rPr>
        <w:t xml:space="preserve">(Warton </w:t>
      </w:r>
      <w:r w:rsidR="00E63F74" w:rsidRPr="00E63F74">
        <w:rPr>
          <w:i/>
          <w:noProof/>
        </w:rPr>
        <w:t>et al.</w:t>
      </w:r>
      <w:r w:rsidR="00E63F74" w:rsidRPr="00E63F74">
        <w:rPr>
          <w:noProof/>
        </w:rPr>
        <w:t>, 2012)</w:t>
      </w:r>
      <w:r w:rsidR="00572AD9">
        <w:fldChar w:fldCharType="end"/>
      </w:r>
      <w:r w:rsidR="00FD1EC3">
        <w:t>.</w:t>
      </w:r>
    </w:p>
    <w:p w:rsidR="001F55D5" w:rsidRDefault="006C1B85" w:rsidP="00A611DF">
      <w:pPr>
        <w:pStyle w:val="Maintext"/>
        <w:numPr>
          <w:ilvl w:val="0"/>
          <w:numId w:val="5"/>
        </w:numPr>
        <w:spacing w:line="360" w:lineRule="auto"/>
        <w:ind w:left="567"/>
      </w:pPr>
      <w:r>
        <w:rPr>
          <w:i/>
        </w:rPr>
        <w:t>Weighted</w:t>
      </w:r>
      <w:r w:rsidRPr="00E1710A">
        <w:rPr>
          <w:i/>
        </w:rPr>
        <w:t xml:space="preserve"> regression</w:t>
      </w:r>
      <w:r>
        <w:t>:</w:t>
      </w:r>
      <w:r w:rsidR="007C1CDE">
        <w:t xml:space="preserve"> </w:t>
      </w:r>
      <w:r w:rsidR="001F55D5">
        <w:t>whereas OLS regression assumes constant variance in the residuals, weighted regression accounts for the tendency</w:t>
      </w:r>
      <w:r w:rsidR="003724AF">
        <w:t xml:space="preserve"> </w:t>
      </w:r>
      <w:r w:rsidR="001F55D5">
        <w:t>of the residual variance to increase with the mean</w:t>
      </w:r>
      <w:r w:rsidR="003724AF">
        <w:t xml:space="preserve"> of the fitted values</w:t>
      </w:r>
      <w:r w:rsidR="000E20D8">
        <w:t xml:space="preserve"> (</w:t>
      </w:r>
      <w:r w:rsidR="000E20D8">
        <w:rPr>
          <w:noProof/>
        </w:rPr>
        <w:t>a common pattern in allometric data)</w:t>
      </w:r>
      <w:r w:rsidR="001F55D5">
        <w:t>.</w:t>
      </w:r>
      <w:r w:rsidR="003724AF">
        <w:t xml:space="preserve"> This is achieved by associating each observation with a weight which is inversely </w:t>
      </w:r>
      <w:r w:rsidR="003724AF">
        <w:lastRenderedPageBreak/>
        <w:t>proportional to the residual variance</w:t>
      </w:r>
      <w:r w:rsidR="000E20D8">
        <w:t xml:space="preserve"> </w:t>
      </w:r>
      <w:r w:rsidR="00572AD9">
        <w:fldChar w:fldCharType="begin" w:fldLock="1"/>
      </w:r>
      <w:r w:rsidR="00C4719B">
        <w:instrText>ADDIN CSL_CITATION { "citationItems" : [ { "id" : "ITEM-1", "itemData" : { "author" : [ { "dropping-particle" : "", "family" : "Picard", "given" : "N", "non-dropping-particle" : "", "parse-names" : false, "suffix" : "" }, { "dropping-particle" : "", "family" : "Saint-Andr\u00e9", "given" : "L", "non-dropping-particle" : "", "parse-names" : false, "suffix" : "" }, { "dropping-particle" : "", "family" : "Henry", "given" : "M", "non-dropping-particle" : "", "parse-names" : false, "suffix" : "" } ], "id" : "ITEM-1", "issued" : { "date-parts" : [ [ "2012" ] ] }, "number-of-pages" : "215", "publisher" : "FAO, Rome and CIRAD, Montpellier", "title" : "Manual for building tree volume and biomass allometric equations: from field measurement to prediction", "type" : "book" }, "uris" : [ "http://www.mendeley.com/documents/?uuid=9d30ea0f-6839-4916-a3d9-d9eb478da59a" ] } ], "mendeley" : { "formattedCitation" : "(Picard &lt;i&gt;et al.&lt;/i&gt;, 2012)", "plainTextFormattedCitation" : "(Picard et al., 2012)", "previouslyFormattedCitation" : "(Picard &lt;i&gt;et al.&lt;/i&gt;, 2012)" }, "properties" : { "noteIndex" : 0 }, "schema" : "https://github.com/citation-style-language/schema/raw/master/csl-citation.json" }</w:instrText>
      </w:r>
      <w:r w:rsidR="00572AD9">
        <w:fldChar w:fldCharType="separate"/>
      </w:r>
      <w:r w:rsidR="000E20D8" w:rsidRPr="000E20D8">
        <w:rPr>
          <w:noProof/>
        </w:rPr>
        <w:t xml:space="preserve">(Picard </w:t>
      </w:r>
      <w:r w:rsidR="000E20D8" w:rsidRPr="000E20D8">
        <w:rPr>
          <w:i/>
          <w:noProof/>
        </w:rPr>
        <w:t>et al.</w:t>
      </w:r>
      <w:r w:rsidR="000E20D8" w:rsidRPr="000E20D8">
        <w:rPr>
          <w:noProof/>
        </w:rPr>
        <w:t>, 2012)</w:t>
      </w:r>
      <w:r w:rsidR="00572AD9">
        <w:fldChar w:fldCharType="end"/>
      </w:r>
      <w:r w:rsidR="000E20D8">
        <w:t>.</w:t>
      </w:r>
      <w:r w:rsidR="00E63F74">
        <w:t xml:space="preserve"> </w:t>
      </w:r>
      <w:r w:rsidR="00FD1EC3">
        <w:t xml:space="preserve">We fit the weighted model using the </w:t>
      </w:r>
      <w:proofErr w:type="spellStart"/>
      <w:r w:rsidR="00FD1EC3" w:rsidRPr="00FD1EC3">
        <w:rPr>
          <w:i/>
        </w:rPr>
        <w:t>nls</w:t>
      </w:r>
      <w:proofErr w:type="spellEnd"/>
      <w:r w:rsidR="00FD1EC3">
        <w:t xml:space="preserve"> function in R, where </w:t>
      </w:r>
      <w:r w:rsidR="00FD1EC3" w:rsidRPr="00FD1EC3">
        <w:rPr>
          <w:i/>
        </w:rPr>
        <w:t>D</w:t>
      </w:r>
      <w:r w:rsidR="00FD1EC3">
        <w:t xml:space="preserve"> was expressed as power-law function of </w:t>
      </w:r>
      <w:r w:rsidR="00FD1EC3" w:rsidRPr="0013131E">
        <w:rPr>
          <w:i/>
        </w:rPr>
        <w:t>H ×</w:t>
      </w:r>
      <w:r w:rsidR="00FD1EC3">
        <w:rPr>
          <w:i/>
        </w:rPr>
        <w:t xml:space="preserve"> D</w:t>
      </w:r>
      <w:r w:rsidR="006D5C4F">
        <w:t xml:space="preserve"> [analogous to fitting log</w:t>
      </w:r>
      <w:r w:rsidR="00FD1EC3">
        <w:t>(</w:t>
      </w:r>
      <w:r w:rsidR="00FD1EC3" w:rsidRPr="0013131E">
        <w:rPr>
          <w:i/>
        </w:rPr>
        <w:t>D</w:t>
      </w:r>
      <w:r w:rsidR="00FD1EC3">
        <w:t xml:space="preserve">) </w:t>
      </w:r>
      <w:r w:rsidR="00FD1EC3" w:rsidRPr="00FE4C83">
        <w:rPr>
          <w:i/>
        </w:rPr>
        <w:t>vs</w:t>
      </w:r>
      <w:r w:rsidR="006D5C4F">
        <w:t xml:space="preserve"> log</w:t>
      </w:r>
      <w:r w:rsidR="00FD1EC3">
        <w:t>(</w:t>
      </w:r>
      <w:r w:rsidR="00FD1EC3" w:rsidRPr="0013131E">
        <w:rPr>
          <w:i/>
        </w:rPr>
        <w:t>H ×</w:t>
      </w:r>
      <w:r w:rsidR="00FD1EC3">
        <w:rPr>
          <w:i/>
        </w:rPr>
        <w:t xml:space="preserve"> D</w:t>
      </w:r>
      <w:r w:rsidR="00FD1EC3">
        <w:t xml:space="preserve">) in a linear modelling framework] </w:t>
      </w:r>
      <w:r w:rsidR="00F57E67">
        <w:t>and a weight</w:t>
      </w:r>
      <w:r w:rsidR="009167C4">
        <w:t>ing</w:t>
      </w:r>
      <w:r w:rsidR="00F57E67">
        <w:t xml:space="preserve"> of 1/</w:t>
      </w:r>
      <w:r w:rsidR="00F57E67" w:rsidRPr="00F57E67">
        <w:rPr>
          <w:i/>
        </w:rPr>
        <w:t>D</w:t>
      </w:r>
      <w:r w:rsidR="00F57E67">
        <w:t xml:space="preserve"> was applied.</w:t>
      </w:r>
    </w:p>
    <w:p w:rsidR="00183F76" w:rsidRDefault="006C1B85" w:rsidP="00A611DF">
      <w:pPr>
        <w:pStyle w:val="Maintext"/>
        <w:numPr>
          <w:ilvl w:val="0"/>
          <w:numId w:val="5"/>
        </w:numPr>
        <w:spacing w:line="360" w:lineRule="auto"/>
        <w:ind w:left="567"/>
      </w:pPr>
      <w:r>
        <w:rPr>
          <w:i/>
        </w:rPr>
        <w:t>Data binning</w:t>
      </w:r>
      <w:r>
        <w:t>:</w:t>
      </w:r>
      <w:r w:rsidR="001E65F0">
        <w:t xml:space="preserve"> data binning consists in dividing the data into size classes (</w:t>
      </w:r>
      <w:r w:rsidR="00E41899">
        <w:t xml:space="preserve">in this case </w:t>
      </w:r>
      <w:r w:rsidR="00021ED2">
        <w:t>50</w:t>
      </w:r>
      <w:r w:rsidR="00E41899" w:rsidRPr="002A3B04">
        <w:t xml:space="preserve"> stem diameter logarithmic bins of </w:t>
      </w:r>
      <w:r w:rsidR="00E41899">
        <w:t>constant width</w:t>
      </w:r>
      <w:r w:rsidR="001E65F0">
        <w:t>)</w:t>
      </w:r>
      <w:r w:rsidR="00E41899">
        <w:t>,</w:t>
      </w:r>
      <w:r w:rsidR="001E65F0">
        <w:t xml:space="preserve"> and then calculating mean values for each allometric variable within </w:t>
      </w:r>
      <w:r w:rsidR="00E41899">
        <w:t>the</w:t>
      </w:r>
      <w:r w:rsidR="00B87A36">
        <w:t>se</w:t>
      </w:r>
      <w:r w:rsidR="001E65F0">
        <w:t xml:space="preserve"> bin</w:t>
      </w:r>
      <w:r w:rsidR="00E41899">
        <w:t>s</w:t>
      </w:r>
      <w:r w:rsidR="001E65F0">
        <w:t xml:space="preserve"> (i.e., </w:t>
      </w:r>
      <w:r w:rsidR="00B87A36">
        <w:t xml:space="preserve">mean </w:t>
      </w:r>
      <w:r w:rsidR="001E65F0" w:rsidRPr="002A3B04">
        <w:rPr>
          <w:i/>
        </w:rPr>
        <w:t>H</w:t>
      </w:r>
      <w:r w:rsidR="001E65F0" w:rsidRPr="002A3B04">
        <w:t xml:space="preserve">, </w:t>
      </w:r>
      <w:r w:rsidR="001E65F0" w:rsidRPr="002A3B04">
        <w:rPr>
          <w:i/>
        </w:rPr>
        <w:t>CD</w:t>
      </w:r>
      <w:r w:rsidR="001E65F0" w:rsidRPr="002A3B04">
        <w:t xml:space="preserve"> and </w:t>
      </w:r>
      <w:r w:rsidR="001E65F0" w:rsidRPr="002A3B04">
        <w:rPr>
          <w:i/>
        </w:rPr>
        <w:t>H × CD</w:t>
      </w:r>
      <w:r w:rsidR="00B87A36">
        <w:t xml:space="preserve"> values for each diameter class)</w:t>
      </w:r>
      <w:r w:rsidR="001E65F0">
        <w:t xml:space="preserve">. </w:t>
      </w:r>
      <w:r w:rsidR="00E41899">
        <w:t xml:space="preserve">Regressions are then fitted to the binned data as opposed to </w:t>
      </w:r>
      <w:r w:rsidR="00B87A36">
        <w:t xml:space="preserve">the </w:t>
      </w:r>
      <w:r w:rsidR="00E41899">
        <w:t>raw values. As discussed in the main text, the advantage of this approach is that it reduces the among-tree variability in allometric measurements to a mean for each size class, thereby addressing the issue of the regression dilution bias</w:t>
      </w:r>
      <w:r w:rsidR="00732BE1">
        <w:t xml:space="preserve"> </w:t>
      </w:r>
      <w:r w:rsidR="00572AD9">
        <w:fldChar w:fldCharType="begin" w:fldLock="1"/>
      </w:r>
      <w:r w:rsidR="00732BE1">
        <w:instrText>ADDIN CSL_CITATION { "citationItems" : [ { "id" : "ITEM-1", "itemData" : { "DOI" : "10.1038/srep17153", "ISSN" : "2045-2322", "author" : [ { "dropping-particle" : "", "family" : "Duncanson", "given" : "L.", "non-dropping-particle" : "", "parse-names" : false, "suffix" : "" }, { "dropping-particle" : "", "family" : "Rourke", "given" : "O.", "non-dropping-particle" : "", "parse-names" : false, "suffix" : "" }, { "dropping-particle" : "", "family" : "Dubayah", "given" : "R.", "non-dropping-particle" : "", "parse-names" : false, "suffix" : "" } ], "container-title" : "Scientific Reports", "id" : "ITEM-1", "issued" : { "date-parts" : [ [ "2015" ] ] }, "page" : "17153", "publisher" : "Nature Publishing Group", "title" : "Small sample sizes yield biased allometric equations in temperate forests", "type" : "article-journal", "volume" : "5" }, "uris" : [ "http://www.mendeley.com/documents/?uuid=7ebe57d0-c246-44d5-bbed-d9bd0ff37daf" ] } ], "mendeley" : { "formattedCitation" : "(Duncanson &lt;i&gt;et al.&lt;/i&gt;, 2015)", "plainTextFormattedCitation" : "(Duncanson et al., 2015)", "previouslyFormattedCitation" : "(Duncanson &lt;i&gt;et al.&lt;/i&gt;, 2015)" }, "properties" : { "noteIndex" : 0 }, "schema" : "https://github.com/citation-style-language/schema/raw/master/csl-citation.json" }</w:instrText>
      </w:r>
      <w:r w:rsidR="00572AD9">
        <w:fldChar w:fldCharType="separate"/>
      </w:r>
      <w:r w:rsidR="00732BE1" w:rsidRPr="00732BE1">
        <w:rPr>
          <w:noProof/>
        </w:rPr>
        <w:t xml:space="preserve">(Duncanson </w:t>
      </w:r>
      <w:r w:rsidR="00732BE1" w:rsidRPr="00732BE1">
        <w:rPr>
          <w:i/>
          <w:noProof/>
        </w:rPr>
        <w:t>et al.</w:t>
      </w:r>
      <w:r w:rsidR="00732BE1" w:rsidRPr="00732BE1">
        <w:rPr>
          <w:noProof/>
        </w:rPr>
        <w:t>, 2015)</w:t>
      </w:r>
      <w:r w:rsidR="00572AD9">
        <w:fldChar w:fldCharType="end"/>
      </w:r>
      <w:r w:rsidR="00E41899">
        <w:t xml:space="preserve">. However, this feature is also the biggest drawback of the binning method, as it </w:t>
      </w:r>
      <w:r w:rsidR="00877FE5">
        <w:t>inevitably</w:t>
      </w:r>
      <w:r w:rsidR="00E41899">
        <w:t xml:space="preserve"> </w:t>
      </w:r>
      <w:r w:rsidR="00183F76">
        <w:t>results in an underestimation of</w:t>
      </w:r>
      <w:r w:rsidR="00E41899">
        <w:t xml:space="preserve"> the residuals</w:t>
      </w:r>
      <w:r w:rsidR="00183F76">
        <w:t xml:space="preserve"> standard deviation</w:t>
      </w:r>
      <w:r w:rsidR="00E41899">
        <w:t xml:space="preserve"> </w:t>
      </w:r>
      <w:r w:rsidR="00183F76">
        <w:t>(</w:t>
      </w:r>
      <w:r w:rsidR="00E41899" w:rsidRPr="00E41899">
        <w:rPr>
          <w:i/>
        </w:rPr>
        <w:t>σ</w:t>
      </w:r>
      <w:r w:rsidR="00E41899">
        <w:t>)</w:t>
      </w:r>
      <w:r w:rsidR="00183F76">
        <w:t xml:space="preserve"> of the model</w:t>
      </w:r>
      <w:r w:rsidR="00E41899">
        <w:t xml:space="preserve">. </w:t>
      </w:r>
      <w:r w:rsidR="00183F76">
        <w:t>Consequently, any attempt to propagate uncertainty in the model predictions will severely underestimate the actual variability among trees.</w:t>
      </w:r>
    </w:p>
    <w:p w:rsidR="006C1B85" w:rsidRDefault="006C1B85" w:rsidP="00A611DF">
      <w:pPr>
        <w:pStyle w:val="Maintext"/>
        <w:numPr>
          <w:ilvl w:val="0"/>
          <w:numId w:val="5"/>
        </w:numPr>
        <w:spacing w:line="360" w:lineRule="auto"/>
        <w:ind w:left="567"/>
      </w:pPr>
      <w:r>
        <w:rPr>
          <w:i/>
        </w:rPr>
        <w:t>Data thinning</w:t>
      </w:r>
      <w:r>
        <w:t>:</w:t>
      </w:r>
      <w:r w:rsidR="007178CA">
        <w:t xml:space="preserve"> </w:t>
      </w:r>
      <w:r w:rsidR="00183F76">
        <w:t>in an attempt to incorporate model uncertainty in our estimation workflow, we tested whether a data thinning approach could be used instead of binning the data. This consisted in first dividing trees into 100 log-diameter classes (as was done for the data binning method), and then selecting an equal number of trees – 100 chosen at random – in each diameter class. Regressions were then fit to the thinned data to estimate model parameters</w:t>
      </w:r>
      <w:r w:rsidR="00FC37A7">
        <w:t>.</w:t>
      </w:r>
    </w:p>
    <w:p w:rsidR="00B85EE9" w:rsidRDefault="00E20C49" w:rsidP="00B85EE9">
      <w:pPr>
        <w:pStyle w:val="Maintext"/>
        <w:spacing w:line="360" w:lineRule="auto"/>
      </w:pPr>
      <w:r>
        <w:t>We compared the performance of each of the above approaches using the workflow described in the main text.</w:t>
      </w:r>
      <w:r w:rsidR="00873205">
        <w:t xml:space="preserve"> Specifically, we (</w:t>
      </w:r>
      <w:proofErr w:type="spellStart"/>
      <w:r w:rsidR="00873205">
        <w:t>i</w:t>
      </w:r>
      <w:proofErr w:type="spellEnd"/>
      <w:r w:rsidR="00873205">
        <w:t xml:space="preserve">) </w:t>
      </w:r>
      <w:r w:rsidR="00873205" w:rsidRPr="002A3B04">
        <w:t>divided the database into a training set (90% of the data) and a validation set (remaining 10% of the data</w:t>
      </w:r>
      <w:r w:rsidR="00873205">
        <w:t xml:space="preserve"> selected at random following a</w:t>
      </w:r>
      <w:r w:rsidR="00873205" w:rsidRPr="00873205">
        <w:t xml:space="preserve"> </w:t>
      </w:r>
      <w:r w:rsidR="00873205">
        <w:t xml:space="preserve">size-stratified random sampling approach). </w:t>
      </w:r>
      <w:r w:rsidR="00B85EE9">
        <w:t>W</w:t>
      </w:r>
      <w:r w:rsidR="00873205">
        <w:t>e</w:t>
      </w:r>
      <w:r w:rsidR="00B85EE9">
        <w:t xml:space="preserve"> then</w:t>
      </w:r>
      <w:r w:rsidR="00873205">
        <w:t xml:space="preserve"> (ii) used the training dataset to model the relationship between </w:t>
      </w:r>
      <w:r w:rsidR="00873205" w:rsidRPr="0013131E">
        <w:rPr>
          <w:i/>
        </w:rPr>
        <w:t>D</w:t>
      </w:r>
      <w:r w:rsidR="00873205">
        <w:t xml:space="preserve"> and </w:t>
      </w:r>
      <w:r w:rsidR="00873205" w:rsidRPr="0013131E">
        <w:rPr>
          <w:i/>
        </w:rPr>
        <w:t>H ×</w:t>
      </w:r>
      <w:r w:rsidR="00873205">
        <w:rPr>
          <w:i/>
        </w:rPr>
        <w:t xml:space="preserve"> D</w:t>
      </w:r>
      <w:r w:rsidR="00873205">
        <w:t xml:space="preserve"> using each of the four modelling approaches</w:t>
      </w:r>
      <w:r w:rsidR="00B85EE9">
        <w:t xml:space="preserve">, following which (iii) the models were used to </w:t>
      </w:r>
      <w:r w:rsidR="00B85EE9" w:rsidRPr="002A3B04">
        <w:t xml:space="preserve">predict </w:t>
      </w:r>
      <w:r w:rsidR="00B85EE9" w:rsidRPr="002A3B04">
        <w:rPr>
          <w:i/>
        </w:rPr>
        <w:t>D</w:t>
      </w:r>
      <w:r w:rsidR="00B85EE9" w:rsidRPr="002A3B04">
        <w:t xml:space="preserve"> for all trees in the validation dataset</w:t>
      </w:r>
      <w:r w:rsidR="00B85EE9">
        <w:t xml:space="preserve">. To test for systematic bias in the model predictions, we then (iv) calculated the relative errors in the predictions generated from each modelling approach as follows: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pred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obs</m:t>
                </m:r>
              </m:sub>
            </m:sSub>
          </m:num>
          <m:den>
            <m:sSub>
              <m:sSubPr>
                <m:ctrlPr>
                  <w:rPr>
                    <w:rFonts w:ascii="Cambria Math" w:hAnsi="Cambria Math"/>
                    <w:i/>
                  </w:rPr>
                </m:ctrlPr>
              </m:sSubPr>
              <m:e>
                <m:r>
                  <w:rPr>
                    <w:rFonts w:ascii="Cambria Math" w:hAnsi="Cambria Math"/>
                  </w:rPr>
                  <m:t>D</m:t>
                </m:r>
              </m:e>
              <m:sub>
                <m:r>
                  <w:rPr>
                    <w:rFonts w:ascii="Cambria Math" w:hAnsi="Cambria Math"/>
                  </w:rPr>
                  <m:t>obs</m:t>
                </m:r>
              </m:sub>
            </m:sSub>
          </m:den>
        </m:f>
        <m:r>
          <w:rPr>
            <w:rFonts w:ascii="Cambria Math" w:hAnsi="Cambria Math"/>
          </w:rPr>
          <m:t>×100</m:t>
        </m:r>
      </m:oMath>
      <w:r w:rsidR="00B85EE9">
        <w:t xml:space="preserve">. Steps (i-iv) were </w:t>
      </w:r>
      <w:r w:rsidR="00B85EE9" w:rsidRPr="002A3B04">
        <w:lastRenderedPageBreak/>
        <w:t xml:space="preserve">repeated 100 times to avoid </w:t>
      </w:r>
      <w:r w:rsidR="00B85EE9">
        <w:t>the randomization procedure in step (</w:t>
      </w:r>
      <w:proofErr w:type="spellStart"/>
      <w:r w:rsidR="00B85EE9">
        <w:t>i</w:t>
      </w:r>
      <w:proofErr w:type="spellEnd"/>
      <w:r w:rsidR="00B85EE9">
        <w:t xml:space="preserve">) having an </w:t>
      </w:r>
      <w:r w:rsidR="00B85EE9" w:rsidRPr="002A3B04">
        <w:t>undue effect on the model evaluation process.</w:t>
      </w:r>
    </w:p>
    <w:p w:rsidR="006C1B85" w:rsidRDefault="006220E5" w:rsidP="0072617C">
      <w:pPr>
        <w:pStyle w:val="Maintext"/>
        <w:spacing w:line="360" w:lineRule="auto"/>
      </w:pPr>
      <w:r>
        <w:t xml:space="preserve">All four of the above </w:t>
      </w:r>
      <w:r w:rsidR="00AF24B8">
        <w:t xml:space="preserve">modelling </w:t>
      </w:r>
      <w:r>
        <w:t xml:space="preserve">approaches </w:t>
      </w:r>
      <w:r w:rsidR="00AF24B8">
        <w:t xml:space="preserve">reduced the systematic bias in the model predictions </w:t>
      </w:r>
      <w:r w:rsidR="00D2537E">
        <w:t xml:space="preserve">compared to OLS regression </w:t>
      </w:r>
      <w:r w:rsidR="00AF24B8">
        <w:t xml:space="preserve">(Fig. S2). </w:t>
      </w:r>
      <w:r w:rsidR="00D2537E">
        <w:t xml:space="preserve">However, of these only data binning </w:t>
      </w:r>
      <w:r w:rsidR="007178CA">
        <w:t xml:space="preserve">was successful in </w:t>
      </w:r>
      <w:r w:rsidR="00D2537E">
        <w:t>removing</w:t>
      </w:r>
      <w:r w:rsidR="007178CA">
        <w:t xml:space="preserve"> </w:t>
      </w:r>
      <w:r w:rsidR="004F3F1B">
        <w:t xml:space="preserve">systematic </w:t>
      </w:r>
      <w:r w:rsidR="007178CA">
        <w:t xml:space="preserve">bias altogether. </w:t>
      </w:r>
      <w:r w:rsidR="00D2537E">
        <w:t xml:space="preserve">SMA, weighted regression and data thinning </w:t>
      </w:r>
      <w:r w:rsidR="004F3F1B">
        <w:t xml:space="preserve">all </w:t>
      </w:r>
      <w:r w:rsidR="00D2537E">
        <w:t>underestimate</w:t>
      </w:r>
      <w:r w:rsidR="00C81DA9">
        <w:t>d</w:t>
      </w:r>
      <w:r w:rsidR="00D2537E">
        <w:t xml:space="preserve"> the </w:t>
      </w:r>
      <w:r w:rsidR="00021ED2">
        <w:t xml:space="preserve">true scaling coefficient (i.e., slope) of the </w:t>
      </w:r>
      <w:r w:rsidR="0072617C" w:rsidRPr="0013131E">
        <w:rPr>
          <w:i/>
        </w:rPr>
        <w:t>D</w:t>
      </w:r>
      <w:r w:rsidR="0072617C">
        <w:t xml:space="preserve"> </w:t>
      </w:r>
      <w:r w:rsidR="0072617C" w:rsidRPr="00FE4C83">
        <w:rPr>
          <w:i/>
        </w:rPr>
        <w:t>vs</w:t>
      </w:r>
      <w:r w:rsidR="00021ED2">
        <w:t xml:space="preserve"> </w:t>
      </w:r>
      <w:r w:rsidR="0072617C" w:rsidRPr="0013131E">
        <w:rPr>
          <w:i/>
        </w:rPr>
        <w:t>H ×</w:t>
      </w:r>
      <w:r w:rsidR="0072617C">
        <w:rPr>
          <w:i/>
        </w:rPr>
        <w:t xml:space="preserve"> D</w:t>
      </w:r>
      <w:r w:rsidR="0072617C">
        <w:t xml:space="preserve"> </w:t>
      </w:r>
      <w:r w:rsidR="00D2537E">
        <w:t>relationship. A</w:t>
      </w:r>
      <w:r w:rsidR="00C81DA9">
        <w:t xml:space="preserve">s a result, all three approaches systematically </w:t>
      </w:r>
      <w:r w:rsidR="00D2537E">
        <w:t>overestimate</w:t>
      </w:r>
      <w:r w:rsidR="00C81DA9">
        <w:t>d</w:t>
      </w:r>
      <w:r w:rsidR="00D2537E">
        <w:t xml:space="preserve"> </w:t>
      </w:r>
      <w:r w:rsidR="00D2537E" w:rsidRPr="00D36E8B">
        <w:rPr>
          <w:i/>
        </w:rPr>
        <w:t>D</w:t>
      </w:r>
      <w:r w:rsidR="00D2537E">
        <w:t xml:space="preserve"> for small </w:t>
      </w:r>
      <w:r w:rsidR="0072617C">
        <w:t xml:space="preserve">trees, and instead tended to overestimate that of </w:t>
      </w:r>
      <w:r w:rsidR="00D2537E">
        <w:t>large ones</w:t>
      </w:r>
      <w:r w:rsidR="00721EE2">
        <w:t xml:space="preserve"> (Fig. S2)</w:t>
      </w:r>
      <w:r w:rsidR="00D2537E">
        <w:t>.</w:t>
      </w:r>
    </w:p>
    <w:p w:rsidR="00F908D3" w:rsidRDefault="001013C5" w:rsidP="0053731C">
      <w:pPr>
        <w:pStyle w:val="Figure"/>
        <w:jc w:val="center"/>
      </w:pPr>
      <w:r w:rsidRPr="001013C5">
        <w:rPr>
          <w:noProof/>
          <w:lang w:val="en-US"/>
        </w:rPr>
        <w:drawing>
          <wp:inline distT="0" distB="0" distL="0" distR="0">
            <wp:extent cx="5731510" cy="3527083"/>
            <wp:effectExtent l="0" t="0" r="0" b="0"/>
            <wp:docPr id="2" name="Picture 2" descr="D:\PostDoc\BALI project\Sepilok biomass\D-H allometries\Figures and tables\Fig. S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stDoc\BALI project\Sepilok biomass\D-H allometries\Figures and tables\Fig. S2.tif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27083"/>
                    </a:xfrm>
                    <a:prstGeom prst="rect">
                      <a:avLst/>
                    </a:prstGeom>
                    <a:noFill/>
                    <a:ln>
                      <a:noFill/>
                    </a:ln>
                  </pic:spPr>
                </pic:pic>
              </a:graphicData>
            </a:graphic>
          </wp:inline>
        </w:drawing>
      </w:r>
    </w:p>
    <w:p w:rsidR="00124669" w:rsidRPr="00C40068" w:rsidRDefault="00512981" w:rsidP="00C40068">
      <w:pPr>
        <w:autoSpaceDE w:val="0"/>
        <w:autoSpaceDN w:val="0"/>
        <w:adjustRightInd w:val="0"/>
        <w:spacing w:after="0" w:line="240" w:lineRule="auto"/>
        <w:jc w:val="left"/>
        <w:rPr>
          <w:rFonts w:ascii="Tahoma" w:hAnsi="Tahoma" w:cs="Tahoma"/>
          <w:sz w:val="20"/>
          <w:szCs w:val="20"/>
          <w:lang w:val="en-US"/>
        </w:rPr>
      </w:pPr>
      <w:r w:rsidRPr="00AE251A">
        <w:rPr>
          <w:b/>
        </w:rPr>
        <w:t>Fig. S</w:t>
      </w:r>
      <w:r w:rsidR="00A25814">
        <w:rPr>
          <w:b/>
        </w:rPr>
        <w:t>2</w:t>
      </w:r>
      <w:r>
        <w:rPr>
          <w:b/>
        </w:rPr>
        <w:t xml:space="preserve"> </w:t>
      </w:r>
      <w:r w:rsidRPr="00AE251A">
        <w:rPr>
          <w:b/>
        </w:rPr>
        <w:t>|</w:t>
      </w:r>
      <w:r w:rsidRPr="00AE251A">
        <w:t xml:space="preserve"> </w:t>
      </w:r>
      <w:r w:rsidR="005B3DFD">
        <w:t xml:space="preserve">Relative error </w:t>
      </w:r>
      <w:r w:rsidR="0013131E">
        <w:rPr>
          <w:szCs w:val="22"/>
        </w:rPr>
        <w:t xml:space="preserve">as a function of tree size for different modelling approaches </w:t>
      </w:r>
      <w:r w:rsidR="00D36E8B">
        <w:rPr>
          <w:szCs w:val="22"/>
        </w:rPr>
        <w:t xml:space="preserve">used to relate </w:t>
      </w:r>
      <w:r w:rsidR="00C40068">
        <w:rPr>
          <w:rFonts w:ascii="Tahoma" w:hAnsi="Tahoma" w:cs="Tahoma"/>
          <w:color w:val="000000"/>
          <w:sz w:val="20"/>
          <w:szCs w:val="20"/>
          <w:lang w:val="en-US"/>
        </w:rPr>
        <w:t>stem diameter to the product of tree height and crown diameter.</w:t>
      </w:r>
      <w:r w:rsidR="00D36E8B">
        <w:t xml:space="preserve"> </w:t>
      </w:r>
      <w:r w:rsidR="0013131E">
        <w:rPr>
          <w:szCs w:val="22"/>
        </w:rPr>
        <w:t xml:space="preserve">Relative errors were calculated for a random subset of trees corresponding to 10% of the entire database </w:t>
      </w:r>
      <w:r w:rsidR="0013131E" w:rsidRPr="00266E13">
        <w:t>(</w:t>
      </w:r>
      <w:r w:rsidR="0013131E" w:rsidRPr="00266E13">
        <w:rPr>
          <w:i/>
        </w:rPr>
        <w:t>n</w:t>
      </w:r>
      <w:r w:rsidR="0013131E" w:rsidRPr="00266E13">
        <w:t xml:space="preserve"> = </w:t>
      </w:r>
      <w:r w:rsidR="0013131E">
        <w:t>10875</w:t>
      </w:r>
      <w:r w:rsidR="0013131E" w:rsidRPr="00266E13">
        <w:t>)</w:t>
      </w:r>
      <w:r w:rsidR="0013131E">
        <w:t xml:space="preserve"> </w:t>
      </w:r>
      <w:r w:rsidR="0013131E">
        <w:rPr>
          <w:szCs w:val="22"/>
        </w:rPr>
        <w:t>which were used exclusively to validate the models</w:t>
      </w:r>
      <w:r w:rsidR="001013C5">
        <w:rPr>
          <w:szCs w:val="22"/>
        </w:rPr>
        <w:t>. This randomization procedure was repeated 100 times</w:t>
      </w:r>
      <w:r w:rsidR="00124669">
        <w:rPr>
          <w:szCs w:val="22"/>
        </w:rPr>
        <w:t>, and at each iteration r</w:t>
      </w:r>
      <w:r w:rsidR="0013131E">
        <w:rPr>
          <w:szCs w:val="22"/>
        </w:rPr>
        <w:t xml:space="preserve">egression splines </w:t>
      </w:r>
      <w:r w:rsidR="00124669">
        <w:rPr>
          <w:szCs w:val="22"/>
        </w:rPr>
        <w:t>were used to illustrate how the magnitude of the relative errors varies as a function of tree size for each modelling approach.</w:t>
      </w:r>
    </w:p>
    <w:p w:rsidR="00CA529A" w:rsidRDefault="00CA529A" w:rsidP="00CA529A">
      <w:pPr>
        <w:pStyle w:val="Maintext"/>
        <w:spacing w:line="360" w:lineRule="auto"/>
      </w:pPr>
      <w:r>
        <w:t xml:space="preserve">Based on the above results, we chose to use the data binning </w:t>
      </w:r>
      <w:r w:rsidR="0049518C">
        <w:t xml:space="preserve">approach </w:t>
      </w:r>
      <w:r w:rsidR="009034CD">
        <w:t>for modelling allometric relationships</w:t>
      </w:r>
      <w:r>
        <w:t>,</w:t>
      </w:r>
      <w:r w:rsidR="0095179D">
        <w:t xml:space="preserve"> as it proved the best suited for</w:t>
      </w:r>
      <w:r w:rsidR="009034CD">
        <w:t xml:space="preserve"> obtaining unbiased </w:t>
      </w:r>
      <w:r w:rsidR="0049518C">
        <w:t>estimates</w:t>
      </w:r>
      <w:r>
        <w:t xml:space="preserve"> of the response variable</w:t>
      </w:r>
      <w:r w:rsidR="0049518C">
        <w:t>.</w:t>
      </w:r>
      <w:r w:rsidR="00381A3E">
        <w:t xml:space="preserve"> </w:t>
      </w:r>
      <w:r w:rsidR="00721EE2">
        <w:t>However, t</w:t>
      </w:r>
      <w:r w:rsidR="008A554F">
        <w:t xml:space="preserve">o address the issue of model uncertainty </w:t>
      </w:r>
      <w:r w:rsidR="00E61375">
        <w:t xml:space="preserve">(i.e., the underestimation of </w:t>
      </w:r>
      <w:r w:rsidR="00E61375" w:rsidRPr="00381A3E">
        <w:rPr>
          <w:i/>
        </w:rPr>
        <w:t>σ</w:t>
      </w:r>
      <w:r w:rsidR="00E61375">
        <w:t xml:space="preserve">) </w:t>
      </w:r>
      <w:r w:rsidR="0010377A">
        <w:t xml:space="preserve">we provide a </w:t>
      </w:r>
      <w:r w:rsidR="00645D97">
        <w:t xml:space="preserve">simple </w:t>
      </w:r>
      <w:r w:rsidR="0010377A">
        <w:t xml:space="preserve">method for </w:t>
      </w:r>
      <w:r w:rsidR="00F54BCA">
        <w:t>capturing</w:t>
      </w:r>
      <w:r w:rsidR="0010377A">
        <w:t xml:space="preserve"> the </w:t>
      </w:r>
      <w:r w:rsidR="00082477">
        <w:t>true</w:t>
      </w:r>
      <w:r w:rsidR="004C6468">
        <w:t xml:space="preserve"> </w:t>
      </w:r>
      <w:r w:rsidR="00952BC2">
        <w:t>variability</w:t>
      </w:r>
      <w:r w:rsidR="00F54BCA">
        <w:t xml:space="preserve"> in </w:t>
      </w:r>
      <w:r w:rsidR="00F54BCA">
        <w:lastRenderedPageBreak/>
        <w:t xml:space="preserve">allometric scaling relationships among individual trees. </w:t>
      </w:r>
      <w:r w:rsidR="004C6468">
        <w:t xml:space="preserve">The method is based on the comparison of predicted and observed values </w:t>
      </w:r>
      <w:r w:rsidR="00645D97">
        <w:t xml:space="preserve">generated using </w:t>
      </w:r>
      <w:r w:rsidR="0095179D">
        <w:t>an</w:t>
      </w:r>
      <w:r w:rsidR="00247AF3">
        <w:t xml:space="preserve"> </w:t>
      </w:r>
      <w:r w:rsidR="00E61375">
        <w:t>independent validation dataset</w:t>
      </w:r>
      <w:r w:rsidR="00247AF3">
        <w:t xml:space="preserve">. </w:t>
      </w:r>
      <w:r w:rsidR="00645D97">
        <w:t>Here</w:t>
      </w:r>
      <w:r w:rsidR="00BF4D79">
        <w:t xml:space="preserve"> we describe the rationale</w:t>
      </w:r>
      <w:r w:rsidR="00645D97">
        <w:t xml:space="preserve"> behind the</w:t>
      </w:r>
      <w:r w:rsidR="00BF4D79">
        <w:t xml:space="preserve"> approach</w:t>
      </w:r>
      <w:r w:rsidR="00645D97">
        <w:t xml:space="preserve"> and illustrate how it can be used to robustly propagate the uncertainty in the model predictions. </w:t>
      </w:r>
      <w:r>
        <w:t>A</w:t>
      </w:r>
      <w:r w:rsidR="009578AD">
        <w:t>ppendix S5 provide</w:t>
      </w:r>
      <w:r w:rsidR="00F54BCA">
        <w:t>s</w:t>
      </w:r>
      <w:r w:rsidR="009578AD">
        <w:t xml:space="preserve"> R code </w:t>
      </w:r>
      <w:r w:rsidR="009454B3">
        <w:t>for implementing</w:t>
      </w:r>
      <w:r w:rsidR="009578AD">
        <w:t xml:space="preserve"> this analysis</w:t>
      </w:r>
      <w:r>
        <w:t>.</w:t>
      </w:r>
    </w:p>
    <w:p w:rsidR="00381A3E" w:rsidRPr="00C47726" w:rsidRDefault="009B6C8B" w:rsidP="00C47726">
      <w:pPr>
        <w:pStyle w:val="Maintext"/>
        <w:spacing w:line="360" w:lineRule="auto"/>
      </w:pPr>
      <w:r>
        <w:t xml:space="preserve">In the context of regression, prediction intervals are an estimate of the interval within which future observations are expected to fall, with a certain probability. For a given value of </w:t>
      </w:r>
      <w:r w:rsidR="00EE11E4">
        <w:t xml:space="preserve">the independent variable </w:t>
      </w:r>
      <w:r w:rsidR="00EE11E4" w:rsidRPr="00EE11E4">
        <w:rPr>
          <w:i/>
        </w:rPr>
        <w:t>x</w:t>
      </w:r>
      <w:r w:rsidR="00EE11E4">
        <w:t xml:space="preserve">, the 95% prediction interval for the predicted values of the response variable </w:t>
      </w:r>
      <w:r w:rsidR="00EE11E4" w:rsidRPr="00EE11E4">
        <w:rPr>
          <w:i/>
        </w:rPr>
        <w:t>y</w:t>
      </w:r>
      <w:r w:rsidR="00EE11E4">
        <w:t xml:space="preserve"> (</w:t>
      </w:r>
      <m:oMath>
        <m:acc>
          <m:accPr>
            <m:ctrlPr>
              <w:rPr>
                <w:rFonts w:ascii="Cambria Math" w:eastAsia="Calibri" w:hAnsi="Cambria Math"/>
                <w:i/>
                <w:szCs w:val="24"/>
              </w:rPr>
            </m:ctrlPr>
          </m:accPr>
          <m:e>
            <m:r>
              <w:rPr>
                <w:rFonts w:ascii="Cambria Math" w:eastAsia="Calibri" w:hAnsi="Cambria Math"/>
                <w:szCs w:val="24"/>
              </w:rPr>
              <m:t>y</m:t>
            </m:r>
          </m:e>
        </m:acc>
      </m:oMath>
      <w:r w:rsidR="00EE11E4">
        <w:t xml:space="preserve">) can be calculated as: </w:t>
      </w:r>
    </w:p>
    <w:tbl>
      <w:tblPr>
        <w:tblStyle w:val="TableGrid"/>
        <w:tblW w:w="8646"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7"/>
        <w:gridCol w:w="425"/>
        <w:gridCol w:w="1984"/>
      </w:tblGrid>
      <w:tr w:rsidR="00C47726" w:rsidRPr="002A3B04" w:rsidTr="00773B83">
        <w:tc>
          <w:tcPr>
            <w:tcW w:w="6237" w:type="dxa"/>
          </w:tcPr>
          <w:p w:rsidR="00C47726" w:rsidRPr="002A3B04" w:rsidRDefault="00572AD9" w:rsidP="00B17A2F">
            <w:pPr>
              <w:spacing w:before="240" w:after="360"/>
            </w:pPr>
            <m:oMathPara>
              <m:oMathParaPr>
                <m:jc m:val="left"/>
              </m:oMathParaPr>
              <m:oMath>
                <m:acc>
                  <m:accPr>
                    <m:ctrlPr>
                      <w:rPr>
                        <w:rFonts w:ascii="Cambria Math" w:eastAsia="Calibri" w:hAnsi="Cambria Math"/>
                        <w:i/>
                        <w:sz w:val="24"/>
                        <w:szCs w:val="24"/>
                      </w:rPr>
                    </m:ctrlPr>
                  </m:accPr>
                  <m:e>
                    <m:r>
                      <w:rPr>
                        <w:rFonts w:ascii="Cambria Math" w:eastAsia="Calibri" w:hAnsi="Cambria Math"/>
                        <w:sz w:val="24"/>
                        <w:szCs w:val="24"/>
                      </w:rPr>
                      <m:t>y</m:t>
                    </m:r>
                  </m:e>
                </m:acc>
                <m:r>
                  <w:rPr>
                    <w:rFonts w:ascii="Cambria Math" w:eastAsia="Calibri" w:hAnsi="Cambria Math"/>
                    <w:sz w:val="24"/>
                    <w:szCs w:val="24"/>
                  </w:rPr>
                  <m:t>±</m:t>
                </m:r>
                <m:sSup>
                  <m:sSupPr>
                    <m:ctrlPr>
                      <w:rPr>
                        <w:rFonts w:ascii="Cambria Math" w:eastAsia="Calibri" w:hAnsi="Cambria Math"/>
                        <w:i/>
                        <w:sz w:val="24"/>
                        <w:szCs w:val="24"/>
                      </w:rPr>
                    </m:ctrlPr>
                  </m:sSupPr>
                  <m:e>
                    <m:r>
                      <w:rPr>
                        <w:rFonts w:ascii="Cambria Math" w:eastAsia="Calibri" w:hAnsi="Cambria Math"/>
                        <w:sz w:val="24"/>
                        <w:szCs w:val="24"/>
                      </w:rPr>
                      <m:t>t</m:t>
                    </m:r>
                  </m:e>
                  <m:sup>
                    <m:r>
                      <w:rPr>
                        <w:rFonts w:ascii="Cambria Math" w:eastAsia="Calibri" w:hAnsi="Cambria Math"/>
                        <w:sz w:val="24"/>
                        <w:szCs w:val="24"/>
                      </w:rPr>
                      <m:t>*</m:t>
                    </m:r>
                  </m:sup>
                </m:sSup>
                <m:r>
                  <w:rPr>
                    <w:rFonts w:ascii="Cambria Math" w:eastAsia="Calibri" w:hAnsi="Cambria Math"/>
                    <w:sz w:val="24"/>
                    <w:szCs w:val="24"/>
                  </w:rPr>
                  <m:t>×σ</m:t>
                </m:r>
                <m:rad>
                  <m:radPr>
                    <m:degHide m:val="on"/>
                    <m:ctrlPr>
                      <w:rPr>
                        <w:rFonts w:ascii="Cambria Math" w:eastAsia="Calibri" w:hAnsi="Cambria Math"/>
                        <w:i/>
                        <w:sz w:val="24"/>
                        <w:szCs w:val="24"/>
                      </w:rPr>
                    </m:ctrlPr>
                  </m:radPr>
                  <m:deg/>
                  <m:e>
                    <m:r>
                      <w:rPr>
                        <w:rFonts w:ascii="Cambria Math" w:eastAsia="Calibri" w:hAnsi="Cambria Math"/>
                        <w:sz w:val="24"/>
                        <w:szCs w:val="24"/>
                      </w:rPr>
                      <m:t>1+</m:t>
                    </m:r>
                    <m:f>
                      <m:fPr>
                        <m:ctrlPr>
                          <w:rPr>
                            <w:rFonts w:ascii="Cambria Math" w:eastAsia="Calibri" w:hAnsi="Cambria Math"/>
                            <w:i/>
                            <w:sz w:val="24"/>
                            <w:szCs w:val="24"/>
                          </w:rPr>
                        </m:ctrlPr>
                      </m:fPr>
                      <m:num>
                        <m:r>
                          <w:rPr>
                            <w:rFonts w:ascii="Cambria Math" w:eastAsia="Calibri" w:hAnsi="Cambria Math"/>
                            <w:sz w:val="24"/>
                            <w:szCs w:val="24"/>
                          </w:rPr>
                          <m:t>1</m:t>
                        </m:r>
                      </m:num>
                      <m:den>
                        <m:r>
                          <w:rPr>
                            <w:rFonts w:ascii="Cambria Math" w:eastAsia="Calibri" w:hAnsi="Cambria Math"/>
                            <w:sz w:val="24"/>
                            <w:szCs w:val="24"/>
                          </w:rPr>
                          <m:t>n</m:t>
                        </m:r>
                      </m:den>
                    </m:f>
                    <m:r>
                      <w:rPr>
                        <w:rFonts w:ascii="Cambria Math" w:eastAsia="Calibri" w:hAnsi="Cambria Math"/>
                        <w:sz w:val="24"/>
                        <w:szCs w:val="24"/>
                      </w:rPr>
                      <m:t>+</m:t>
                    </m:r>
                    <m:f>
                      <m:fPr>
                        <m:ctrlPr>
                          <w:rPr>
                            <w:rFonts w:ascii="Cambria Math" w:eastAsia="Calibri" w:hAnsi="Cambria Math"/>
                            <w:i/>
                            <w:sz w:val="24"/>
                            <w:szCs w:val="24"/>
                          </w:rPr>
                        </m:ctrlPr>
                      </m:fPr>
                      <m:num>
                        <m:sSup>
                          <m:sSupPr>
                            <m:ctrlPr>
                              <w:rPr>
                                <w:rFonts w:ascii="Cambria Math" w:eastAsia="Calibri" w:hAnsi="Cambria Math"/>
                                <w:i/>
                                <w:sz w:val="24"/>
                                <w:szCs w:val="24"/>
                              </w:rPr>
                            </m:ctrlPr>
                          </m:sSupPr>
                          <m:e>
                            <m:d>
                              <m:dPr>
                                <m:ctrlPr>
                                  <w:rPr>
                                    <w:rFonts w:ascii="Cambria Math" w:eastAsia="Calibri" w:hAnsi="Cambria Math"/>
                                    <w:i/>
                                    <w:sz w:val="24"/>
                                    <w:szCs w:val="24"/>
                                  </w:rPr>
                                </m:ctrlPr>
                              </m:dPr>
                              <m:e>
                                <m:r>
                                  <w:rPr>
                                    <w:rFonts w:ascii="Cambria Math" w:eastAsia="Calibri" w:hAnsi="Cambria Math"/>
                                    <w:sz w:val="24"/>
                                    <w:szCs w:val="24"/>
                                  </w:rPr>
                                  <m:t>x-</m:t>
                                </m:r>
                                <m:acc>
                                  <m:accPr>
                                    <m:chr m:val="̅"/>
                                    <m:ctrlPr>
                                      <w:rPr>
                                        <w:rFonts w:ascii="Cambria Math" w:eastAsia="Calibri" w:hAnsi="Cambria Math"/>
                                        <w:i/>
                                        <w:sz w:val="24"/>
                                        <w:szCs w:val="24"/>
                                      </w:rPr>
                                    </m:ctrlPr>
                                  </m:accPr>
                                  <m:e>
                                    <m:r>
                                      <w:rPr>
                                        <w:rFonts w:ascii="Cambria Math" w:eastAsia="Calibri" w:hAnsi="Cambria Math"/>
                                        <w:sz w:val="24"/>
                                        <w:szCs w:val="24"/>
                                      </w:rPr>
                                      <m:t>x</m:t>
                                    </m:r>
                                  </m:e>
                                </m:acc>
                              </m:e>
                            </m:d>
                          </m:e>
                          <m:sup>
                            <m:r>
                              <w:rPr>
                                <w:rFonts w:ascii="Cambria Math" w:eastAsia="Calibri" w:hAnsi="Cambria Math"/>
                                <w:sz w:val="24"/>
                                <w:szCs w:val="24"/>
                              </w:rPr>
                              <m:t>2</m:t>
                            </m:r>
                          </m:sup>
                        </m:sSup>
                      </m:num>
                      <m:den>
                        <m:r>
                          <w:rPr>
                            <w:rFonts w:ascii="Cambria Math" w:eastAsia="Calibri" w:hAnsi="Cambria Math"/>
                            <w:sz w:val="24"/>
                            <w:szCs w:val="24"/>
                          </w:rPr>
                          <m:t>(n-1)×</m:t>
                        </m:r>
                        <m:sSubSup>
                          <m:sSubSupPr>
                            <m:ctrlPr>
                              <w:rPr>
                                <w:rFonts w:ascii="Cambria Math" w:eastAsia="Calibri" w:hAnsi="Cambria Math"/>
                                <w:i/>
                                <w:sz w:val="24"/>
                                <w:szCs w:val="24"/>
                              </w:rPr>
                            </m:ctrlPr>
                          </m:sSubSupPr>
                          <m:e>
                            <m:r>
                              <w:rPr>
                                <w:rFonts w:ascii="Cambria Math" w:eastAsia="Calibri" w:hAnsi="Cambria Math"/>
                                <w:sz w:val="24"/>
                                <w:szCs w:val="24"/>
                              </w:rPr>
                              <m:t>σ</m:t>
                            </m:r>
                          </m:e>
                          <m:sub>
                            <m:r>
                              <w:rPr>
                                <w:rFonts w:ascii="Cambria Math" w:eastAsia="Calibri" w:hAnsi="Cambria Math"/>
                                <w:sz w:val="24"/>
                                <w:szCs w:val="24"/>
                              </w:rPr>
                              <m:t>x</m:t>
                            </m:r>
                          </m:sub>
                          <m:sup>
                            <m:r>
                              <w:rPr>
                                <w:rFonts w:ascii="Cambria Math" w:eastAsia="Calibri" w:hAnsi="Cambria Math"/>
                                <w:sz w:val="24"/>
                                <w:szCs w:val="24"/>
                              </w:rPr>
                              <m:t>2</m:t>
                            </m:r>
                          </m:sup>
                        </m:sSubSup>
                      </m:den>
                    </m:f>
                  </m:e>
                </m:rad>
              </m:oMath>
            </m:oMathPara>
          </w:p>
        </w:tc>
        <w:tc>
          <w:tcPr>
            <w:tcW w:w="425" w:type="dxa"/>
          </w:tcPr>
          <w:p w:rsidR="00C47726" w:rsidRPr="002A3B04" w:rsidRDefault="00C47726" w:rsidP="00B17A2F">
            <w:pPr>
              <w:spacing w:before="360" w:after="360"/>
            </w:pPr>
          </w:p>
        </w:tc>
        <w:tc>
          <w:tcPr>
            <w:tcW w:w="1984" w:type="dxa"/>
            <w:vAlign w:val="center"/>
          </w:tcPr>
          <w:p w:rsidR="00C47726" w:rsidRPr="002A3B04" w:rsidRDefault="00C47726" w:rsidP="00B17A2F">
            <w:pPr>
              <w:spacing w:before="360" w:after="360"/>
              <w:jc w:val="right"/>
              <w:rPr>
                <w:sz w:val="24"/>
              </w:rPr>
            </w:pPr>
            <w:r w:rsidRPr="002A3B04">
              <w:rPr>
                <w:sz w:val="24"/>
              </w:rPr>
              <w:t>(</w:t>
            </w:r>
            <w:r w:rsidR="00773B83">
              <w:t>S1</w:t>
            </w:r>
            <w:r w:rsidRPr="002A3B04">
              <w:rPr>
                <w:sz w:val="24"/>
              </w:rPr>
              <w:t>)</w:t>
            </w:r>
          </w:p>
        </w:tc>
      </w:tr>
    </w:tbl>
    <w:p w:rsidR="007E0BFD" w:rsidRDefault="00564516" w:rsidP="00C3683D">
      <w:pPr>
        <w:pStyle w:val="Maintext"/>
        <w:spacing w:line="360" w:lineRule="auto"/>
        <w:rPr>
          <w:rFonts w:eastAsiaTheme="minorEastAsia"/>
          <w:szCs w:val="24"/>
        </w:rPr>
      </w:pPr>
      <w:r>
        <w:rPr>
          <w:rFonts w:eastAsiaTheme="minorEastAsia"/>
          <w:szCs w:val="24"/>
        </w:rPr>
        <w:t xml:space="preserve">where </w:t>
      </w:r>
      <w:r w:rsidRPr="00564516">
        <w:rPr>
          <w:rFonts w:eastAsiaTheme="minorEastAsia"/>
          <w:i/>
          <w:szCs w:val="24"/>
        </w:rPr>
        <w:t>t</w:t>
      </w:r>
      <w:r w:rsidRPr="00564516">
        <w:rPr>
          <w:rFonts w:eastAsiaTheme="minorEastAsia"/>
          <w:i/>
          <w:szCs w:val="24"/>
          <w:vertAlign w:val="superscript"/>
        </w:rPr>
        <w:t>*</w:t>
      </w:r>
      <w:r>
        <w:rPr>
          <w:rFonts w:eastAsiaTheme="minorEastAsia"/>
          <w:i/>
          <w:szCs w:val="24"/>
          <w:vertAlign w:val="superscript"/>
        </w:rPr>
        <w:t xml:space="preserve"> </w:t>
      </w:r>
      <w:r>
        <w:rPr>
          <w:rFonts w:eastAsiaTheme="minorEastAsia"/>
          <w:szCs w:val="24"/>
        </w:rPr>
        <w:t xml:space="preserve">is the critical value of the Student’s </w:t>
      </w:r>
      <w:r w:rsidRPr="00564516">
        <w:rPr>
          <w:rFonts w:eastAsiaTheme="minorEastAsia"/>
          <w:i/>
          <w:szCs w:val="24"/>
        </w:rPr>
        <w:t>t</w:t>
      </w:r>
      <w:r>
        <w:rPr>
          <w:rFonts w:eastAsiaTheme="minorEastAsia"/>
          <w:szCs w:val="24"/>
        </w:rPr>
        <w:t xml:space="preserve"> distribution (which </w:t>
      </w:r>
      <w:r w:rsidR="00C3683D">
        <w:rPr>
          <w:rFonts w:eastAsiaTheme="minorEastAsia"/>
          <w:szCs w:val="24"/>
        </w:rPr>
        <w:t>will depend</w:t>
      </w:r>
      <w:r>
        <w:rPr>
          <w:rFonts w:eastAsiaTheme="minorEastAsia"/>
          <w:szCs w:val="24"/>
        </w:rPr>
        <w:t xml:space="preserve"> on the </w:t>
      </w:r>
      <w:r w:rsidR="00C3683D">
        <w:rPr>
          <w:rFonts w:eastAsiaTheme="minorEastAsia"/>
          <w:szCs w:val="24"/>
        </w:rPr>
        <w:t xml:space="preserve">desired </w:t>
      </w:r>
      <w:r>
        <w:rPr>
          <w:rFonts w:eastAsiaTheme="minorEastAsia"/>
          <w:szCs w:val="24"/>
        </w:rPr>
        <w:t xml:space="preserve">significance level and on the degrees of freedom), </w:t>
      </w:r>
      <w:r w:rsidRPr="00C3683D">
        <w:rPr>
          <w:rFonts w:eastAsiaTheme="minorEastAsia"/>
          <w:i/>
          <w:szCs w:val="24"/>
        </w:rPr>
        <w:t>n</w:t>
      </w:r>
      <w:r>
        <w:rPr>
          <w:rFonts w:eastAsiaTheme="minorEastAsia"/>
          <w:szCs w:val="24"/>
        </w:rPr>
        <w:t xml:space="preserve"> is the number of observation,</w:t>
      </w:r>
      <w:r w:rsidR="00124669">
        <w:rPr>
          <w:rFonts w:eastAsiaTheme="minorEastAsia"/>
          <w:szCs w:val="24"/>
        </w:rPr>
        <w:t xml:space="preserve"> </w:t>
      </w:r>
      <m:oMath>
        <m:acc>
          <m:accPr>
            <m:chr m:val="̅"/>
            <m:ctrlPr>
              <w:rPr>
                <w:rFonts w:ascii="Cambria Math" w:eastAsia="Calibri" w:hAnsi="Cambria Math"/>
                <w:i/>
                <w:szCs w:val="24"/>
              </w:rPr>
            </m:ctrlPr>
          </m:accPr>
          <m:e>
            <m:r>
              <w:rPr>
                <w:rFonts w:ascii="Cambria Math" w:eastAsia="Calibri" w:hAnsi="Cambria Math"/>
                <w:szCs w:val="24"/>
              </w:rPr>
              <m:t>x</m:t>
            </m:r>
          </m:e>
        </m:acc>
        <m:r>
          <w:rPr>
            <w:rFonts w:ascii="Cambria Math" w:eastAsiaTheme="minorEastAsia" w:hAnsi="Cambria Math"/>
            <w:szCs w:val="24"/>
          </w:rPr>
          <m:t xml:space="preserve"> </m:t>
        </m:r>
      </m:oMath>
      <w:r w:rsidR="00124669">
        <w:rPr>
          <w:rFonts w:eastAsiaTheme="minorEastAsia"/>
          <w:szCs w:val="24"/>
        </w:rPr>
        <w:t xml:space="preserve">is the mean value of </w:t>
      </w:r>
      <w:r w:rsidR="00124669" w:rsidRPr="00C3683D">
        <w:rPr>
          <w:rFonts w:eastAsiaTheme="minorEastAsia"/>
          <w:i/>
          <w:szCs w:val="24"/>
        </w:rPr>
        <w:t>x</w:t>
      </w:r>
      <w:r w:rsidR="00124669">
        <w:rPr>
          <w:rFonts w:eastAsiaTheme="minorEastAsia"/>
          <w:szCs w:val="24"/>
        </w:rPr>
        <w:t>,</w:t>
      </w:r>
      <w:r>
        <w:rPr>
          <w:rFonts w:eastAsiaTheme="minorEastAsia"/>
          <w:szCs w:val="24"/>
        </w:rPr>
        <w:t xml:space="preserve"> </w:t>
      </w:r>
      <w:proofErr w:type="spellStart"/>
      <w:r w:rsidR="00C3683D" w:rsidRPr="00381A3E">
        <w:rPr>
          <w:i/>
        </w:rPr>
        <w:t>σ</w:t>
      </w:r>
      <w:r w:rsidR="00C3683D">
        <w:rPr>
          <w:i/>
          <w:vertAlign w:val="subscript"/>
        </w:rPr>
        <w:t>x</w:t>
      </w:r>
      <w:proofErr w:type="spellEnd"/>
      <w:r w:rsidR="00C3683D">
        <w:rPr>
          <w:rFonts w:eastAsiaTheme="minorEastAsia"/>
          <w:szCs w:val="24"/>
        </w:rPr>
        <w:t xml:space="preserve"> is standard deviation of </w:t>
      </w:r>
      <w:r w:rsidR="00C3683D" w:rsidRPr="00C3683D">
        <w:rPr>
          <w:rFonts w:eastAsiaTheme="minorEastAsia"/>
          <w:i/>
          <w:szCs w:val="24"/>
        </w:rPr>
        <w:t>x</w:t>
      </w:r>
      <w:r w:rsidR="00C3683D">
        <w:rPr>
          <w:rFonts w:eastAsiaTheme="minorEastAsia"/>
          <w:szCs w:val="24"/>
        </w:rPr>
        <w:t xml:space="preserve">, and </w:t>
      </w:r>
      <w:r w:rsidR="00C3683D" w:rsidRPr="00381A3E">
        <w:rPr>
          <w:i/>
        </w:rPr>
        <w:t>σ</w:t>
      </w:r>
      <w:r w:rsidR="00C3683D">
        <w:rPr>
          <w:rFonts w:eastAsiaTheme="minorEastAsia"/>
          <w:szCs w:val="24"/>
        </w:rPr>
        <w:t xml:space="preserve"> is the standard deviation of the residuals</w:t>
      </w:r>
      <w:r w:rsidR="004B7E0D">
        <w:rPr>
          <w:rFonts w:eastAsiaTheme="minorEastAsia"/>
          <w:szCs w:val="24"/>
        </w:rPr>
        <w:t xml:space="preserve"> which is given by: </w:t>
      </w:r>
    </w:p>
    <w:tbl>
      <w:tblPr>
        <w:tblStyle w:val="TableGrid"/>
        <w:tblW w:w="8646"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7"/>
        <w:gridCol w:w="425"/>
        <w:gridCol w:w="1984"/>
      </w:tblGrid>
      <w:tr w:rsidR="00835753" w:rsidRPr="002A3B04" w:rsidTr="00C75F24">
        <w:tc>
          <w:tcPr>
            <w:tcW w:w="6237" w:type="dxa"/>
          </w:tcPr>
          <w:p w:rsidR="00835753" w:rsidRPr="002A3B04" w:rsidRDefault="00835753" w:rsidP="00B17A2F">
            <w:pPr>
              <w:spacing w:before="240" w:after="360"/>
            </w:pPr>
            <m:oMathPara>
              <m:oMathParaPr>
                <m:jc m:val="left"/>
              </m:oMathParaPr>
              <m:oMath>
                <m:r>
                  <w:rPr>
                    <w:rFonts w:ascii="Cambria Math" w:hAnsi="Cambria Math"/>
                  </w:rPr>
                  <m:t>σ=</m:t>
                </m:r>
                <m:rad>
                  <m:radPr>
                    <m:degHide m:val="on"/>
                    <m:ctrlPr>
                      <w:rPr>
                        <w:rFonts w:ascii="Cambria Math" w:hAnsi="Cambria Math"/>
                        <w:i/>
                      </w:rPr>
                    </m:ctrlPr>
                  </m:radPr>
                  <m:deg/>
                  <m:e>
                    <m:f>
                      <m:fPr>
                        <m:ctrlPr>
                          <w:rPr>
                            <w:rFonts w:ascii="Cambria Math" w:hAnsi="Cambria Math"/>
                            <w:i/>
                          </w:rPr>
                        </m:ctrlPr>
                      </m:fPr>
                      <m:num>
                        <m:nary>
                          <m:naryPr>
                            <m:chr m:val="∑"/>
                            <m:limLoc m:val="undOvr"/>
                            <m:subHide m:val="on"/>
                            <m:supHide m:val="on"/>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r>
                          <w:rPr>
                            <w:rFonts w:ascii="Cambria Math" w:hAnsi="Cambria Math"/>
                          </w:rPr>
                          <m:t>n-2</m:t>
                        </m:r>
                      </m:den>
                    </m:f>
                  </m:e>
                </m:rad>
              </m:oMath>
            </m:oMathPara>
          </w:p>
        </w:tc>
        <w:tc>
          <w:tcPr>
            <w:tcW w:w="425" w:type="dxa"/>
          </w:tcPr>
          <w:p w:rsidR="00835753" w:rsidRPr="002A3B04" w:rsidRDefault="00835753" w:rsidP="00B17A2F">
            <w:pPr>
              <w:spacing w:before="240" w:after="360"/>
            </w:pPr>
          </w:p>
        </w:tc>
        <w:tc>
          <w:tcPr>
            <w:tcW w:w="1984" w:type="dxa"/>
            <w:vAlign w:val="center"/>
          </w:tcPr>
          <w:p w:rsidR="00835753" w:rsidRPr="002A3B04" w:rsidRDefault="00835753" w:rsidP="00B17A2F">
            <w:pPr>
              <w:spacing w:before="240" w:after="360"/>
              <w:jc w:val="right"/>
              <w:rPr>
                <w:sz w:val="24"/>
              </w:rPr>
            </w:pPr>
            <w:r w:rsidRPr="002A3B04">
              <w:rPr>
                <w:sz w:val="24"/>
              </w:rPr>
              <w:t>(</w:t>
            </w:r>
            <w:r>
              <w:t>S2</w:t>
            </w:r>
            <w:r w:rsidRPr="002A3B04">
              <w:rPr>
                <w:sz w:val="24"/>
              </w:rPr>
              <w:t>)</w:t>
            </w:r>
          </w:p>
        </w:tc>
      </w:tr>
    </w:tbl>
    <w:p w:rsidR="00820CFE" w:rsidRDefault="001D7152" w:rsidP="00FA40EF">
      <w:pPr>
        <w:pStyle w:val="Maintext"/>
        <w:spacing w:line="360" w:lineRule="auto"/>
        <w:rPr>
          <w:rFonts w:eastAsiaTheme="minorEastAsia"/>
          <w:szCs w:val="24"/>
        </w:rPr>
      </w:pPr>
      <w:r>
        <w:rPr>
          <w:rFonts w:eastAsiaTheme="minorEastAsia"/>
          <w:szCs w:val="24"/>
        </w:rPr>
        <w:t xml:space="preserve">In the case of the data binning approach, the issue with obtaining realistic </w:t>
      </w:r>
      <w:r>
        <w:t xml:space="preserve">prediction intervals is that </w:t>
      </w:r>
      <w:r w:rsidRPr="00381A3E">
        <w:rPr>
          <w:i/>
        </w:rPr>
        <w:t>σ</w:t>
      </w:r>
      <w:r>
        <w:t xml:space="preserve"> will</w:t>
      </w:r>
      <w:r>
        <w:rPr>
          <w:rFonts w:eastAsiaTheme="minorEastAsia"/>
          <w:szCs w:val="24"/>
        </w:rPr>
        <w:t xml:space="preserve"> almost inevitably be severely underestimated</w:t>
      </w:r>
      <w:r w:rsidR="007C600B">
        <w:rPr>
          <w:rFonts w:eastAsiaTheme="minorEastAsia"/>
          <w:szCs w:val="24"/>
        </w:rPr>
        <w:t xml:space="preserve"> – thereby resulting in overly narrow prediction intervals </w:t>
      </w:r>
      <w:r>
        <w:rPr>
          <w:rFonts w:eastAsiaTheme="minorEastAsia"/>
          <w:szCs w:val="24"/>
        </w:rPr>
        <w:t>(see dotted black lines in Fig. S3)</w:t>
      </w:r>
      <w:r w:rsidR="007C600B">
        <w:rPr>
          <w:rFonts w:eastAsiaTheme="minorEastAsia"/>
          <w:szCs w:val="24"/>
        </w:rPr>
        <w:t xml:space="preserve">. </w:t>
      </w:r>
      <w:r w:rsidR="007E0BFD">
        <w:rPr>
          <w:rFonts w:eastAsiaTheme="minorEastAsia"/>
          <w:szCs w:val="24"/>
        </w:rPr>
        <w:t xml:space="preserve">This is because the difference between </w:t>
      </w:r>
      <w:r w:rsidR="00835753">
        <w:rPr>
          <w:rFonts w:eastAsiaTheme="minorEastAsia"/>
          <w:szCs w:val="24"/>
        </w:rPr>
        <w:t>observ</w:t>
      </w:r>
      <w:r w:rsidR="00B17A2F">
        <w:rPr>
          <w:rFonts w:eastAsiaTheme="minorEastAsia"/>
          <w:szCs w:val="24"/>
        </w:rPr>
        <w:t>ed</w:t>
      </w:r>
      <w:r w:rsidR="00835753">
        <w:rPr>
          <w:rFonts w:eastAsiaTheme="minorEastAsia"/>
          <w:szCs w:val="24"/>
        </w:rPr>
        <w:t xml:space="preserve"> and fitted values (</w:t>
      </w:r>
      <w:r w:rsidR="00B17A2F">
        <w:rPr>
          <w:rFonts w:eastAsiaTheme="minorEastAsia"/>
          <w:szCs w:val="24"/>
        </w:rPr>
        <w:t>i.e., the residuals</w:t>
      </w:r>
      <w:proofErr w:type="gramStart"/>
      <w:r w:rsidR="00B17A2F">
        <w:rPr>
          <w:rFonts w:eastAsiaTheme="minorEastAsia"/>
          <w:szCs w:val="24"/>
        </w:rPr>
        <w:t>;</w:t>
      </w:r>
      <w:r w:rsidR="00835753">
        <w:rPr>
          <w:rFonts w:eastAsiaTheme="minorEastAsia"/>
          <w:szCs w:val="24"/>
        </w:rPr>
        <w:t xml:space="preserve"> </w:t>
      </w:r>
      <m:oMath>
        <w:proofErr w:type="gramEn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835753">
        <w:rPr>
          <w:rFonts w:eastAsiaTheme="minorEastAsia"/>
          <w:szCs w:val="24"/>
        </w:rPr>
        <w:t>)</w:t>
      </w:r>
      <w:r w:rsidR="007E0BFD">
        <w:rPr>
          <w:rFonts w:eastAsiaTheme="minorEastAsia"/>
          <w:szCs w:val="24"/>
        </w:rPr>
        <w:t xml:space="preserve"> </w:t>
      </w:r>
      <w:r w:rsidR="00835753">
        <w:rPr>
          <w:rFonts w:eastAsiaTheme="minorEastAsia"/>
          <w:szCs w:val="24"/>
        </w:rPr>
        <w:t>is being calculated not for individual trees, but for</w:t>
      </w:r>
      <w:r w:rsidR="00986D03">
        <w:rPr>
          <w:rFonts w:eastAsiaTheme="minorEastAsia"/>
          <w:szCs w:val="24"/>
        </w:rPr>
        <w:t xml:space="preserve"> mean </w:t>
      </w:r>
      <w:r w:rsidR="00166F80">
        <w:rPr>
          <w:rFonts w:eastAsiaTheme="minorEastAsia"/>
          <w:szCs w:val="24"/>
        </w:rPr>
        <w:t xml:space="preserve">binned </w:t>
      </w:r>
      <w:r w:rsidR="00986D03">
        <w:rPr>
          <w:rFonts w:eastAsiaTheme="minorEastAsia"/>
          <w:szCs w:val="24"/>
        </w:rPr>
        <w:t>values</w:t>
      </w:r>
      <w:r w:rsidR="00B17A2F">
        <w:rPr>
          <w:rFonts w:eastAsiaTheme="minorEastAsia"/>
          <w:szCs w:val="24"/>
        </w:rPr>
        <w:t xml:space="preserve"> (which inevitably mask tree-level variation in allometric parameters)</w:t>
      </w:r>
      <w:r w:rsidR="00986D03">
        <w:rPr>
          <w:rFonts w:eastAsiaTheme="minorEastAsia"/>
          <w:szCs w:val="24"/>
        </w:rPr>
        <w:t xml:space="preserve">. However, </w:t>
      </w:r>
      <w:r w:rsidR="00166F80">
        <w:rPr>
          <w:rFonts w:eastAsiaTheme="minorEastAsia"/>
          <w:szCs w:val="24"/>
        </w:rPr>
        <w:t xml:space="preserve">taking advantage of </w:t>
      </w:r>
      <w:r w:rsidR="00986D03">
        <w:rPr>
          <w:rFonts w:eastAsiaTheme="minorEastAsia"/>
          <w:szCs w:val="24"/>
        </w:rPr>
        <w:t>the independent dataset (the 10% of trees set aside for model validation)</w:t>
      </w:r>
      <w:r w:rsidR="002F6A97">
        <w:rPr>
          <w:rFonts w:eastAsiaTheme="minorEastAsia"/>
          <w:szCs w:val="24"/>
        </w:rPr>
        <w:t>,</w:t>
      </w:r>
      <w:r w:rsidR="00986D03">
        <w:rPr>
          <w:rFonts w:eastAsiaTheme="minorEastAsia"/>
          <w:szCs w:val="24"/>
        </w:rPr>
        <w:t xml:space="preserve"> </w:t>
      </w:r>
      <w:r w:rsidR="002F6A97">
        <w:rPr>
          <w:rFonts w:eastAsiaTheme="minorEastAsia"/>
          <w:szCs w:val="24"/>
        </w:rPr>
        <w:t xml:space="preserve">we can compare </w:t>
      </w:r>
      <w:r w:rsidR="00166F80">
        <w:rPr>
          <w:rFonts w:eastAsiaTheme="minorEastAsia"/>
          <w:szCs w:val="24"/>
        </w:rPr>
        <w:t>predicted</w:t>
      </w:r>
      <w:r w:rsidR="002F6A97">
        <w:rPr>
          <w:rFonts w:eastAsiaTheme="minorEastAsia"/>
          <w:szCs w:val="24"/>
        </w:rPr>
        <w:t xml:space="preserve"> and </w:t>
      </w:r>
      <w:r w:rsidR="00166F80">
        <w:rPr>
          <w:rFonts w:eastAsiaTheme="minorEastAsia"/>
          <w:szCs w:val="24"/>
        </w:rPr>
        <w:t>observed</w:t>
      </w:r>
      <w:r w:rsidR="002F6A97">
        <w:rPr>
          <w:rFonts w:eastAsiaTheme="minorEastAsia"/>
          <w:szCs w:val="24"/>
        </w:rPr>
        <w:t xml:space="preserve"> value of </w:t>
      </w:r>
      <w:r w:rsidR="00166F80" w:rsidRPr="00166F80">
        <w:rPr>
          <w:rFonts w:eastAsiaTheme="minorEastAsia"/>
          <w:i/>
          <w:szCs w:val="24"/>
        </w:rPr>
        <w:t>D</w:t>
      </w:r>
      <w:r w:rsidR="00166F80">
        <w:rPr>
          <w:rFonts w:eastAsiaTheme="minorEastAsia"/>
          <w:szCs w:val="24"/>
        </w:rPr>
        <w:t xml:space="preserve"> generated for individual trees</w:t>
      </w:r>
      <w:r w:rsidR="00820CFE">
        <w:rPr>
          <w:rFonts w:eastAsiaTheme="minorEastAsia"/>
          <w:szCs w:val="24"/>
        </w:rPr>
        <w:t xml:space="preserve"> </w:t>
      </w:r>
      <w:r w:rsidR="00166F80">
        <w:rPr>
          <w:rFonts w:eastAsiaTheme="minorEastAsia"/>
          <w:szCs w:val="24"/>
        </w:rPr>
        <w:t>to get a much more realistic estimate of</w:t>
      </w:r>
      <w:r w:rsidR="002C3EC7">
        <w:rPr>
          <w:rFonts w:eastAsiaTheme="minorEastAsia"/>
          <w:szCs w:val="24"/>
        </w:rPr>
        <w:t xml:space="preserve"> the true value of</w:t>
      </w:r>
      <w:r w:rsidR="00E76863">
        <w:rPr>
          <w:rFonts w:eastAsiaTheme="minorEastAsia"/>
          <w:szCs w:val="24"/>
        </w:rPr>
        <w:t xml:space="preserve"> </w:t>
      </w:r>
      <w:r w:rsidR="00E76863" w:rsidRPr="00381A3E">
        <w:rPr>
          <w:i/>
        </w:rPr>
        <w:t>σ</w:t>
      </w:r>
      <w:r w:rsidR="00E76863">
        <w:rPr>
          <w:rFonts w:eastAsiaTheme="minorEastAsia"/>
          <w:szCs w:val="24"/>
        </w:rPr>
        <w:t xml:space="preserve"> (</w:t>
      </w:r>
      <w:r w:rsidR="00820CFE">
        <w:rPr>
          <w:rFonts w:eastAsiaTheme="minorEastAsia"/>
          <w:szCs w:val="24"/>
        </w:rPr>
        <w:t>which we refer</w:t>
      </w:r>
      <w:r w:rsidR="00E76863">
        <w:rPr>
          <w:rFonts w:eastAsiaTheme="minorEastAsia"/>
          <w:szCs w:val="24"/>
        </w:rPr>
        <w:t xml:space="preserve"> to as </w:t>
      </w:r>
      <w:proofErr w:type="spellStart"/>
      <w:r w:rsidR="00E76863" w:rsidRPr="00381A3E">
        <w:rPr>
          <w:i/>
        </w:rPr>
        <w:t>σ</w:t>
      </w:r>
      <w:r w:rsidR="00A562EE">
        <w:rPr>
          <w:rFonts w:eastAsiaTheme="minorEastAsia"/>
          <w:i/>
          <w:szCs w:val="24"/>
          <w:vertAlign w:val="subscript"/>
        </w:rPr>
        <w:t>v</w:t>
      </w:r>
      <w:proofErr w:type="spellEnd"/>
      <w:r w:rsidR="00E76863">
        <w:rPr>
          <w:rFonts w:eastAsiaTheme="minorEastAsia"/>
          <w:szCs w:val="24"/>
        </w:rPr>
        <w:t>)</w:t>
      </w:r>
      <w:r w:rsidR="00820CFE">
        <w:rPr>
          <w:rFonts w:eastAsiaTheme="minorEastAsia"/>
          <w:szCs w:val="24"/>
        </w:rPr>
        <w:t>:</w:t>
      </w:r>
      <w:r w:rsidR="002C3EC7">
        <w:rPr>
          <w:rFonts w:eastAsiaTheme="minorEastAsia"/>
          <w:szCs w:val="24"/>
        </w:rPr>
        <w:t xml:space="preserve"> </w:t>
      </w:r>
    </w:p>
    <w:tbl>
      <w:tblPr>
        <w:tblStyle w:val="TableGrid"/>
        <w:tblW w:w="8646"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7"/>
        <w:gridCol w:w="425"/>
        <w:gridCol w:w="1984"/>
      </w:tblGrid>
      <w:tr w:rsidR="00820CFE" w:rsidRPr="002A3B04" w:rsidTr="00C75F24">
        <w:tc>
          <w:tcPr>
            <w:tcW w:w="6237" w:type="dxa"/>
          </w:tcPr>
          <w:p w:rsidR="00820CFE" w:rsidRPr="002A3B04" w:rsidRDefault="00572AD9" w:rsidP="00820CFE">
            <w:pPr>
              <w:spacing w:before="240" w:after="36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nary>
                          <m:naryPr>
                            <m:chr m:val="∑"/>
                            <m:limLoc m:val="undOvr"/>
                            <m:subHide m:val="on"/>
                            <m:supHide m:val="on"/>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obs</m:t>
                                            </m:r>
                                          </m:sub>
                                        </m:sSub>
                                      </m:e>
                                    </m:d>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pred</m:t>
                                            </m:r>
                                          </m:sub>
                                        </m:sSub>
                                      </m:e>
                                    </m:d>
                                  </m:e>
                                </m:d>
                              </m:e>
                              <m:sup>
                                <m:r>
                                  <w:rPr>
                                    <w:rFonts w:ascii="Cambria Math" w:hAnsi="Cambria Math"/>
                                  </w:rPr>
                                  <m:t>2</m:t>
                                </m:r>
                              </m:sup>
                            </m:sSup>
                          </m:e>
                        </m:nary>
                      </m:num>
                      <m:den>
                        <m:r>
                          <w:rPr>
                            <w:rFonts w:ascii="Cambria Math" w:hAnsi="Cambria Math"/>
                          </w:rPr>
                          <m:t>n-2</m:t>
                        </m:r>
                      </m:den>
                    </m:f>
                  </m:e>
                </m:rad>
              </m:oMath>
            </m:oMathPara>
          </w:p>
        </w:tc>
        <w:tc>
          <w:tcPr>
            <w:tcW w:w="425" w:type="dxa"/>
          </w:tcPr>
          <w:p w:rsidR="00820CFE" w:rsidRPr="002A3B04" w:rsidRDefault="00820CFE" w:rsidP="00C75F24">
            <w:pPr>
              <w:spacing w:before="240" w:after="360"/>
            </w:pPr>
          </w:p>
        </w:tc>
        <w:tc>
          <w:tcPr>
            <w:tcW w:w="1984" w:type="dxa"/>
            <w:vAlign w:val="center"/>
          </w:tcPr>
          <w:p w:rsidR="00820CFE" w:rsidRPr="002A3B04" w:rsidRDefault="00820CFE" w:rsidP="00820CFE">
            <w:pPr>
              <w:spacing w:before="240" w:after="360"/>
              <w:jc w:val="right"/>
              <w:rPr>
                <w:sz w:val="24"/>
              </w:rPr>
            </w:pPr>
            <w:r w:rsidRPr="002A3B04">
              <w:rPr>
                <w:sz w:val="24"/>
              </w:rPr>
              <w:t>(</w:t>
            </w:r>
            <w:r>
              <w:t>S3</w:t>
            </w:r>
            <w:r w:rsidRPr="002A3B04">
              <w:rPr>
                <w:sz w:val="24"/>
              </w:rPr>
              <w:t>)</w:t>
            </w:r>
          </w:p>
        </w:tc>
      </w:tr>
    </w:tbl>
    <w:p w:rsidR="0013131E" w:rsidRPr="00FA40EF" w:rsidRDefault="002C3EC7" w:rsidP="00FA40EF">
      <w:pPr>
        <w:pStyle w:val="Maintext"/>
        <w:spacing w:line="360" w:lineRule="auto"/>
        <w:rPr>
          <w:rFonts w:eastAsiaTheme="minorEastAsia"/>
          <w:szCs w:val="24"/>
        </w:rPr>
      </w:pPr>
      <w:r>
        <w:rPr>
          <w:rFonts w:eastAsiaTheme="minorEastAsia"/>
          <w:szCs w:val="24"/>
        </w:rPr>
        <w:t>Using this simple approach we were able to generate realistic predic</w:t>
      </w:r>
      <w:r w:rsidR="00924AEB">
        <w:rPr>
          <w:rFonts w:eastAsiaTheme="minorEastAsia"/>
          <w:szCs w:val="24"/>
        </w:rPr>
        <w:t>tion intervals for models fit</w:t>
      </w:r>
      <w:r>
        <w:rPr>
          <w:rFonts w:eastAsiaTheme="minorEastAsia"/>
          <w:szCs w:val="24"/>
        </w:rPr>
        <w:t xml:space="preserve"> using the data </w:t>
      </w:r>
      <w:r w:rsidR="00FA40EF">
        <w:rPr>
          <w:rFonts w:eastAsiaTheme="minorEastAsia"/>
          <w:szCs w:val="24"/>
        </w:rPr>
        <w:t>binning</w:t>
      </w:r>
      <w:r>
        <w:rPr>
          <w:rFonts w:eastAsiaTheme="minorEastAsia"/>
          <w:szCs w:val="24"/>
        </w:rPr>
        <w:t xml:space="preserve"> </w:t>
      </w:r>
      <w:r w:rsidR="00FA40EF">
        <w:rPr>
          <w:rFonts w:eastAsiaTheme="minorEastAsia"/>
          <w:szCs w:val="24"/>
        </w:rPr>
        <w:t>approach</w:t>
      </w:r>
      <w:r>
        <w:rPr>
          <w:rFonts w:eastAsiaTheme="minorEastAsia"/>
          <w:szCs w:val="24"/>
        </w:rPr>
        <w:t xml:space="preserve"> (</w:t>
      </w:r>
      <w:r w:rsidR="00FA40EF">
        <w:rPr>
          <w:rFonts w:eastAsiaTheme="minorEastAsia"/>
          <w:szCs w:val="24"/>
        </w:rPr>
        <w:t>see dashed blue lines in Fig. S3</w:t>
      </w:r>
      <w:r>
        <w:rPr>
          <w:rFonts w:eastAsiaTheme="minorEastAsia"/>
          <w:szCs w:val="24"/>
        </w:rPr>
        <w:t>).</w:t>
      </w:r>
    </w:p>
    <w:p w:rsidR="00591B21" w:rsidRDefault="00591B21" w:rsidP="00D36E8B">
      <w:pPr>
        <w:pStyle w:val="Figure"/>
        <w:jc w:val="center"/>
      </w:pPr>
      <w:r w:rsidRPr="00591B21">
        <w:rPr>
          <w:noProof/>
          <w:lang w:val="en-US"/>
        </w:rPr>
        <w:drawing>
          <wp:inline distT="0" distB="0" distL="0" distR="0">
            <wp:extent cx="3600000" cy="3600000"/>
            <wp:effectExtent l="0" t="0" r="0" b="0"/>
            <wp:docPr id="6" name="Picture 6" descr="C:\Users\Tommaso\ownCloud\PostDoc\BALI project\Sepilok biomass\D-H allometries\Figures and tables\Fig. S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aso\ownCloud\PostDoc\BALI project\Sepilok biomass\D-H allometries\Figures and tables\Fig. S3.tif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0000" cy="3600000"/>
                    </a:xfrm>
                    <a:prstGeom prst="rect">
                      <a:avLst/>
                    </a:prstGeom>
                    <a:noFill/>
                    <a:ln>
                      <a:noFill/>
                    </a:ln>
                  </pic:spPr>
                </pic:pic>
              </a:graphicData>
            </a:graphic>
          </wp:inline>
        </w:drawing>
      </w:r>
    </w:p>
    <w:p w:rsidR="000B270C" w:rsidRDefault="00D36E8B" w:rsidP="00D36E8B">
      <w:pPr>
        <w:pStyle w:val="Figure"/>
      </w:pPr>
      <w:r w:rsidRPr="004B7E0D">
        <w:rPr>
          <w:b/>
        </w:rPr>
        <w:t>Fig. S3 |</w:t>
      </w:r>
      <w:r w:rsidRPr="004B7E0D">
        <w:t xml:space="preserve"> </w:t>
      </w:r>
      <w:r w:rsidR="00C95CE6" w:rsidRPr="004B7E0D">
        <w:t>Prediction intervals for the r</w:t>
      </w:r>
      <w:r w:rsidRPr="004B7E0D">
        <w:t xml:space="preserve">elationship between stem diameter and the product of tree height and crown diameter. </w:t>
      </w:r>
      <w:r w:rsidR="00C95CE6" w:rsidRPr="004B7E0D">
        <w:t>G</w:t>
      </w:r>
      <w:r w:rsidRPr="004B7E0D">
        <w:t xml:space="preserve">rey points </w:t>
      </w:r>
      <w:r w:rsidR="00C95CE6" w:rsidRPr="004B7E0D">
        <w:t xml:space="preserve">are individual trees </w:t>
      </w:r>
      <w:r w:rsidR="007C600B" w:rsidRPr="004B7E0D">
        <w:t>(</w:t>
      </w:r>
      <w:r w:rsidR="007C600B" w:rsidRPr="004B7E0D">
        <w:rPr>
          <w:i/>
        </w:rPr>
        <w:t>n</w:t>
      </w:r>
      <w:r w:rsidR="007C600B" w:rsidRPr="004B7E0D">
        <w:t xml:space="preserve"> = 10875; corresponding to 10% of the database which was used </w:t>
      </w:r>
      <w:r w:rsidR="007C600B" w:rsidRPr="004B7E0D">
        <w:rPr>
          <w:szCs w:val="22"/>
        </w:rPr>
        <w:t xml:space="preserve">exclusively </w:t>
      </w:r>
      <w:r w:rsidR="007C600B" w:rsidRPr="004B7E0D">
        <w:t>as a validation dataset)</w:t>
      </w:r>
      <w:r w:rsidR="00C95CE6" w:rsidRPr="004B7E0D">
        <w:t xml:space="preserve">. The continuous orange line </w:t>
      </w:r>
      <w:r w:rsidR="00941466" w:rsidRPr="004B7E0D">
        <w:t>is</w:t>
      </w:r>
      <w:r w:rsidR="007C600B" w:rsidRPr="004B7E0D">
        <w:t xml:space="preserve"> the line of best fit </w:t>
      </w:r>
      <w:r w:rsidR="009B37E3">
        <w:t>obtained</w:t>
      </w:r>
      <w:r w:rsidR="007C600B" w:rsidRPr="004B7E0D">
        <w:t xml:space="preserve"> using the data binning approach. </w:t>
      </w:r>
      <w:r w:rsidR="00C47726" w:rsidRPr="004B7E0D">
        <w:t xml:space="preserve">The dotted black lines show the range of the 95% prediction intervals </w:t>
      </w:r>
      <w:r w:rsidR="00773B83" w:rsidRPr="004B7E0D">
        <w:t xml:space="preserve">calculated using the estimated value of </w:t>
      </w:r>
      <w:r w:rsidR="00773B83" w:rsidRPr="004B7E0D">
        <w:rPr>
          <w:i/>
        </w:rPr>
        <w:t>σ</w:t>
      </w:r>
      <w:r w:rsidR="00773B83" w:rsidRPr="004B7E0D">
        <w:t xml:space="preserve"> obtained directly from the binned model (</w:t>
      </w:r>
      <w:r w:rsidR="00A72F21" w:rsidRPr="004B7E0D">
        <w:rPr>
          <w:i/>
        </w:rPr>
        <w:t>σ</w:t>
      </w:r>
      <w:r w:rsidR="00A72F21" w:rsidRPr="004B7E0D">
        <w:t xml:space="preserve"> </w:t>
      </w:r>
      <w:r w:rsidR="00A72F21">
        <w:t xml:space="preserve">= </w:t>
      </w:r>
      <w:r w:rsidR="00773B83" w:rsidRPr="004B7E0D">
        <w:t>0.056 in this case). In contrast, the dashed lines in blue are the 95% prediction intervals</w:t>
      </w:r>
      <w:r w:rsidR="004B7E0D" w:rsidRPr="004B7E0D">
        <w:t xml:space="preserve"> obtained</w:t>
      </w:r>
      <w:r w:rsidR="000B270C">
        <w:t xml:space="preserve"> when using the independent validation dataset to estimate </w:t>
      </w:r>
      <w:proofErr w:type="spellStart"/>
      <w:r w:rsidR="00A72F21" w:rsidRPr="00381A3E">
        <w:rPr>
          <w:i/>
        </w:rPr>
        <w:t>σ</w:t>
      </w:r>
      <w:r w:rsidR="00A562EE">
        <w:rPr>
          <w:rFonts w:eastAsiaTheme="minorEastAsia"/>
          <w:i/>
          <w:vertAlign w:val="subscript"/>
        </w:rPr>
        <w:t>v</w:t>
      </w:r>
      <w:proofErr w:type="spellEnd"/>
      <w:r w:rsidR="00A72F21">
        <w:t xml:space="preserve"> </w:t>
      </w:r>
      <w:r w:rsidR="000B270C">
        <w:t>as described in equation S3</w:t>
      </w:r>
      <w:r w:rsidR="00A72F21">
        <w:t xml:space="preserve"> (</w:t>
      </w:r>
      <w:proofErr w:type="spellStart"/>
      <w:r w:rsidR="00A72F21" w:rsidRPr="00381A3E">
        <w:rPr>
          <w:i/>
        </w:rPr>
        <w:t>σ</w:t>
      </w:r>
      <w:r w:rsidR="00A562EE">
        <w:rPr>
          <w:rFonts w:eastAsiaTheme="minorEastAsia"/>
          <w:i/>
          <w:vertAlign w:val="subscript"/>
        </w:rPr>
        <w:t>v</w:t>
      </w:r>
      <w:proofErr w:type="spellEnd"/>
      <w:r w:rsidR="00A72F21">
        <w:t xml:space="preserve"> = 0.45 in this case)</w:t>
      </w:r>
      <w:r w:rsidR="00A82BC7">
        <w:t>.</w:t>
      </w:r>
    </w:p>
    <w:p w:rsidR="00773B83" w:rsidRPr="004B7E0D" w:rsidRDefault="004B7E0D" w:rsidP="000B270C">
      <w:pPr>
        <w:pStyle w:val="Figure"/>
      </w:pPr>
      <w:r w:rsidRPr="004B7E0D">
        <w:t xml:space="preserve"> </w:t>
      </w:r>
    </w:p>
    <w:p w:rsidR="00917D23" w:rsidRDefault="00917D23">
      <w:pPr>
        <w:jc w:val="left"/>
        <w:rPr>
          <w:rFonts w:eastAsiaTheme="majorEastAsia"/>
          <w:b/>
          <w:bCs/>
          <w:szCs w:val="26"/>
        </w:rPr>
      </w:pPr>
      <w:r>
        <w:br w:type="page"/>
      </w:r>
    </w:p>
    <w:p w:rsidR="00646542" w:rsidRDefault="00646542" w:rsidP="00646542">
      <w:pPr>
        <w:pStyle w:val="Heading2"/>
      </w:pPr>
      <w:bookmarkStart w:id="5" w:name="_Toc452798014"/>
      <w:r w:rsidRPr="00922D00">
        <w:lastRenderedPageBreak/>
        <w:t>Appendix S</w:t>
      </w:r>
      <w:r w:rsidR="007B715A">
        <w:t>3</w:t>
      </w:r>
      <w:r>
        <w:t xml:space="preserve"> </w:t>
      </w:r>
      <w:r w:rsidRPr="00922D00">
        <w:t xml:space="preserve">| </w:t>
      </w:r>
      <w:r w:rsidR="005D2D83">
        <w:t>Diameter m</w:t>
      </w:r>
      <w:r>
        <w:t>odel comparison</w:t>
      </w:r>
      <w:bookmarkEnd w:id="5"/>
    </w:p>
    <w:p w:rsidR="00344851" w:rsidRDefault="00344851" w:rsidP="00344851">
      <w:pPr>
        <w:rPr>
          <w:sz w:val="22"/>
        </w:rPr>
      </w:pPr>
      <w:r w:rsidRPr="00344851">
        <w:rPr>
          <w:b/>
          <w:sz w:val="22"/>
        </w:rPr>
        <w:t>Table S2 |</w:t>
      </w:r>
      <w:r w:rsidRPr="00344851">
        <w:rPr>
          <w:sz w:val="22"/>
        </w:rPr>
        <w:t xml:space="preserve"> Comparison of the predictive accuracy of allometric models. For each model, the root mean square error (RMSE), average systematic bias</w:t>
      </w:r>
      <w:r w:rsidR="007F0305">
        <w:rPr>
          <w:sz w:val="22"/>
        </w:rPr>
        <w:t xml:space="preserve">, </w:t>
      </w:r>
      <w:r w:rsidRPr="00344851">
        <w:rPr>
          <w:sz w:val="22"/>
        </w:rPr>
        <w:t>average tree-level coefficient of variation (CV)</w:t>
      </w:r>
      <w:r w:rsidR="007F0305">
        <w:rPr>
          <w:sz w:val="22"/>
        </w:rPr>
        <w:t xml:space="preserve">, </w:t>
      </w:r>
      <w:r w:rsidR="00CF5015">
        <w:rPr>
          <w:sz w:val="22"/>
        </w:rPr>
        <w:t>coefficient of determination</w:t>
      </w:r>
      <w:r w:rsidR="007F0305">
        <w:rPr>
          <w:sz w:val="22"/>
        </w:rPr>
        <w:t xml:space="preserve"> (</w:t>
      </w:r>
      <w:r w:rsidR="007F0305" w:rsidRPr="007F0305">
        <w:rPr>
          <w:i/>
          <w:sz w:val="22"/>
        </w:rPr>
        <w:t>R</w:t>
      </w:r>
      <w:r w:rsidR="007F0305" w:rsidRPr="007F0305">
        <w:rPr>
          <w:sz w:val="22"/>
          <w:vertAlign w:val="superscript"/>
        </w:rPr>
        <w:t>2</w:t>
      </w:r>
      <w:r w:rsidR="003B2D22">
        <w:rPr>
          <w:sz w:val="22"/>
        </w:rPr>
        <w:t xml:space="preserve">; calculated as </w:t>
      </w:r>
      <m:oMath>
        <m:r>
          <m:rPr>
            <m:sty m:val="p"/>
          </m:rPr>
          <w:rPr>
            <w:rFonts w:ascii="Cambria Math" w:hAnsi="Cambria Math"/>
          </w:rPr>
          <m:t>1-</m:t>
        </m:r>
        <m:f>
          <m:fPr>
            <m:ctrlPr>
              <w:rPr>
                <w:rFonts w:ascii="Cambria Math" w:hAnsi="Cambria Math"/>
              </w:rPr>
            </m:ctrlPr>
          </m:fPr>
          <m:num>
            <m:nary>
              <m:naryPr>
                <m:chr m:val="∑"/>
                <m:limLoc m:val="undOvr"/>
                <m:subHide m:val="on"/>
                <m:supHide m:val="on"/>
                <m:ctrlPr>
                  <w:rPr>
                    <w:rFonts w:ascii="Cambria Math" w:eastAsia="Times New Roman" w:hAnsi="Cambria Math"/>
                    <w:i/>
                    <w:sz w:val="22"/>
                    <w:szCs w:val="22"/>
                    <w:lang w:eastAsia="it-IT"/>
                  </w:rPr>
                </m:ctrlPr>
              </m:naryPr>
              <m:sub/>
              <m:sup/>
              <m:e>
                <m:sSup>
                  <m:sSupPr>
                    <m:ctrlPr>
                      <w:rPr>
                        <w:rFonts w:ascii="Cambria Math" w:eastAsia="Times New Roman" w:hAnsi="Cambria Math"/>
                        <w:i/>
                        <w:sz w:val="22"/>
                        <w:szCs w:val="22"/>
                        <w:lang w:eastAsia="it-IT"/>
                      </w:rPr>
                    </m:ctrlPr>
                  </m:sSupPr>
                  <m:e>
                    <m:d>
                      <m:dPr>
                        <m:ctrlPr>
                          <w:rPr>
                            <w:rFonts w:ascii="Cambria Math" w:eastAsia="Times New Roman" w:hAnsi="Cambria Math"/>
                            <w:i/>
                            <w:sz w:val="22"/>
                            <w:szCs w:val="22"/>
                            <w:lang w:eastAsia="it-IT"/>
                          </w:rPr>
                        </m:ctrlPr>
                      </m:dPr>
                      <m:e>
                        <m:sSub>
                          <m:sSubPr>
                            <m:ctrlPr>
                              <w:rPr>
                                <w:rFonts w:ascii="Cambria Math" w:hAnsi="Cambria Math"/>
                              </w:rPr>
                            </m:ctrlPr>
                          </m:sSubPr>
                          <m:e>
                            <m:r>
                              <w:rPr>
                                <w:rFonts w:ascii="Cambria Math" w:hAnsi="Cambria Math"/>
                              </w:rPr>
                              <m:t>D</m:t>
                            </m:r>
                          </m:e>
                          <m:sub>
                            <m:r>
                              <w:rPr>
                                <w:rFonts w:ascii="Cambria Math" w:hAnsi="Cambria Math"/>
                              </w:rPr>
                              <m:t>obs</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pred</m:t>
                            </m:r>
                          </m:sub>
                        </m:sSub>
                      </m:e>
                    </m:d>
                  </m:e>
                  <m:sup>
                    <m:r>
                      <w:rPr>
                        <w:rFonts w:ascii="Cambria Math" w:hAnsi="Cambria Math"/>
                      </w:rPr>
                      <m:t>2</m:t>
                    </m:r>
                  </m:sup>
                </m:sSup>
              </m:e>
            </m:nary>
          </m:num>
          <m:den>
            <m:nary>
              <m:naryPr>
                <m:chr m:val="∑"/>
                <m:limLoc m:val="undOvr"/>
                <m:subHide m:val="on"/>
                <m:supHide m:val="on"/>
                <m:ctrlPr>
                  <w:rPr>
                    <w:rFonts w:ascii="Cambria Math" w:eastAsia="Times New Roman" w:hAnsi="Cambria Math"/>
                    <w:i/>
                    <w:sz w:val="22"/>
                    <w:szCs w:val="22"/>
                    <w:lang w:eastAsia="it-IT"/>
                  </w:rPr>
                </m:ctrlPr>
              </m:naryPr>
              <m:sub/>
              <m:sup/>
              <m:e>
                <m:sSup>
                  <m:sSupPr>
                    <m:ctrlPr>
                      <w:rPr>
                        <w:rFonts w:ascii="Cambria Math" w:eastAsia="Times New Roman" w:hAnsi="Cambria Math"/>
                        <w:i/>
                        <w:sz w:val="22"/>
                        <w:szCs w:val="22"/>
                        <w:lang w:eastAsia="it-IT"/>
                      </w:rPr>
                    </m:ctrlPr>
                  </m:sSupPr>
                  <m:e>
                    <m:d>
                      <m:dPr>
                        <m:ctrlPr>
                          <w:rPr>
                            <w:rFonts w:ascii="Cambria Math" w:eastAsia="Times New Roman" w:hAnsi="Cambria Math"/>
                            <w:i/>
                            <w:sz w:val="22"/>
                            <w:szCs w:val="22"/>
                            <w:lang w:eastAsia="it-IT"/>
                          </w:rPr>
                        </m:ctrlPr>
                      </m:dPr>
                      <m:e>
                        <m:sSub>
                          <m:sSubPr>
                            <m:ctrlPr>
                              <w:rPr>
                                <w:rFonts w:ascii="Cambria Math" w:hAnsi="Cambria Math"/>
                              </w:rPr>
                            </m:ctrlPr>
                          </m:sSubPr>
                          <m:e>
                            <m:r>
                              <w:rPr>
                                <w:rFonts w:ascii="Cambria Math" w:hAnsi="Cambria Math"/>
                              </w:rPr>
                              <m:t>D</m:t>
                            </m:r>
                          </m:e>
                          <m:sub>
                            <m:r>
                              <w:rPr>
                                <w:rFonts w:ascii="Cambria Math" w:hAnsi="Cambria Math"/>
                              </w:rPr>
                              <m:t>obs</m:t>
                            </m:r>
                          </m:sub>
                        </m:sSub>
                        <m:r>
                          <m:rPr>
                            <m:sty m:val="p"/>
                          </m:rPr>
                          <w:rPr>
                            <w:rFonts w:ascii="Cambria Math" w:hAnsi="Cambria Math"/>
                          </w:rPr>
                          <m:t>-</m:t>
                        </m:r>
                        <m:acc>
                          <m:accPr>
                            <m:chr m:val="̅"/>
                            <m:ctrlPr>
                              <w:rPr>
                                <w:rFonts w:ascii="Cambria Math" w:eastAsia="Times New Roman" w:hAnsi="Cambria Math"/>
                                <w:sz w:val="22"/>
                                <w:szCs w:val="22"/>
                                <w:lang w:eastAsia="it-IT"/>
                              </w:rPr>
                            </m:ctrlPr>
                          </m:accPr>
                          <m:e>
                            <m:sSub>
                              <m:sSubPr>
                                <m:ctrlPr>
                                  <w:rPr>
                                    <w:rFonts w:ascii="Cambria Math" w:hAnsi="Cambria Math"/>
                                  </w:rPr>
                                </m:ctrlPr>
                              </m:sSubPr>
                              <m:e>
                                <m:r>
                                  <w:rPr>
                                    <w:rFonts w:ascii="Cambria Math" w:hAnsi="Cambria Math"/>
                                  </w:rPr>
                                  <m:t>D</m:t>
                                </m:r>
                              </m:e>
                              <m:sub>
                                <m:r>
                                  <w:rPr>
                                    <w:rFonts w:ascii="Cambria Math" w:hAnsi="Cambria Math"/>
                                  </w:rPr>
                                  <m:t>obs</m:t>
                                </m:r>
                              </m:sub>
                            </m:sSub>
                          </m:e>
                        </m:acc>
                      </m:e>
                    </m:d>
                  </m:e>
                  <m:sup>
                    <m:r>
                      <w:rPr>
                        <w:rFonts w:ascii="Cambria Math" w:hAnsi="Cambria Math"/>
                      </w:rPr>
                      <m:t>2</m:t>
                    </m:r>
                  </m:sup>
                </m:sSup>
              </m:e>
            </m:nary>
          </m:den>
        </m:f>
      </m:oMath>
      <w:r w:rsidR="007F0305" w:rsidRPr="003B2D22">
        <w:rPr>
          <w:sz w:val="22"/>
        </w:rPr>
        <w:t>)</w:t>
      </w:r>
      <w:r w:rsidR="008C1027">
        <w:rPr>
          <w:sz w:val="22"/>
        </w:rPr>
        <w:t>,</w:t>
      </w:r>
      <w:r w:rsidR="007F0305">
        <w:rPr>
          <w:sz w:val="22"/>
        </w:rPr>
        <w:t xml:space="preserve"> and standard deviation of predicted </w:t>
      </w:r>
      <w:r w:rsidR="007F0305" w:rsidRPr="007F0305">
        <w:rPr>
          <w:i/>
          <w:sz w:val="22"/>
        </w:rPr>
        <w:t>vs</w:t>
      </w:r>
      <w:r w:rsidR="007F0305">
        <w:rPr>
          <w:sz w:val="22"/>
        </w:rPr>
        <w:t xml:space="preserve"> observed values (</w:t>
      </w:r>
      <w:proofErr w:type="spellStart"/>
      <w:r w:rsidR="007F0305" w:rsidRPr="006F0B0F">
        <w:rPr>
          <w:i/>
        </w:rPr>
        <w:t>σ</w:t>
      </w:r>
      <w:r w:rsidR="00A562EE" w:rsidRPr="00A562EE">
        <w:rPr>
          <w:i/>
          <w:sz w:val="22"/>
          <w:vertAlign w:val="subscript"/>
        </w:rPr>
        <w:t>v</w:t>
      </w:r>
      <w:proofErr w:type="spellEnd"/>
      <w:r w:rsidR="007F0305">
        <w:rPr>
          <w:sz w:val="22"/>
        </w:rPr>
        <w:t>)</w:t>
      </w:r>
      <w:r w:rsidR="00CF5015">
        <w:rPr>
          <w:sz w:val="22"/>
        </w:rPr>
        <w:t xml:space="preserve"> </w:t>
      </w:r>
      <w:r w:rsidRPr="00344851">
        <w:rPr>
          <w:sz w:val="22"/>
        </w:rPr>
        <w:t>were calculated on an independent validation dataset corresponding to 10% of trees selected at random. This randomi</w:t>
      </w:r>
      <w:r w:rsidR="00584F92">
        <w:rPr>
          <w:sz w:val="22"/>
        </w:rPr>
        <w:t>zation procedure was repeated 1</w:t>
      </w:r>
      <w:r w:rsidRPr="00344851">
        <w:rPr>
          <w:sz w:val="22"/>
        </w:rPr>
        <w:t xml:space="preserve">00 times </w:t>
      </w:r>
      <w:r w:rsidR="007F0305">
        <w:rPr>
          <w:sz w:val="22"/>
        </w:rPr>
        <w:t xml:space="preserve">and </w:t>
      </w:r>
      <w:r w:rsidR="00CF5015">
        <w:rPr>
          <w:sz w:val="22"/>
        </w:rPr>
        <w:t>for each metric the mean value across the 1</w:t>
      </w:r>
      <w:r w:rsidR="00CD5621">
        <w:rPr>
          <w:sz w:val="22"/>
        </w:rPr>
        <w:t>0</w:t>
      </w:r>
      <w:r w:rsidR="00CF5015">
        <w:rPr>
          <w:sz w:val="22"/>
        </w:rPr>
        <w:t xml:space="preserve">0 iterations was calculated </w:t>
      </w:r>
      <w:r w:rsidR="00443066">
        <w:rPr>
          <w:sz w:val="22"/>
        </w:rPr>
        <w:t xml:space="preserve">(for RMSE, bias and CV, the ±95% </w:t>
      </w:r>
      <w:r w:rsidR="001235C9">
        <w:rPr>
          <w:sz w:val="22"/>
        </w:rPr>
        <w:t xml:space="preserve">range </w:t>
      </w:r>
      <w:r w:rsidR="00443066">
        <w:rPr>
          <w:sz w:val="22"/>
        </w:rPr>
        <w:t xml:space="preserve">is reported in brackets). </w:t>
      </w:r>
      <w:r w:rsidRPr="00344851">
        <w:rPr>
          <w:sz w:val="22"/>
        </w:rPr>
        <w:t xml:space="preserve">In Model </w:t>
      </w:r>
      <w:r w:rsidR="00E7108F">
        <w:rPr>
          <w:sz w:val="22"/>
        </w:rPr>
        <w:t>5</w:t>
      </w:r>
      <w:r w:rsidRPr="00344851">
        <w:rPr>
          <w:sz w:val="22"/>
        </w:rPr>
        <w:t xml:space="preserve"> separate intercepts (</w:t>
      </w:r>
      <w:r w:rsidRPr="00344851">
        <w:rPr>
          <w:i/>
          <w:sz w:val="22"/>
        </w:rPr>
        <w:t>α</w:t>
      </w:r>
      <w:r w:rsidRPr="00344851">
        <w:rPr>
          <w:sz w:val="22"/>
        </w:rPr>
        <w:t>) and slopes (</w:t>
      </w:r>
      <w:r w:rsidRPr="00344851">
        <w:rPr>
          <w:i/>
          <w:sz w:val="22"/>
        </w:rPr>
        <w:t>β</w:t>
      </w:r>
      <w:r w:rsidRPr="00344851">
        <w:rPr>
          <w:sz w:val="22"/>
        </w:rPr>
        <w:t xml:space="preserve">) were estimated for each </w:t>
      </w:r>
      <w:proofErr w:type="spellStart"/>
      <w:r w:rsidRPr="00344851">
        <w:rPr>
          <w:sz w:val="22"/>
        </w:rPr>
        <w:t>biogeographic</w:t>
      </w:r>
      <w:proofErr w:type="spellEnd"/>
      <w:r w:rsidRPr="00344851">
        <w:rPr>
          <w:sz w:val="22"/>
        </w:rPr>
        <w:t xml:space="preserve"> region </w:t>
      </w:r>
      <w:proofErr w:type="spellStart"/>
      <w:r w:rsidRPr="00344851">
        <w:rPr>
          <w:i/>
          <w:sz w:val="22"/>
        </w:rPr>
        <w:t>i</w:t>
      </w:r>
      <w:proofErr w:type="spellEnd"/>
      <w:r w:rsidRPr="00344851">
        <w:rPr>
          <w:sz w:val="22"/>
        </w:rPr>
        <w:t xml:space="preserve"> and forest type </w:t>
      </w:r>
      <w:r w:rsidRPr="00344851">
        <w:rPr>
          <w:i/>
          <w:sz w:val="22"/>
        </w:rPr>
        <w:t>j</w:t>
      </w:r>
      <w:r w:rsidR="00E7108F">
        <w:rPr>
          <w:sz w:val="22"/>
        </w:rPr>
        <w:t>, while Model 6</w:t>
      </w:r>
      <w:r w:rsidRPr="00344851">
        <w:rPr>
          <w:sz w:val="22"/>
        </w:rPr>
        <w:t xml:space="preserve"> further allowed </w:t>
      </w:r>
      <w:r w:rsidRPr="00344851">
        <w:rPr>
          <w:i/>
          <w:sz w:val="22"/>
        </w:rPr>
        <w:t>α</w:t>
      </w:r>
      <w:r w:rsidRPr="00344851">
        <w:rPr>
          <w:sz w:val="22"/>
        </w:rPr>
        <w:t xml:space="preserve"> and </w:t>
      </w:r>
      <w:r w:rsidRPr="00344851">
        <w:rPr>
          <w:i/>
          <w:sz w:val="22"/>
        </w:rPr>
        <w:t>β</w:t>
      </w:r>
      <w:r w:rsidRPr="00344851">
        <w:rPr>
          <w:sz w:val="22"/>
        </w:rPr>
        <w:t xml:space="preserve"> to vary among the </w:t>
      </w:r>
      <w:r w:rsidRPr="00344851">
        <w:rPr>
          <w:i/>
          <w:sz w:val="22"/>
        </w:rPr>
        <w:t>k</w:t>
      </w:r>
      <w:r w:rsidRPr="00344851">
        <w:rPr>
          <w:sz w:val="22"/>
        </w:rPr>
        <w:t xml:space="preserve"> functional groups (i.e., angiosperms and gymnosperms).</w:t>
      </w:r>
    </w:p>
    <w:tbl>
      <w:tblPr>
        <w:tblW w:w="8931" w:type="dxa"/>
        <w:tblInd w:w="108" w:type="dxa"/>
        <w:tblLook w:val="04A0"/>
      </w:tblPr>
      <w:tblGrid>
        <w:gridCol w:w="860"/>
        <w:gridCol w:w="2968"/>
        <w:gridCol w:w="1362"/>
        <w:gridCol w:w="1331"/>
        <w:gridCol w:w="1200"/>
        <w:gridCol w:w="700"/>
        <w:gridCol w:w="601"/>
      </w:tblGrid>
      <w:tr w:rsidR="00443066" w:rsidRPr="00443066" w:rsidTr="00443066">
        <w:trPr>
          <w:trHeight w:val="330"/>
        </w:trPr>
        <w:tc>
          <w:tcPr>
            <w:tcW w:w="860" w:type="dxa"/>
            <w:tcBorders>
              <w:top w:val="single" w:sz="4" w:space="0" w:color="auto"/>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left"/>
              <w:rPr>
                <w:rFonts w:eastAsia="Times New Roman"/>
                <w:b/>
                <w:bCs/>
                <w:color w:val="000000"/>
                <w:lang w:eastAsia="en-GB"/>
              </w:rPr>
            </w:pPr>
            <w:r w:rsidRPr="00443066">
              <w:rPr>
                <w:rFonts w:eastAsia="Times New Roman"/>
                <w:b/>
                <w:bCs/>
                <w:color w:val="000000"/>
                <w:sz w:val="22"/>
                <w:szCs w:val="22"/>
                <w:lang w:eastAsia="en-GB"/>
              </w:rPr>
              <w:t>Model</w:t>
            </w:r>
          </w:p>
        </w:tc>
        <w:tc>
          <w:tcPr>
            <w:tcW w:w="2968" w:type="dxa"/>
            <w:tcBorders>
              <w:top w:val="single" w:sz="4" w:space="0" w:color="auto"/>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left"/>
              <w:rPr>
                <w:rFonts w:eastAsia="Times New Roman"/>
                <w:b/>
                <w:bCs/>
                <w:color w:val="000000"/>
                <w:lang w:eastAsia="en-GB"/>
              </w:rPr>
            </w:pPr>
            <w:r w:rsidRPr="00443066">
              <w:rPr>
                <w:rFonts w:eastAsia="Times New Roman"/>
                <w:b/>
                <w:bCs/>
                <w:color w:val="000000"/>
                <w:sz w:val="22"/>
                <w:szCs w:val="22"/>
                <w:lang w:eastAsia="en-GB"/>
              </w:rPr>
              <w:t>Model structure</w:t>
            </w:r>
          </w:p>
        </w:tc>
        <w:tc>
          <w:tcPr>
            <w:tcW w:w="1362" w:type="dxa"/>
            <w:tcBorders>
              <w:top w:val="single" w:sz="4" w:space="0" w:color="auto"/>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b/>
                <w:bCs/>
                <w:color w:val="000000"/>
                <w:lang w:eastAsia="en-GB"/>
              </w:rPr>
            </w:pPr>
            <w:r w:rsidRPr="00443066">
              <w:rPr>
                <w:rFonts w:eastAsia="Times New Roman"/>
                <w:b/>
                <w:bCs/>
                <w:color w:val="000000"/>
                <w:sz w:val="22"/>
                <w:szCs w:val="22"/>
                <w:lang w:eastAsia="en-GB"/>
              </w:rPr>
              <w:t>RMSE (cm)</w:t>
            </w:r>
          </w:p>
        </w:tc>
        <w:tc>
          <w:tcPr>
            <w:tcW w:w="1331" w:type="dxa"/>
            <w:tcBorders>
              <w:top w:val="single" w:sz="4" w:space="0" w:color="auto"/>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b/>
                <w:bCs/>
                <w:color w:val="000000"/>
                <w:lang w:eastAsia="en-GB"/>
              </w:rPr>
            </w:pPr>
            <w:r w:rsidRPr="00443066">
              <w:rPr>
                <w:rFonts w:eastAsia="Times New Roman"/>
                <w:b/>
                <w:bCs/>
                <w:color w:val="000000"/>
                <w:sz w:val="22"/>
                <w:szCs w:val="22"/>
                <w:lang w:eastAsia="en-GB"/>
              </w:rPr>
              <w:t>Bias (%)</w:t>
            </w:r>
          </w:p>
        </w:tc>
        <w:tc>
          <w:tcPr>
            <w:tcW w:w="1200" w:type="dxa"/>
            <w:tcBorders>
              <w:top w:val="single" w:sz="4" w:space="0" w:color="auto"/>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b/>
                <w:bCs/>
                <w:color w:val="000000"/>
                <w:lang w:eastAsia="en-GB"/>
              </w:rPr>
            </w:pPr>
            <w:r w:rsidRPr="00443066">
              <w:rPr>
                <w:rFonts w:eastAsia="Times New Roman"/>
                <w:b/>
                <w:bCs/>
                <w:color w:val="000000"/>
                <w:sz w:val="22"/>
                <w:szCs w:val="22"/>
                <w:lang w:eastAsia="en-GB"/>
              </w:rPr>
              <w:t>CV (%)</w:t>
            </w:r>
          </w:p>
        </w:tc>
        <w:tc>
          <w:tcPr>
            <w:tcW w:w="700" w:type="dxa"/>
            <w:tcBorders>
              <w:top w:val="single" w:sz="4" w:space="0" w:color="auto"/>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b/>
                <w:bCs/>
                <w:color w:val="000000"/>
                <w:lang w:eastAsia="en-GB"/>
              </w:rPr>
            </w:pPr>
            <w:r w:rsidRPr="00443066">
              <w:rPr>
                <w:rFonts w:eastAsia="Times New Roman"/>
                <w:b/>
                <w:bCs/>
                <w:i/>
                <w:iCs/>
                <w:color w:val="000000"/>
                <w:sz w:val="22"/>
                <w:szCs w:val="22"/>
                <w:lang w:eastAsia="en-GB"/>
              </w:rPr>
              <w:t>R</w:t>
            </w:r>
            <w:r w:rsidRPr="00443066">
              <w:rPr>
                <w:rFonts w:eastAsia="Times New Roman"/>
                <w:b/>
                <w:bCs/>
                <w:color w:val="000000"/>
                <w:sz w:val="22"/>
                <w:szCs w:val="22"/>
                <w:vertAlign w:val="superscript"/>
                <w:lang w:eastAsia="en-GB"/>
              </w:rPr>
              <w:t>2</w:t>
            </w:r>
          </w:p>
        </w:tc>
        <w:tc>
          <w:tcPr>
            <w:tcW w:w="510" w:type="dxa"/>
            <w:tcBorders>
              <w:top w:val="single" w:sz="4" w:space="0" w:color="auto"/>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b/>
                <w:bCs/>
                <w:i/>
                <w:iCs/>
                <w:color w:val="000000"/>
                <w:lang w:eastAsia="en-GB"/>
              </w:rPr>
            </w:pPr>
            <w:proofErr w:type="spellStart"/>
            <w:r w:rsidRPr="00443066">
              <w:rPr>
                <w:rFonts w:eastAsia="Times New Roman"/>
                <w:b/>
                <w:bCs/>
                <w:i/>
                <w:iCs/>
                <w:color w:val="000000"/>
                <w:sz w:val="22"/>
                <w:szCs w:val="22"/>
                <w:lang w:eastAsia="en-GB"/>
              </w:rPr>
              <w:t>σ</w:t>
            </w:r>
            <w:r w:rsidRPr="00443066">
              <w:rPr>
                <w:rFonts w:eastAsia="Times New Roman"/>
                <w:b/>
                <w:bCs/>
                <w:i/>
                <w:iCs/>
                <w:color w:val="000000"/>
                <w:sz w:val="22"/>
                <w:szCs w:val="22"/>
                <w:vertAlign w:val="subscript"/>
                <w:lang w:eastAsia="en-GB"/>
              </w:rPr>
              <w:t>v</w:t>
            </w:r>
            <w:proofErr w:type="spellEnd"/>
          </w:p>
        </w:tc>
      </w:tr>
      <w:tr w:rsidR="00443066" w:rsidRPr="00443066" w:rsidTr="00443066">
        <w:trPr>
          <w:trHeight w:val="300"/>
        </w:trPr>
        <w:tc>
          <w:tcPr>
            <w:tcW w:w="86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lang w:eastAsia="en-GB"/>
              </w:rPr>
            </w:pPr>
            <w:r w:rsidRPr="00443066">
              <w:rPr>
                <w:rFonts w:eastAsia="Times New Roman"/>
                <w:color w:val="000000"/>
                <w:sz w:val="22"/>
                <w:szCs w:val="22"/>
                <w:lang w:eastAsia="en-GB"/>
              </w:rPr>
              <w:t>M1</w:t>
            </w:r>
          </w:p>
        </w:tc>
        <w:tc>
          <w:tcPr>
            <w:tcW w:w="2968"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szCs w:val="20"/>
                <w:lang w:eastAsia="en-GB"/>
              </w:rPr>
            </w:pPr>
            <w:r w:rsidRPr="00443066">
              <w:rPr>
                <w:rFonts w:eastAsia="Times New Roman"/>
                <w:color w:val="000000"/>
                <w:sz w:val="22"/>
                <w:szCs w:val="20"/>
                <w:lang w:eastAsia="en-GB"/>
              </w:rPr>
              <w:t>ln(</w:t>
            </w:r>
            <w:r w:rsidRPr="00443066">
              <w:rPr>
                <w:rFonts w:eastAsia="Times New Roman"/>
                <w:i/>
                <w:iCs/>
                <w:color w:val="000000"/>
                <w:sz w:val="22"/>
                <w:szCs w:val="20"/>
                <w:lang w:eastAsia="en-GB"/>
              </w:rPr>
              <w:t>D</w:t>
            </w:r>
            <w:r w:rsidRPr="00443066">
              <w:rPr>
                <w:rFonts w:eastAsia="Times New Roman"/>
                <w:color w:val="000000"/>
                <w:sz w:val="22"/>
                <w:szCs w:val="20"/>
                <w:lang w:eastAsia="en-GB"/>
              </w:rPr>
              <w:t xml:space="preserve">) = </w:t>
            </w:r>
            <w:r w:rsidRPr="00443066">
              <w:rPr>
                <w:rFonts w:eastAsia="Times New Roman"/>
                <w:i/>
                <w:iCs/>
                <w:color w:val="000000"/>
                <w:sz w:val="22"/>
                <w:szCs w:val="20"/>
                <w:lang w:eastAsia="en-GB"/>
              </w:rPr>
              <w:t>α + β</w:t>
            </w:r>
            <w:r w:rsidRPr="00443066">
              <w:rPr>
                <w:rFonts w:eastAsia="Times New Roman"/>
                <w:color w:val="000000"/>
                <w:sz w:val="22"/>
                <w:szCs w:val="20"/>
                <w:lang w:eastAsia="en-GB"/>
              </w:rPr>
              <w:t>ln(</w:t>
            </w:r>
            <w:r w:rsidRPr="00443066">
              <w:rPr>
                <w:rFonts w:eastAsia="Times New Roman"/>
                <w:i/>
                <w:iCs/>
                <w:color w:val="000000"/>
                <w:sz w:val="22"/>
                <w:szCs w:val="20"/>
                <w:lang w:eastAsia="en-GB"/>
              </w:rPr>
              <w:t>H</w:t>
            </w:r>
            <w:r w:rsidRPr="00443066">
              <w:rPr>
                <w:rFonts w:eastAsia="Times New Roman"/>
                <w:color w:val="000000"/>
                <w:sz w:val="22"/>
                <w:szCs w:val="20"/>
                <w:lang w:eastAsia="en-GB"/>
              </w:rPr>
              <w:t>)</w:t>
            </w:r>
          </w:p>
        </w:tc>
        <w:tc>
          <w:tcPr>
            <w:tcW w:w="1362"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13.7 (±0.3)</w:t>
            </w:r>
          </w:p>
        </w:tc>
        <w:tc>
          <w:tcPr>
            <w:tcW w:w="1331"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24.7 (±1.1)</w:t>
            </w:r>
          </w:p>
        </w:tc>
        <w:tc>
          <w:tcPr>
            <w:tcW w:w="120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60.7 (±1.1)</w:t>
            </w:r>
          </w:p>
        </w:tc>
        <w:tc>
          <w:tcPr>
            <w:tcW w:w="70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0.56</w:t>
            </w:r>
          </w:p>
        </w:tc>
        <w:tc>
          <w:tcPr>
            <w:tcW w:w="51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0.54</w:t>
            </w:r>
          </w:p>
        </w:tc>
      </w:tr>
      <w:tr w:rsidR="00443066" w:rsidRPr="00443066" w:rsidTr="00443066">
        <w:trPr>
          <w:trHeight w:val="300"/>
        </w:trPr>
        <w:tc>
          <w:tcPr>
            <w:tcW w:w="86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lang w:eastAsia="en-GB"/>
              </w:rPr>
            </w:pPr>
            <w:r w:rsidRPr="00443066">
              <w:rPr>
                <w:rFonts w:eastAsia="Times New Roman"/>
                <w:color w:val="000000"/>
                <w:sz w:val="22"/>
                <w:szCs w:val="22"/>
                <w:lang w:eastAsia="en-GB"/>
              </w:rPr>
              <w:t>M2</w:t>
            </w:r>
          </w:p>
        </w:tc>
        <w:tc>
          <w:tcPr>
            <w:tcW w:w="2968"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szCs w:val="20"/>
                <w:lang w:eastAsia="en-GB"/>
              </w:rPr>
            </w:pPr>
            <w:r w:rsidRPr="00443066">
              <w:rPr>
                <w:rFonts w:eastAsia="Times New Roman"/>
                <w:color w:val="000000"/>
                <w:sz w:val="22"/>
                <w:szCs w:val="20"/>
                <w:lang w:eastAsia="en-GB"/>
              </w:rPr>
              <w:t>ln(</w:t>
            </w:r>
            <w:r w:rsidRPr="00443066">
              <w:rPr>
                <w:rFonts w:eastAsia="Times New Roman"/>
                <w:i/>
                <w:iCs/>
                <w:color w:val="000000"/>
                <w:sz w:val="22"/>
                <w:szCs w:val="20"/>
                <w:lang w:eastAsia="en-GB"/>
              </w:rPr>
              <w:t>D</w:t>
            </w:r>
            <w:r w:rsidRPr="00443066">
              <w:rPr>
                <w:rFonts w:eastAsia="Times New Roman"/>
                <w:color w:val="000000"/>
                <w:sz w:val="22"/>
                <w:szCs w:val="20"/>
                <w:lang w:eastAsia="en-GB"/>
              </w:rPr>
              <w:t xml:space="preserve">) = </w:t>
            </w:r>
            <w:r w:rsidRPr="00443066">
              <w:rPr>
                <w:rFonts w:eastAsia="Times New Roman"/>
                <w:i/>
                <w:iCs/>
                <w:color w:val="000000"/>
                <w:sz w:val="22"/>
                <w:szCs w:val="20"/>
                <w:lang w:eastAsia="en-GB"/>
              </w:rPr>
              <w:t>α + β</w:t>
            </w:r>
            <w:r w:rsidRPr="00443066">
              <w:rPr>
                <w:rFonts w:eastAsia="Times New Roman"/>
                <w:color w:val="000000"/>
                <w:sz w:val="22"/>
                <w:szCs w:val="20"/>
                <w:lang w:eastAsia="en-GB"/>
              </w:rPr>
              <w:t>ln(</w:t>
            </w:r>
            <w:r w:rsidRPr="00443066">
              <w:rPr>
                <w:rFonts w:eastAsia="Times New Roman"/>
                <w:i/>
                <w:iCs/>
                <w:color w:val="000000"/>
                <w:sz w:val="22"/>
                <w:szCs w:val="20"/>
                <w:lang w:eastAsia="en-GB"/>
              </w:rPr>
              <w:t>CD</w:t>
            </w:r>
            <w:r w:rsidRPr="00443066">
              <w:rPr>
                <w:rFonts w:eastAsia="Times New Roman"/>
                <w:color w:val="000000"/>
                <w:sz w:val="22"/>
                <w:szCs w:val="20"/>
                <w:lang w:eastAsia="en-GB"/>
              </w:rPr>
              <w:t>)</w:t>
            </w:r>
          </w:p>
        </w:tc>
        <w:tc>
          <w:tcPr>
            <w:tcW w:w="1362"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16.6 (±1.0)</w:t>
            </w:r>
          </w:p>
        </w:tc>
        <w:tc>
          <w:tcPr>
            <w:tcW w:w="1331"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-4.5 (±1.4)</w:t>
            </w:r>
          </w:p>
        </w:tc>
        <w:tc>
          <w:tcPr>
            <w:tcW w:w="120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73.8 (±4.2)</w:t>
            </w:r>
          </w:p>
        </w:tc>
        <w:tc>
          <w:tcPr>
            <w:tcW w:w="70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0.31</w:t>
            </w:r>
          </w:p>
        </w:tc>
        <w:tc>
          <w:tcPr>
            <w:tcW w:w="51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0.71</w:t>
            </w:r>
          </w:p>
        </w:tc>
      </w:tr>
      <w:tr w:rsidR="00443066" w:rsidRPr="00443066" w:rsidTr="00443066">
        <w:trPr>
          <w:trHeight w:val="300"/>
        </w:trPr>
        <w:tc>
          <w:tcPr>
            <w:tcW w:w="86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lang w:eastAsia="en-GB"/>
              </w:rPr>
            </w:pPr>
            <w:r w:rsidRPr="00443066">
              <w:rPr>
                <w:rFonts w:eastAsia="Times New Roman"/>
                <w:color w:val="000000"/>
                <w:sz w:val="22"/>
                <w:szCs w:val="22"/>
                <w:lang w:eastAsia="en-GB"/>
              </w:rPr>
              <w:t>M3</w:t>
            </w:r>
          </w:p>
        </w:tc>
        <w:tc>
          <w:tcPr>
            <w:tcW w:w="2968"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szCs w:val="20"/>
                <w:lang w:eastAsia="en-GB"/>
              </w:rPr>
            </w:pPr>
            <w:r w:rsidRPr="00443066">
              <w:rPr>
                <w:rFonts w:eastAsia="Times New Roman"/>
                <w:color w:val="000000"/>
                <w:sz w:val="22"/>
                <w:szCs w:val="20"/>
                <w:lang w:eastAsia="en-GB"/>
              </w:rPr>
              <w:t>ln(</w:t>
            </w:r>
            <w:r w:rsidRPr="00443066">
              <w:rPr>
                <w:rFonts w:eastAsia="Times New Roman"/>
                <w:i/>
                <w:iCs/>
                <w:color w:val="000000"/>
                <w:sz w:val="22"/>
                <w:szCs w:val="20"/>
                <w:lang w:eastAsia="en-GB"/>
              </w:rPr>
              <w:t>D</w:t>
            </w:r>
            <w:r w:rsidRPr="00443066">
              <w:rPr>
                <w:rFonts w:eastAsia="Times New Roman"/>
                <w:color w:val="000000"/>
                <w:sz w:val="22"/>
                <w:szCs w:val="20"/>
                <w:lang w:eastAsia="en-GB"/>
              </w:rPr>
              <w:t xml:space="preserve">) = </w:t>
            </w:r>
            <w:r w:rsidRPr="00443066">
              <w:rPr>
                <w:rFonts w:eastAsia="Times New Roman"/>
                <w:i/>
                <w:iCs/>
                <w:color w:val="000000"/>
                <w:sz w:val="22"/>
                <w:szCs w:val="20"/>
                <w:lang w:eastAsia="en-GB"/>
              </w:rPr>
              <w:t xml:space="preserve">α + </w:t>
            </w:r>
            <w:proofErr w:type="spellStart"/>
            <w:r w:rsidRPr="00443066">
              <w:rPr>
                <w:rFonts w:eastAsia="Times New Roman"/>
                <w:i/>
                <w:iCs/>
                <w:color w:val="000000"/>
                <w:sz w:val="22"/>
                <w:szCs w:val="20"/>
                <w:lang w:eastAsia="en-GB"/>
              </w:rPr>
              <w:t>β</w:t>
            </w:r>
            <w:r w:rsidRPr="00443066">
              <w:rPr>
                <w:rFonts w:eastAsia="Times New Roman"/>
                <w:color w:val="000000"/>
                <w:sz w:val="22"/>
                <w:szCs w:val="20"/>
                <w:lang w:eastAsia="en-GB"/>
              </w:rPr>
              <w:t>ln</w:t>
            </w:r>
            <w:proofErr w:type="spellEnd"/>
            <w:r w:rsidRPr="00443066">
              <w:rPr>
                <w:rFonts w:eastAsia="Times New Roman"/>
                <w:color w:val="000000"/>
                <w:sz w:val="22"/>
                <w:szCs w:val="20"/>
                <w:lang w:eastAsia="en-GB"/>
              </w:rPr>
              <w:t>(</w:t>
            </w:r>
            <w:r w:rsidRPr="00443066">
              <w:rPr>
                <w:rFonts w:eastAsia="Times New Roman"/>
                <w:i/>
                <w:iCs/>
                <w:color w:val="000000"/>
                <w:sz w:val="22"/>
                <w:szCs w:val="20"/>
                <w:lang w:eastAsia="en-GB"/>
              </w:rPr>
              <w:t>H</w:t>
            </w:r>
            <w:r w:rsidRPr="00443066">
              <w:rPr>
                <w:rFonts w:eastAsia="Times New Roman"/>
                <w:color w:val="000000"/>
                <w:sz w:val="22"/>
                <w:szCs w:val="20"/>
                <w:lang w:eastAsia="en-GB"/>
              </w:rPr>
              <w:t xml:space="preserve">) + </w:t>
            </w:r>
            <w:proofErr w:type="spellStart"/>
            <w:r w:rsidRPr="00443066">
              <w:rPr>
                <w:rFonts w:eastAsia="Times New Roman"/>
                <w:i/>
                <w:iCs/>
                <w:color w:val="000000"/>
                <w:sz w:val="22"/>
                <w:szCs w:val="20"/>
                <w:lang w:eastAsia="en-GB"/>
              </w:rPr>
              <w:t>γ</w:t>
            </w:r>
            <w:r w:rsidRPr="00443066">
              <w:rPr>
                <w:rFonts w:eastAsia="Times New Roman"/>
                <w:color w:val="000000"/>
                <w:sz w:val="22"/>
                <w:szCs w:val="20"/>
                <w:lang w:eastAsia="en-GB"/>
              </w:rPr>
              <w:t>ln</w:t>
            </w:r>
            <w:proofErr w:type="spellEnd"/>
            <w:r w:rsidRPr="00443066">
              <w:rPr>
                <w:rFonts w:eastAsia="Times New Roman"/>
                <w:color w:val="000000"/>
                <w:sz w:val="22"/>
                <w:szCs w:val="20"/>
                <w:lang w:eastAsia="en-GB"/>
              </w:rPr>
              <w:t>(</w:t>
            </w:r>
            <w:r w:rsidRPr="00443066">
              <w:rPr>
                <w:rFonts w:eastAsia="Times New Roman"/>
                <w:i/>
                <w:iCs/>
                <w:color w:val="000000"/>
                <w:sz w:val="22"/>
                <w:szCs w:val="20"/>
                <w:lang w:eastAsia="en-GB"/>
              </w:rPr>
              <w:t>CD</w:t>
            </w:r>
            <w:r w:rsidRPr="00443066">
              <w:rPr>
                <w:rFonts w:eastAsia="Times New Roman"/>
                <w:color w:val="000000"/>
                <w:sz w:val="22"/>
                <w:szCs w:val="20"/>
                <w:lang w:eastAsia="en-GB"/>
              </w:rPr>
              <w:t>)</w:t>
            </w:r>
          </w:p>
        </w:tc>
        <w:tc>
          <w:tcPr>
            <w:tcW w:w="1362"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10.3 (±0.4)</w:t>
            </w:r>
          </w:p>
        </w:tc>
        <w:tc>
          <w:tcPr>
            <w:tcW w:w="1331"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-0.9 (±0.8)</w:t>
            </w:r>
          </w:p>
        </w:tc>
        <w:tc>
          <w:tcPr>
            <w:tcW w:w="120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45.4 (±2.0)</w:t>
            </w:r>
          </w:p>
        </w:tc>
        <w:tc>
          <w:tcPr>
            <w:tcW w:w="70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0.69</w:t>
            </w:r>
          </w:p>
        </w:tc>
        <w:tc>
          <w:tcPr>
            <w:tcW w:w="51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0.46</w:t>
            </w:r>
          </w:p>
        </w:tc>
      </w:tr>
      <w:tr w:rsidR="00443066" w:rsidRPr="00443066" w:rsidTr="00443066">
        <w:trPr>
          <w:trHeight w:val="300"/>
        </w:trPr>
        <w:tc>
          <w:tcPr>
            <w:tcW w:w="86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lang w:eastAsia="en-GB"/>
              </w:rPr>
            </w:pPr>
            <w:r w:rsidRPr="00443066">
              <w:rPr>
                <w:rFonts w:eastAsia="Times New Roman"/>
                <w:color w:val="000000"/>
                <w:sz w:val="22"/>
                <w:szCs w:val="22"/>
                <w:lang w:eastAsia="en-GB"/>
              </w:rPr>
              <w:t>M4</w:t>
            </w:r>
          </w:p>
        </w:tc>
        <w:tc>
          <w:tcPr>
            <w:tcW w:w="2968"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szCs w:val="20"/>
                <w:lang w:eastAsia="en-GB"/>
              </w:rPr>
            </w:pPr>
            <w:r w:rsidRPr="00443066">
              <w:rPr>
                <w:rFonts w:eastAsia="Times New Roman"/>
                <w:color w:val="000000"/>
                <w:sz w:val="22"/>
                <w:szCs w:val="20"/>
                <w:lang w:eastAsia="en-GB"/>
              </w:rPr>
              <w:t>ln(</w:t>
            </w:r>
            <w:r w:rsidRPr="00443066">
              <w:rPr>
                <w:rFonts w:eastAsia="Times New Roman"/>
                <w:i/>
                <w:iCs/>
                <w:color w:val="000000"/>
                <w:sz w:val="22"/>
                <w:szCs w:val="20"/>
                <w:lang w:eastAsia="en-GB"/>
              </w:rPr>
              <w:t>D</w:t>
            </w:r>
            <w:r w:rsidRPr="00443066">
              <w:rPr>
                <w:rFonts w:eastAsia="Times New Roman"/>
                <w:color w:val="000000"/>
                <w:sz w:val="22"/>
                <w:szCs w:val="20"/>
                <w:lang w:eastAsia="en-GB"/>
              </w:rPr>
              <w:t xml:space="preserve">) = </w:t>
            </w:r>
            <w:r w:rsidRPr="00443066">
              <w:rPr>
                <w:rFonts w:eastAsia="Times New Roman"/>
                <w:i/>
                <w:iCs/>
                <w:color w:val="000000"/>
                <w:sz w:val="22"/>
                <w:szCs w:val="20"/>
                <w:lang w:eastAsia="en-GB"/>
              </w:rPr>
              <w:t>α + β</w:t>
            </w:r>
            <w:r w:rsidRPr="00443066">
              <w:rPr>
                <w:rFonts w:eastAsia="Times New Roman"/>
                <w:color w:val="000000"/>
                <w:sz w:val="22"/>
                <w:szCs w:val="20"/>
                <w:lang w:eastAsia="en-GB"/>
              </w:rPr>
              <w:t>ln(</w:t>
            </w:r>
            <w:r w:rsidRPr="00443066">
              <w:rPr>
                <w:rFonts w:eastAsia="Times New Roman"/>
                <w:i/>
                <w:iCs/>
                <w:color w:val="000000"/>
                <w:sz w:val="22"/>
                <w:szCs w:val="20"/>
                <w:lang w:eastAsia="en-GB"/>
              </w:rPr>
              <w:t>H</w:t>
            </w:r>
            <w:r w:rsidRPr="00443066">
              <w:rPr>
                <w:rFonts w:eastAsia="Times New Roman"/>
                <w:color w:val="000000"/>
                <w:sz w:val="22"/>
                <w:szCs w:val="20"/>
                <w:lang w:eastAsia="en-GB"/>
              </w:rPr>
              <w:t xml:space="preserve"> × </w:t>
            </w:r>
            <w:r w:rsidRPr="00443066">
              <w:rPr>
                <w:rFonts w:eastAsia="Times New Roman"/>
                <w:i/>
                <w:iCs/>
                <w:color w:val="000000"/>
                <w:sz w:val="22"/>
                <w:szCs w:val="20"/>
                <w:lang w:eastAsia="en-GB"/>
              </w:rPr>
              <w:t>CD</w:t>
            </w:r>
            <w:r w:rsidRPr="00443066">
              <w:rPr>
                <w:rFonts w:eastAsia="Times New Roman"/>
                <w:color w:val="000000"/>
                <w:sz w:val="22"/>
                <w:szCs w:val="20"/>
                <w:lang w:eastAsia="en-GB"/>
              </w:rPr>
              <w:t>)</w:t>
            </w:r>
          </w:p>
        </w:tc>
        <w:tc>
          <w:tcPr>
            <w:tcW w:w="1362"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9.7 (±0.4)</w:t>
            </w:r>
          </w:p>
        </w:tc>
        <w:tc>
          <w:tcPr>
            <w:tcW w:w="1331"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-1.2 (±0.9)</w:t>
            </w:r>
          </w:p>
        </w:tc>
        <w:tc>
          <w:tcPr>
            <w:tcW w:w="120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43.3 (±1.3)</w:t>
            </w:r>
          </w:p>
        </w:tc>
        <w:tc>
          <w:tcPr>
            <w:tcW w:w="70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0.70</w:t>
            </w:r>
          </w:p>
        </w:tc>
        <w:tc>
          <w:tcPr>
            <w:tcW w:w="51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0.45</w:t>
            </w:r>
          </w:p>
        </w:tc>
      </w:tr>
      <w:tr w:rsidR="00443066" w:rsidRPr="00443066" w:rsidTr="00443066">
        <w:trPr>
          <w:trHeight w:val="300"/>
        </w:trPr>
        <w:tc>
          <w:tcPr>
            <w:tcW w:w="86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lang w:eastAsia="en-GB"/>
              </w:rPr>
            </w:pPr>
            <w:r w:rsidRPr="00443066">
              <w:rPr>
                <w:rFonts w:eastAsia="Times New Roman"/>
                <w:color w:val="000000"/>
                <w:sz w:val="22"/>
                <w:szCs w:val="22"/>
                <w:lang w:eastAsia="en-GB"/>
              </w:rPr>
              <w:t>M5</w:t>
            </w:r>
          </w:p>
        </w:tc>
        <w:tc>
          <w:tcPr>
            <w:tcW w:w="2968"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szCs w:val="20"/>
                <w:lang w:eastAsia="en-GB"/>
              </w:rPr>
            </w:pPr>
            <w:proofErr w:type="spellStart"/>
            <w:r w:rsidRPr="00443066">
              <w:rPr>
                <w:rFonts w:eastAsia="Times New Roman"/>
                <w:color w:val="000000"/>
                <w:sz w:val="22"/>
                <w:szCs w:val="20"/>
                <w:lang w:eastAsia="en-GB"/>
              </w:rPr>
              <w:t>ln</w:t>
            </w:r>
            <w:proofErr w:type="spellEnd"/>
            <w:r w:rsidRPr="00443066">
              <w:rPr>
                <w:rFonts w:eastAsia="Times New Roman"/>
                <w:color w:val="000000"/>
                <w:sz w:val="22"/>
                <w:szCs w:val="20"/>
                <w:lang w:eastAsia="en-GB"/>
              </w:rPr>
              <w:t>(</w:t>
            </w:r>
            <w:r w:rsidRPr="00443066">
              <w:rPr>
                <w:rFonts w:eastAsia="Times New Roman"/>
                <w:i/>
                <w:iCs/>
                <w:color w:val="000000"/>
                <w:sz w:val="22"/>
                <w:szCs w:val="20"/>
                <w:lang w:eastAsia="en-GB"/>
              </w:rPr>
              <w:t>D</w:t>
            </w:r>
            <w:r w:rsidRPr="00443066">
              <w:rPr>
                <w:rFonts w:eastAsia="Times New Roman"/>
                <w:color w:val="000000"/>
                <w:sz w:val="22"/>
                <w:szCs w:val="20"/>
                <w:lang w:eastAsia="en-GB"/>
              </w:rPr>
              <w:t xml:space="preserve">) = </w:t>
            </w:r>
            <w:proofErr w:type="spellStart"/>
            <w:r w:rsidRPr="00443066">
              <w:rPr>
                <w:rFonts w:eastAsia="Times New Roman"/>
                <w:i/>
                <w:iCs/>
                <w:color w:val="000000"/>
                <w:sz w:val="22"/>
                <w:szCs w:val="20"/>
                <w:lang w:eastAsia="en-GB"/>
              </w:rPr>
              <w:t>α</w:t>
            </w:r>
            <w:r w:rsidRPr="00443066">
              <w:rPr>
                <w:rFonts w:eastAsia="Times New Roman"/>
                <w:i/>
                <w:iCs/>
                <w:color w:val="000000"/>
                <w:sz w:val="22"/>
                <w:szCs w:val="20"/>
                <w:vertAlign w:val="subscript"/>
                <w:lang w:eastAsia="en-GB"/>
              </w:rPr>
              <w:t>ij</w:t>
            </w:r>
            <w:proofErr w:type="spellEnd"/>
            <w:r w:rsidRPr="00443066">
              <w:rPr>
                <w:rFonts w:eastAsia="Times New Roman"/>
                <w:i/>
                <w:iCs/>
                <w:color w:val="000000"/>
                <w:sz w:val="22"/>
                <w:szCs w:val="20"/>
                <w:vertAlign w:val="subscript"/>
                <w:lang w:eastAsia="en-GB"/>
              </w:rPr>
              <w:t xml:space="preserve"> </w:t>
            </w:r>
            <w:r w:rsidRPr="00443066">
              <w:rPr>
                <w:rFonts w:eastAsia="Times New Roman"/>
                <w:i/>
                <w:iCs/>
                <w:color w:val="000000"/>
                <w:sz w:val="22"/>
                <w:szCs w:val="20"/>
                <w:lang w:eastAsia="en-GB"/>
              </w:rPr>
              <w:t xml:space="preserve">+ </w:t>
            </w:r>
            <w:proofErr w:type="spellStart"/>
            <w:r w:rsidRPr="00443066">
              <w:rPr>
                <w:rFonts w:eastAsia="Times New Roman"/>
                <w:i/>
                <w:iCs/>
                <w:color w:val="000000"/>
                <w:sz w:val="22"/>
                <w:szCs w:val="20"/>
                <w:lang w:eastAsia="en-GB"/>
              </w:rPr>
              <w:t>β</w:t>
            </w:r>
            <w:r w:rsidRPr="00443066">
              <w:rPr>
                <w:rFonts w:eastAsia="Times New Roman"/>
                <w:i/>
                <w:iCs/>
                <w:color w:val="000000"/>
                <w:sz w:val="22"/>
                <w:szCs w:val="20"/>
                <w:vertAlign w:val="subscript"/>
                <w:lang w:eastAsia="en-GB"/>
              </w:rPr>
              <w:t>ij</w:t>
            </w:r>
            <w:r w:rsidRPr="00443066">
              <w:rPr>
                <w:rFonts w:eastAsia="Times New Roman"/>
                <w:color w:val="000000"/>
                <w:sz w:val="22"/>
                <w:szCs w:val="20"/>
                <w:lang w:eastAsia="en-GB"/>
              </w:rPr>
              <w:t>ln</w:t>
            </w:r>
            <w:proofErr w:type="spellEnd"/>
            <w:r w:rsidRPr="00443066">
              <w:rPr>
                <w:rFonts w:eastAsia="Times New Roman"/>
                <w:color w:val="000000"/>
                <w:sz w:val="22"/>
                <w:szCs w:val="20"/>
                <w:lang w:eastAsia="en-GB"/>
              </w:rPr>
              <w:t>(</w:t>
            </w:r>
            <w:r w:rsidRPr="00443066">
              <w:rPr>
                <w:rFonts w:eastAsia="Times New Roman"/>
                <w:i/>
                <w:iCs/>
                <w:color w:val="000000"/>
                <w:sz w:val="22"/>
                <w:szCs w:val="20"/>
                <w:lang w:eastAsia="en-GB"/>
              </w:rPr>
              <w:t>H</w:t>
            </w:r>
            <w:r w:rsidRPr="00443066">
              <w:rPr>
                <w:rFonts w:eastAsia="Times New Roman"/>
                <w:color w:val="000000"/>
                <w:sz w:val="22"/>
                <w:szCs w:val="20"/>
                <w:lang w:eastAsia="en-GB"/>
              </w:rPr>
              <w:t xml:space="preserve"> × </w:t>
            </w:r>
            <w:r w:rsidRPr="00443066">
              <w:rPr>
                <w:rFonts w:eastAsia="Times New Roman"/>
                <w:i/>
                <w:iCs/>
                <w:color w:val="000000"/>
                <w:sz w:val="22"/>
                <w:szCs w:val="20"/>
                <w:lang w:eastAsia="en-GB"/>
              </w:rPr>
              <w:t>CD</w:t>
            </w:r>
            <w:r w:rsidRPr="00443066">
              <w:rPr>
                <w:rFonts w:eastAsia="Times New Roman"/>
                <w:color w:val="000000"/>
                <w:sz w:val="22"/>
                <w:szCs w:val="20"/>
                <w:lang w:eastAsia="en-GB"/>
              </w:rPr>
              <w:t>)</w:t>
            </w:r>
          </w:p>
        </w:tc>
        <w:tc>
          <w:tcPr>
            <w:tcW w:w="1362"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8.8 (±0.3)</w:t>
            </w:r>
          </w:p>
        </w:tc>
        <w:tc>
          <w:tcPr>
            <w:tcW w:w="1331"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0.6 (±0.9)</w:t>
            </w:r>
          </w:p>
        </w:tc>
        <w:tc>
          <w:tcPr>
            <w:tcW w:w="1200" w:type="dxa"/>
            <w:tcBorders>
              <w:top w:val="nil"/>
              <w:left w:val="nil"/>
              <w:bottom w:val="nil"/>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39.2 (±1.1)</w:t>
            </w:r>
          </w:p>
        </w:tc>
        <w:tc>
          <w:tcPr>
            <w:tcW w:w="70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0.77</w:t>
            </w:r>
          </w:p>
        </w:tc>
        <w:tc>
          <w:tcPr>
            <w:tcW w:w="510" w:type="dxa"/>
            <w:tcBorders>
              <w:top w:val="nil"/>
              <w:left w:val="nil"/>
              <w:bottom w:val="nil"/>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0.39</w:t>
            </w:r>
          </w:p>
        </w:tc>
      </w:tr>
      <w:tr w:rsidR="00443066" w:rsidRPr="00443066" w:rsidTr="00443066">
        <w:trPr>
          <w:trHeight w:val="300"/>
        </w:trPr>
        <w:tc>
          <w:tcPr>
            <w:tcW w:w="860" w:type="dxa"/>
            <w:tcBorders>
              <w:top w:val="nil"/>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lang w:eastAsia="en-GB"/>
              </w:rPr>
            </w:pPr>
            <w:r w:rsidRPr="00443066">
              <w:rPr>
                <w:rFonts w:eastAsia="Times New Roman"/>
                <w:color w:val="000000"/>
                <w:sz w:val="22"/>
                <w:szCs w:val="22"/>
                <w:lang w:eastAsia="en-GB"/>
              </w:rPr>
              <w:t>M6</w:t>
            </w:r>
          </w:p>
        </w:tc>
        <w:tc>
          <w:tcPr>
            <w:tcW w:w="2968" w:type="dxa"/>
            <w:tcBorders>
              <w:top w:val="nil"/>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left"/>
              <w:rPr>
                <w:rFonts w:eastAsia="Times New Roman"/>
                <w:color w:val="000000"/>
                <w:szCs w:val="20"/>
                <w:lang w:eastAsia="en-GB"/>
              </w:rPr>
            </w:pPr>
            <w:proofErr w:type="spellStart"/>
            <w:r w:rsidRPr="00443066">
              <w:rPr>
                <w:rFonts w:eastAsia="Times New Roman"/>
                <w:color w:val="000000"/>
                <w:sz w:val="22"/>
                <w:szCs w:val="20"/>
                <w:lang w:eastAsia="en-GB"/>
              </w:rPr>
              <w:t>ln</w:t>
            </w:r>
            <w:proofErr w:type="spellEnd"/>
            <w:r w:rsidRPr="00443066">
              <w:rPr>
                <w:rFonts w:eastAsia="Times New Roman"/>
                <w:color w:val="000000"/>
                <w:sz w:val="22"/>
                <w:szCs w:val="20"/>
                <w:lang w:eastAsia="en-GB"/>
              </w:rPr>
              <w:t>(</w:t>
            </w:r>
            <w:r w:rsidRPr="00443066">
              <w:rPr>
                <w:rFonts w:eastAsia="Times New Roman"/>
                <w:i/>
                <w:iCs/>
                <w:color w:val="000000"/>
                <w:sz w:val="22"/>
                <w:szCs w:val="20"/>
                <w:lang w:eastAsia="en-GB"/>
              </w:rPr>
              <w:t>D</w:t>
            </w:r>
            <w:r w:rsidRPr="00443066">
              <w:rPr>
                <w:rFonts w:eastAsia="Times New Roman"/>
                <w:color w:val="000000"/>
                <w:sz w:val="22"/>
                <w:szCs w:val="20"/>
                <w:lang w:eastAsia="en-GB"/>
              </w:rPr>
              <w:t xml:space="preserve">) = </w:t>
            </w:r>
            <w:proofErr w:type="spellStart"/>
            <w:r w:rsidRPr="00443066">
              <w:rPr>
                <w:rFonts w:eastAsia="Times New Roman"/>
                <w:i/>
                <w:iCs/>
                <w:color w:val="000000"/>
                <w:sz w:val="22"/>
                <w:szCs w:val="20"/>
                <w:lang w:eastAsia="en-GB"/>
              </w:rPr>
              <w:t>α</w:t>
            </w:r>
            <w:r w:rsidRPr="00443066">
              <w:rPr>
                <w:rFonts w:eastAsia="Times New Roman"/>
                <w:i/>
                <w:iCs/>
                <w:color w:val="000000"/>
                <w:sz w:val="22"/>
                <w:szCs w:val="20"/>
                <w:vertAlign w:val="subscript"/>
                <w:lang w:eastAsia="en-GB"/>
              </w:rPr>
              <w:t>ijk</w:t>
            </w:r>
            <w:proofErr w:type="spellEnd"/>
            <w:r w:rsidRPr="00443066">
              <w:rPr>
                <w:rFonts w:eastAsia="Times New Roman"/>
                <w:i/>
                <w:iCs/>
                <w:color w:val="000000"/>
                <w:sz w:val="22"/>
                <w:szCs w:val="20"/>
                <w:vertAlign w:val="subscript"/>
                <w:lang w:eastAsia="en-GB"/>
              </w:rPr>
              <w:t xml:space="preserve"> </w:t>
            </w:r>
            <w:r w:rsidRPr="00443066">
              <w:rPr>
                <w:rFonts w:eastAsia="Times New Roman"/>
                <w:i/>
                <w:iCs/>
                <w:color w:val="000000"/>
                <w:sz w:val="22"/>
                <w:szCs w:val="20"/>
                <w:lang w:eastAsia="en-GB"/>
              </w:rPr>
              <w:t xml:space="preserve">+ </w:t>
            </w:r>
            <w:proofErr w:type="spellStart"/>
            <w:r w:rsidRPr="00443066">
              <w:rPr>
                <w:rFonts w:eastAsia="Times New Roman"/>
                <w:i/>
                <w:iCs/>
                <w:color w:val="000000"/>
                <w:sz w:val="22"/>
                <w:szCs w:val="20"/>
                <w:lang w:eastAsia="en-GB"/>
              </w:rPr>
              <w:t>β</w:t>
            </w:r>
            <w:r w:rsidRPr="00443066">
              <w:rPr>
                <w:rFonts w:eastAsia="Times New Roman"/>
                <w:i/>
                <w:iCs/>
                <w:color w:val="000000"/>
                <w:sz w:val="22"/>
                <w:szCs w:val="20"/>
                <w:vertAlign w:val="subscript"/>
                <w:lang w:eastAsia="en-GB"/>
              </w:rPr>
              <w:t>ijk</w:t>
            </w:r>
            <w:r w:rsidRPr="00443066">
              <w:rPr>
                <w:rFonts w:eastAsia="Times New Roman"/>
                <w:color w:val="000000"/>
                <w:sz w:val="22"/>
                <w:szCs w:val="20"/>
                <w:lang w:eastAsia="en-GB"/>
              </w:rPr>
              <w:t>ln</w:t>
            </w:r>
            <w:proofErr w:type="spellEnd"/>
            <w:r w:rsidRPr="00443066">
              <w:rPr>
                <w:rFonts w:eastAsia="Times New Roman"/>
                <w:color w:val="000000"/>
                <w:sz w:val="22"/>
                <w:szCs w:val="20"/>
                <w:lang w:eastAsia="en-GB"/>
              </w:rPr>
              <w:t>(</w:t>
            </w:r>
            <w:r w:rsidRPr="00443066">
              <w:rPr>
                <w:rFonts w:eastAsia="Times New Roman"/>
                <w:i/>
                <w:iCs/>
                <w:color w:val="000000"/>
                <w:sz w:val="22"/>
                <w:szCs w:val="20"/>
                <w:lang w:eastAsia="en-GB"/>
              </w:rPr>
              <w:t>H</w:t>
            </w:r>
            <w:r w:rsidRPr="00443066">
              <w:rPr>
                <w:rFonts w:eastAsia="Times New Roman"/>
                <w:color w:val="000000"/>
                <w:sz w:val="22"/>
                <w:szCs w:val="20"/>
                <w:lang w:eastAsia="en-GB"/>
              </w:rPr>
              <w:t xml:space="preserve"> × </w:t>
            </w:r>
            <w:r w:rsidRPr="00443066">
              <w:rPr>
                <w:rFonts w:eastAsia="Times New Roman"/>
                <w:i/>
                <w:iCs/>
                <w:color w:val="000000"/>
                <w:sz w:val="22"/>
                <w:szCs w:val="20"/>
                <w:lang w:eastAsia="en-GB"/>
              </w:rPr>
              <w:t>CD</w:t>
            </w:r>
            <w:r w:rsidRPr="00443066">
              <w:rPr>
                <w:rFonts w:eastAsia="Times New Roman"/>
                <w:color w:val="000000"/>
                <w:sz w:val="22"/>
                <w:szCs w:val="20"/>
                <w:lang w:eastAsia="en-GB"/>
              </w:rPr>
              <w:t>)</w:t>
            </w:r>
          </w:p>
        </w:tc>
        <w:tc>
          <w:tcPr>
            <w:tcW w:w="1362" w:type="dxa"/>
            <w:tcBorders>
              <w:top w:val="nil"/>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8.1 (±0.3)</w:t>
            </w:r>
          </w:p>
        </w:tc>
        <w:tc>
          <w:tcPr>
            <w:tcW w:w="1331" w:type="dxa"/>
            <w:tcBorders>
              <w:top w:val="nil"/>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1.1 (±0.7)</w:t>
            </w:r>
          </w:p>
        </w:tc>
        <w:tc>
          <w:tcPr>
            <w:tcW w:w="1200" w:type="dxa"/>
            <w:tcBorders>
              <w:top w:val="nil"/>
              <w:left w:val="nil"/>
              <w:bottom w:val="single" w:sz="4" w:space="0" w:color="auto"/>
              <w:right w:val="nil"/>
            </w:tcBorders>
            <w:shd w:val="clear" w:color="auto" w:fill="auto"/>
            <w:noWrap/>
            <w:vAlign w:val="center"/>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35.8 (±1.2)</w:t>
            </w:r>
          </w:p>
        </w:tc>
        <w:tc>
          <w:tcPr>
            <w:tcW w:w="700" w:type="dxa"/>
            <w:tcBorders>
              <w:top w:val="nil"/>
              <w:left w:val="nil"/>
              <w:bottom w:val="single" w:sz="4" w:space="0" w:color="auto"/>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0.81</w:t>
            </w:r>
          </w:p>
        </w:tc>
        <w:tc>
          <w:tcPr>
            <w:tcW w:w="510" w:type="dxa"/>
            <w:tcBorders>
              <w:top w:val="nil"/>
              <w:left w:val="nil"/>
              <w:bottom w:val="single" w:sz="4" w:space="0" w:color="auto"/>
              <w:right w:val="nil"/>
            </w:tcBorders>
            <w:shd w:val="clear" w:color="auto" w:fill="auto"/>
            <w:noWrap/>
            <w:vAlign w:val="bottom"/>
            <w:hideMark/>
          </w:tcPr>
          <w:p w:rsidR="00443066" w:rsidRPr="00443066" w:rsidRDefault="00443066" w:rsidP="00443066">
            <w:pPr>
              <w:spacing w:after="0" w:line="240" w:lineRule="auto"/>
              <w:jc w:val="right"/>
              <w:rPr>
                <w:rFonts w:eastAsia="Times New Roman"/>
                <w:color w:val="000000"/>
                <w:lang w:eastAsia="en-GB"/>
              </w:rPr>
            </w:pPr>
            <w:r w:rsidRPr="00443066">
              <w:rPr>
                <w:rFonts w:eastAsia="Times New Roman"/>
                <w:color w:val="000000"/>
                <w:sz w:val="22"/>
                <w:szCs w:val="22"/>
                <w:lang w:eastAsia="en-GB"/>
              </w:rPr>
              <w:t>0.35</w:t>
            </w:r>
          </w:p>
        </w:tc>
      </w:tr>
    </w:tbl>
    <w:p w:rsidR="00646542" w:rsidRDefault="007F0305" w:rsidP="00344851">
      <w:pPr>
        <w:spacing w:before="480"/>
      </w:pPr>
      <w:r w:rsidRPr="007F0305">
        <w:rPr>
          <w:noProof/>
          <w:lang w:val="en-US"/>
        </w:rPr>
        <w:drawing>
          <wp:inline distT="0" distB="0" distL="0" distR="0">
            <wp:extent cx="5731034" cy="3313430"/>
            <wp:effectExtent l="0" t="0" r="0" b="0"/>
            <wp:docPr id="1" name="Picture 1" descr="C:\Users\Tommaso\ownCloud\PostDoc\BALI project\Sepilok biomass\D-H allometries\Figures and tables\Fig. S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aso\ownCloud\PostDoc\BALI project\Sepilok biomass\D-H allometries\Figures and tables\Fig. S4.tiff"/>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050"/>
                    <a:stretch/>
                  </pic:blipFill>
                  <pic:spPr bwMode="auto">
                    <a:xfrm>
                      <a:off x="0" y="0"/>
                      <a:ext cx="5731510" cy="33137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46542" w:rsidRDefault="00646542" w:rsidP="00DE109D">
      <w:pPr>
        <w:pStyle w:val="Figure"/>
        <w:rPr>
          <w:rFonts w:eastAsiaTheme="majorEastAsia"/>
          <w:b/>
          <w:bCs/>
          <w:szCs w:val="26"/>
        </w:rPr>
      </w:pPr>
      <w:r w:rsidRPr="00AE251A">
        <w:rPr>
          <w:b/>
        </w:rPr>
        <w:t xml:space="preserve">Fig. </w:t>
      </w:r>
      <w:proofErr w:type="gramStart"/>
      <w:r w:rsidRPr="00AE251A">
        <w:rPr>
          <w:b/>
        </w:rPr>
        <w:t>S</w:t>
      </w:r>
      <w:r w:rsidR="009C7CAC">
        <w:rPr>
          <w:b/>
        </w:rPr>
        <w:t>4</w:t>
      </w:r>
      <w:r>
        <w:rPr>
          <w:b/>
        </w:rPr>
        <w:t xml:space="preserve"> </w:t>
      </w:r>
      <w:r w:rsidRPr="00AE251A">
        <w:rPr>
          <w:b/>
        </w:rPr>
        <w:t>|</w:t>
      </w:r>
      <w:r w:rsidRPr="00AE251A">
        <w:t xml:space="preserve"> </w:t>
      </w:r>
      <w:r w:rsidR="00286563">
        <w:t xml:space="preserve">Relative error </w:t>
      </w:r>
      <w:r w:rsidR="00286563">
        <w:rPr>
          <w:szCs w:val="22"/>
        </w:rPr>
        <w:t>as a function of tree size</w:t>
      </w:r>
      <w:r w:rsidR="00E65200">
        <w:rPr>
          <w:szCs w:val="22"/>
        </w:rPr>
        <w:t xml:space="preserve"> for different diameter models.</w:t>
      </w:r>
      <w:proofErr w:type="gramEnd"/>
      <w:r w:rsidR="00D0269F">
        <w:rPr>
          <w:szCs w:val="22"/>
        </w:rPr>
        <w:t xml:space="preserve"> Relative errors were calculated for a random subset of trees corresponding to 10% of the entire database </w:t>
      </w:r>
      <w:r w:rsidR="00D0269F" w:rsidRPr="00266E13">
        <w:t>(</w:t>
      </w:r>
      <w:r w:rsidR="00D0269F" w:rsidRPr="00266E13">
        <w:rPr>
          <w:i/>
        </w:rPr>
        <w:t>n</w:t>
      </w:r>
      <w:r w:rsidR="00D0269F" w:rsidRPr="00266E13">
        <w:t xml:space="preserve"> = </w:t>
      </w:r>
      <w:r w:rsidR="00344851">
        <w:t>10875</w:t>
      </w:r>
      <w:r w:rsidR="00D0269F" w:rsidRPr="00266E13">
        <w:t>)</w:t>
      </w:r>
      <w:r w:rsidR="00D0269F">
        <w:t xml:space="preserve"> </w:t>
      </w:r>
      <w:r w:rsidR="00D0269F">
        <w:rPr>
          <w:szCs w:val="22"/>
        </w:rPr>
        <w:t>which were used exclusively to validate the models. Regression splines illustrate how the magnitude of the relative errors varies as a function of tree size for each model.</w:t>
      </w:r>
    </w:p>
    <w:p w:rsidR="00646542" w:rsidRDefault="00646542" w:rsidP="00646542">
      <w:pPr>
        <w:pStyle w:val="Heading2"/>
      </w:pPr>
      <w:bookmarkStart w:id="6" w:name="_Toc452798015"/>
      <w:r w:rsidRPr="00922D00">
        <w:lastRenderedPageBreak/>
        <w:t>Appendix S</w:t>
      </w:r>
      <w:r w:rsidR="007B715A">
        <w:t>4</w:t>
      </w:r>
      <w:r>
        <w:t xml:space="preserve"> </w:t>
      </w:r>
      <w:r w:rsidRPr="00922D00">
        <w:t xml:space="preserve">| </w:t>
      </w:r>
      <w:r w:rsidR="00917D23">
        <w:t>Re</w:t>
      </w:r>
      <w:r w:rsidR="008555DC">
        <w:t xml:space="preserve">gion-, forest type- </w:t>
      </w:r>
      <w:r w:rsidR="0085087B">
        <w:t>and group-specific diameter</w:t>
      </w:r>
      <w:r>
        <w:t xml:space="preserve"> equations</w:t>
      </w:r>
      <w:bookmarkEnd w:id="6"/>
    </w:p>
    <w:p w:rsidR="00631CBE" w:rsidRDefault="00446609" w:rsidP="00E12E5A">
      <w:r>
        <w:t xml:space="preserve">Allometric scaling relationships between </w:t>
      </w:r>
      <w:r w:rsidR="00C37E82">
        <w:t>stem diameter, height and crown diameter vary considerably among forest types</w:t>
      </w:r>
      <w:r w:rsidR="007A4148">
        <w:t xml:space="preserve">, functional groups and geographic regions </w:t>
      </w:r>
      <w:r w:rsidR="00C37E82">
        <w:t>(</w:t>
      </w:r>
      <w:r w:rsidR="007A4148">
        <w:t xml:space="preserve">see </w:t>
      </w:r>
      <w:r w:rsidR="00C37E82">
        <w:t>Fig. S</w:t>
      </w:r>
      <w:r w:rsidR="00F13BF1">
        <w:t>5</w:t>
      </w:r>
      <w:r w:rsidR="007A4148">
        <w:t xml:space="preserve"> and Fig. </w:t>
      </w:r>
      <w:r w:rsidR="00F13BF1">
        <w:t>4</w:t>
      </w:r>
      <w:r w:rsidR="007A4148">
        <w:t xml:space="preserve"> in the main text</w:t>
      </w:r>
      <w:r w:rsidR="00C37E82">
        <w:t>)</w:t>
      </w:r>
      <w:r w:rsidR="007A4148">
        <w:t xml:space="preserve">, with much of this variation arising from differences in climate which determine local species composition and carbon allocation strategies </w:t>
      </w:r>
      <w:r w:rsidR="00572AD9">
        <w:fldChar w:fldCharType="begin" w:fldLock="1"/>
      </w:r>
      <w:r w:rsidR="00F13BF1">
        <w:instrText>ADDIN CSL_CITATION { "citationItems" : [ { "id" : "ITEM-1", "itemData" : { "DOI" : "10.1111/j.1466-8238.2011.00746.x", "ISSN" : "1466822X", "author" : [ { "dropping-particle" : "", "family" : "Lines", "given" : "Emily R.", "non-dropping-particle" : "", "parse-names" : false, "suffix" : "" }, { "dropping-particle" : "", "family" : "Zavala", "given" : "Miguel A.", "non-dropping-particle" : "", "parse-names" : false, "suffix" : "" }, { "dropping-particle" : "", "family" : "Purves", "given" : "Drew W.", "non-dropping-particle" : "", "parse-names" : false, "suffix" : "" }, { "dropping-particle" : "", "family" : "Coomes", "given" : "D A", "non-dropping-particle" : "", "parse-names" : false, "suffix" : "" } ], "container-title" : "Global Ecology and Biogeography", "id" : "ITEM-1", "issue" : "10", "issued" : { "date-parts" : [ [ "2012", "10", "13" ] ] }, "page" : "1017-1028", "title" : "Predictable changes in aboveground allometry of trees along gradients of temperature, aridity and competition", "type" : "article-journal", "volume" : "21" }, "uris" : [ "http://www.mendeley.com/documents/?uuid=8c8756b3-4c81-419f-89c0-401575254774" ] }, { "id" : "ITEM-2", "itemData" : { "DOI" : "10.1002/ece3.1328", "ISSN" : "20457758", "author" : [ { "dropping-particle" : "", "family" : "Hulshof", "given" : "Catherine M.", "non-dropping-particle" : "", "parse-names" : false, "suffix" : "" }, { "dropping-particle" : "", "family" : "Swenson", "given" : "Nathan G.", "non-dropping-particle" : "", "parse-names" : false, "suffix" : "" }, { "dropping-particle" : "", "family" : "Weiser", "given" : "Michael D.", "non-dropping-particle" : "", "parse-names" : false, "suffix" : "" } ], "container-title" : "Ecology and Evolution", "id" : "ITEM-2", "issued" : { "date-parts" : [ [ "2015" ] ] }, "page" : "1193\u20131204", "title" : "Tree height-diameter allometry across the United States", "type" : "article-journal", "volume" : "5" }, "uris" : [ "http://www.mendeley.com/documents/?uuid=acef59cf-c674-46a6-9b08-d42fe0678711" ] } ], "mendeley" : { "formattedCitation" : "(Lines &lt;i&gt;et al.&lt;/i&gt;, 2012; Hulshof &lt;i&gt;et al.&lt;/i&gt;, 2015)", "manualFormatting" : "(Lines et al. 2012; Hulshof et al. 2015; see Fig. S6)", "plainTextFormattedCitation" : "(Lines et al., 2012; Hulshof et al., 2015)", "previouslyFormattedCitation" : "(Lines &lt;i&gt;et al.&lt;/i&gt;, 2012; Hulshof &lt;i&gt;et al.&lt;/i&gt;, 2015)" }, "properties" : { "noteIndex" : 0 }, "schema" : "https://github.com/citation-style-language/schema/raw/master/csl-citation.json" }</w:instrText>
      </w:r>
      <w:r w:rsidR="00572AD9">
        <w:fldChar w:fldCharType="separate"/>
      </w:r>
      <w:r w:rsidR="007A4148" w:rsidRPr="007A4148">
        <w:rPr>
          <w:noProof/>
        </w:rPr>
        <w:t xml:space="preserve">(Lines </w:t>
      </w:r>
      <w:r w:rsidR="007A4148" w:rsidRPr="007A4148">
        <w:rPr>
          <w:i/>
          <w:noProof/>
        </w:rPr>
        <w:t>et al.</w:t>
      </w:r>
      <w:r w:rsidR="007A4148" w:rsidRPr="007A4148">
        <w:rPr>
          <w:noProof/>
        </w:rPr>
        <w:t xml:space="preserve"> 2012; Hulshof </w:t>
      </w:r>
      <w:r w:rsidR="007A4148" w:rsidRPr="007A4148">
        <w:rPr>
          <w:i/>
          <w:noProof/>
        </w:rPr>
        <w:t>et al.</w:t>
      </w:r>
      <w:r w:rsidR="007A4148" w:rsidRPr="007A4148">
        <w:rPr>
          <w:noProof/>
        </w:rPr>
        <w:t xml:space="preserve"> 2015</w:t>
      </w:r>
      <w:r w:rsidR="007A4148">
        <w:rPr>
          <w:noProof/>
        </w:rPr>
        <w:t>; see Fig. S</w:t>
      </w:r>
      <w:r w:rsidR="00F13BF1">
        <w:rPr>
          <w:noProof/>
        </w:rPr>
        <w:t>6</w:t>
      </w:r>
      <w:r w:rsidR="007A4148" w:rsidRPr="007A4148">
        <w:rPr>
          <w:noProof/>
        </w:rPr>
        <w:t>)</w:t>
      </w:r>
      <w:r w:rsidR="00572AD9">
        <w:fldChar w:fldCharType="end"/>
      </w:r>
      <w:r w:rsidR="007A4148">
        <w:t>.</w:t>
      </w:r>
      <w:r w:rsidR="00E12E5A">
        <w:t xml:space="preserve"> Here we provide equations for estimating a tree’s stem diameter based on its height and crown diameter (i.e., </w:t>
      </w:r>
      <w:r w:rsidR="00E12E5A" w:rsidRPr="00E12E5A">
        <w:rPr>
          <w:i/>
        </w:rPr>
        <w:t>H × CD</w:t>
      </w:r>
      <w:r w:rsidR="00E12E5A">
        <w:t>) for each region, forest type functional group (Tables S3 and S4).</w:t>
      </w:r>
    </w:p>
    <w:p w:rsidR="00446609" w:rsidRDefault="00096452" w:rsidP="00631CBE">
      <w:r>
        <w:rPr>
          <w:noProof/>
          <w:lang w:val="en-US"/>
        </w:rPr>
        <w:drawing>
          <wp:inline distT="0" distB="0" distL="0" distR="0">
            <wp:extent cx="5731510" cy="5731510"/>
            <wp:effectExtent l="19050" t="0" r="2540" b="0"/>
            <wp:docPr id="4" name="Picture 3" descr="C:\Users\Tommaso Jucker\Desktop\PostDoc\BALI project\Sepilok biomass\D-H allometries\Figures and tables\Fig. S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aso Jucker\Desktop\PostDoc\BALI project\Sepilok biomass\D-H allometries\Figures and tables\Fig. S4.tiff"/>
                    <pic:cNvPicPr>
                      <a:picLocks noChangeAspect="1" noChangeArrowheads="1"/>
                    </pic:cNvPicPr>
                  </pic:nvPicPr>
                  <pic:blipFill>
                    <a:blip r:embed="rId16" cstate="print"/>
                    <a:srcRect/>
                    <a:stretch>
                      <a:fillRect/>
                    </a:stretch>
                  </pic:blipFill>
                  <pic:spPr bwMode="auto">
                    <a:xfrm>
                      <a:off x="0" y="0"/>
                      <a:ext cx="5731510" cy="5731510"/>
                    </a:xfrm>
                    <a:prstGeom prst="rect">
                      <a:avLst/>
                    </a:prstGeom>
                    <a:noFill/>
                    <a:ln w="9525">
                      <a:noFill/>
                      <a:miter lim="800000"/>
                      <a:headEnd/>
                      <a:tailEnd/>
                    </a:ln>
                  </pic:spPr>
                </pic:pic>
              </a:graphicData>
            </a:graphic>
          </wp:inline>
        </w:drawing>
      </w:r>
    </w:p>
    <w:p w:rsidR="00EC242A" w:rsidRPr="00EC242A" w:rsidRDefault="00EC242A" w:rsidP="00631CBE">
      <w:pPr>
        <w:rPr>
          <w:sz w:val="22"/>
        </w:rPr>
      </w:pPr>
      <w:r w:rsidRPr="00EC242A">
        <w:rPr>
          <w:b/>
          <w:sz w:val="22"/>
        </w:rPr>
        <w:t>Fig. S</w:t>
      </w:r>
      <w:r w:rsidR="009C7CAC">
        <w:rPr>
          <w:b/>
          <w:sz w:val="22"/>
        </w:rPr>
        <w:t>5</w:t>
      </w:r>
      <w:r w:rsidRPr="00EC242A">
        <w:rPr>
          <w:b/>
          <w:sz w:val="22"/>
        </w:rPr>
        <w:t xml:space="preserve"> |</w:t>
      </w:r>
      <w:r w:rsidRPr="00EC242A">
        <w:rPr>
          <w:sz w:val="22"/>
        </w:rPr>
        <w:t xml:space="preserve"> </w:t>
      </w:r>
      <w:r>
        <w:rPr>
          <w:sz w:val="22"/>
        </w:rPr>
        <w:t xml:space="preserve">Scaling relationships </w:t>
      </w:r>
      <w:proofErr w:type="gramStart"/>
      <w:r>
        <w:rPr>
          <w:sz w:val="22"/>
        </w:rPr>
        <w:t>between  height</w:t>
      </w:r>
      <w:proofErr w:type="gramEnd"/>
      <w:r>
        <w:rPr>
          <w:sz w:val="22"/>
        </w:rPr>
        <w:t xml:space="preserve"> and stem diameter and crown diameter and stem diameter for angiosperm  and gymnosperm</w:t>
      </w:r>
      <w:r w:rsidR="00A35C40">
        <w:rPr>
          <w:sz w:val="22"/>
        </w:rPr>
        <w:t xml:space="preserve"> trees</w:t>
      </w:r>
      <w:r>
        <w:rPr>
          <w:sz w:val="22"/>
        </w:rPr>
        <w:t>.</w:t>
      </w:r>
      <w:r w:rsidR="00A35C40">
        <w:rPr>
          <w:sz w:val="22"/>
        </w:rPr>
        <w:t xml:space="preserve"> Grey points correspond to individual trees, while fitted lines illustrate how scaling relationships vary among forest types. </w:t>
      </w:r>
      <w:r>
        <w:rPr>
          <w:sz w:val="22"/>
        </w:rPr>
        <w:t xml:space="preserve"> </w:t>
      </w:r>
    </w:p>
    <w:p w:rsidR="00096452" w:rsidRDefault="00096452" w:rsidP="00631CBE">
      <w:r>
        <w:rPr>
          <w:noProof/>
          <w:lang w:val="en-US"/>
        </w:rPr>
        <w:lastRenderedPageBreak/>
        <w:drawing>
          <wp:inline distT="0" distB="0" distL="0" distR="0">
            <wp:extent cx="5731510" cy="5657850"/>
            <wp:effectExtent l="19050" t="0" r="2540" b="0"/>
            <wp:docPr id="3" name="Picture 2" descr="C:\Users\Tommaso Jucker\Desktop\PostDoc\BALI project\Sepilok biomass\D-H allometries\Figures and tables\Fig. S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maso Jucker\Desktop\PostDoc\BALI project\Sepilok biomass\D-H allometries\Figures and tables\Fig. S5.tiff"/>
                    <pic:cNvPicPr>
                      <a:picLocks noChangeAspect="1" noChangeArrowheads="1"/>
                    </pic:cNvPicPr>
                  </pic:nvPicPr>
                  <pic:blipFill>
                    <a:blip r:embed="rId17" cstate="print"/>
                    <a:srcRect t="1329"/>
                    <a:stretch>
                      <a:fillRect/>
                    </a:stretch>
                  </pic:blipFill>
                  <pic:spPr bwMode="auto">
                    <a:xfrm>
                      <a:off x="0" y="0"/>
                      <a:ext cx="5731510" cy="5657850"/>
                    </a:xfrm>
                    <a:prstGeom prst="rect">
                      <a:avLst/>
                    </a:prstGeom>
                    <a:noFill/>
                    <a:ln w="9525">
                      <a:noFill/>
                      <a:miter lim="800000"/>
                      <a:headEnd/>
                      <a:tailEnd/>
                    </a:ln>
                  </pic:spPr>
                </pic:pic>
              </a:graphicData>
            </a:graphic>
          </wp:inline>
        </w:drawing>
      </w:r>
    </w:p>
    <w:p w:rsidR="00096452" w:rsidRPr="00894142" w:rsidRDefault="00A35C40" w:rsidP="00894142">
      <w:pPr>
        <w:autoSpaceDE w:val="0"/>
        <w:autoSpaceDN w:val="0"/>
        <w:adjustRightInd w:val="0"/>
        <w:spacing w:after="0" w:line="240" w:lineRule="auto"/>
        <w:jc w:val="left"/>
        <w:rPr>
          <w:rFonts w:ascii="Tahoma" w:hAnsi="Tahoma" w:cs="Tahoma"/>
          <w:sz w:val="20"/>
          <w:szCs w:val="20"/>
          <w:lang w:val="en-US"/>
        </w:rPr>
      </w:pPr>
      <w:r w:rsidRPr="00255C06">
        <w:rPr>
          <w:b/>
          <w:sz w:val="22"/>
          <w:szCs w:val="22"/>
        </w:rPr>
        <w:t>Fig. S</w:t>
      </w:r>
      <w:r w:rsidR="009C7CAC">
        <w:rPr>
          <w:b/>
          <w:sz w:val="22"/>
          <w:szCs w:val="22"/>
        </w:rPr>
        <w:t>6</w:t>
      </w:r>
      <w:r w:rsidRPr="00255C06">
        <w:rPr>
          <w:b/>
          <w:sz w:val="22"/>
          <w:szCs w:val="22"/>
        </w:rPr>
        <w:t xml:space="preserve"> |</w:t>
      </w:r>
      <w:r w:rsidRPr="00255C06">
        <w:rPr>
          <w:sz w:val="22"/>
          <w:szCs w:val="22"/>
        </w:rPr>
        <w:t xml:space="preserve"> </w:t>
      </w:r>
      <w:r w:rsidR="002344FB" w:rsidRPr="00255C06">
        <w:rPr>
          <w:sz w:val="22"/>
          <w:szCs w:val="22"/>
        </w:rPr>
        <w:t xml:space="preserve">Effects of mean annual </w:t>
      </w:r>
      <w:proofErr w:type="gramStart"/>
      <w:r w:rsidR="002344FB" w:rsidRPr="00255C06">
        <w:rPr>
          <w:sz w:val="22"/>
          <w:szCs w:val="22"/>
        </w:rPr>
        <w:t>precipitation  and</w:t>
      </w:r>
      <w:proofErr w:type="gramEnd"/>
      <w:r w:rsidR="002344FB" w:rsidRPr="00255C06">
        <w:rPr>
          <w:sz w:val="22"/>
          <w:szCs w:val="22"/>
        </w:rPr>
        <w:t xml:space="preserve"> temperature  on</w:t>
      </w:r>
      <w:r w:rsidR="007463D9">
        <w:rPr>
          <w:sz w:val="22"/>
          <w:szCs w:val="22"/>
        </w:rPr>
        <w:t xml:space="preserve"> </w:t>
      </w:r>
      <w:proofErr w:type="spellStart"/>
      <w:r w:rsidR="007463D9" w:rsidRPr="007463D9">
        <w:rPr>
          <w:rFonts w:ascii="Tahoma" w:hAnsi="Tahoma" w:cs="Tahoma"/>
          <w:color w:val="000000"/>
          <w:sz w:val="18"/>
          <w:szCs w:val="20"/>
          <w:lang w:val="en-US"/>
        </w:rPr>
        <w:t>allometric</w:t>
      </w:r>
      <w:proofErr w:type="spellEnd"/>
      <w:r w:rsidR="007463D9" w:rsidRPr="007463D9">
        <w:rPr>
          <w:rFonts w:ascii="Tahoma" w:hAnsi="Tahoma" w:cs="Tahoma"/>
          <w:color w:val="000000"/>
          <w:sz w:val="18"/>
          <w:szCs w:val="20"/>
          <w:lang w:val="en-US"/>
        </w:rPr>
        <w:t xml:space="preserve"> </w:t>
      </w:r>
      <w:r w:rsidR="002344FB" w:rsidRPr="00255C06">
        <w:rPr>
          <w:sz w:val="22"/>
          <w:szCs w:val="22"/>
        </w:rPr>
        <w:t>s</w:t>
      </w:r>
      <w:r w:rsidRPr="00255C06">
        <w:rPr>
          <w:sz w:val="22"/>
          <w:szCs w:val="22"/>
        </w:rPr>
        <w:t>caling relationships</w:t>
      </w:r>
      <w:r w:rsidR="00740345">
        <w:rPr>
          <w:sz w:val="22"/>
          <w:szCs w:val="22"/>
        </w:rPr>
        <w:t>.</w:t>
      </w:r>
      <w:r w:rsidRPr="00255C06">
        <w:rPr>
          <w:sz w:val="22"/>
          <w:szCs w:val="22"/>
        </w:rPr>
        <w:t xml:space="preserve"> </w:t>
      </w:r>
      <w:r w:rsidR="002344FB" w:rsidRPr="00255C06">
        <w:rPr>
          <w:sz w:val="22"/>
          <w:szCs w:val="22"/>
        </w:rPr>
        <w:t xml:space="preserve">Curves </w:t>
      </w:r>
      <w:r w:rsidR="00E10A5B" w:rsidRPr="00255C06">
        <w:rPr>
          <w:sz w:val="22"/>
          <w:szCs w:val="22"/>
        </w:rPr>
        <w:t xml:space="preserve">were obtained from linear models relating </w:t>
      </w:r>
      <w:r w:rsidR="00E10A5B" w:rsidRPr="00255C06">
        <w:rPr>
          <w:i/>
          <w:sz w:val="22"/>
          <w:szCs w:val="22"/>
        </w:rPr>
        <w:t>H</w:t>
      </w:r>
      <w:r w:rsidR="00E10A5B" w:rsidRPr="00255C06">
        <w:rPr>
          <w:sz w:val="22"/>
          <w:szCs w:val="22"/>
        </w:rPr>
        <w:t xml:space="preserve"> and </w:t>
      </w:r>
      <w:r w:rsidR="00E10A5B" w:rsidRPr="00255C06">
        <w:rPr>
          <w:i/>
          <w:sz w:val="22"/>
          <w:szCs w:val="22"/>
        </w:rPr>
        <w:t>CD</w:t>
      </w:r>
      <w:r w:rsidR="00E10A5B" w:rsidRPr="00255C06">
        <w:rPr>
          <w:sz w:val="22"/>
          <w:szCs w:val="22"/>
        </w:rPr>
        <w:t xml:space="preserve"> to </w:t>
      </w:r>
      <w:r w:rsidR="00255C06" w:rsidRPr="00255C06">
        <w:rPr>
          <w:i/>
          <w:sz w:val="22"/>
          <w:szCs w:val="22"/>
        </w:rPr>
        <w:t>D</w:t>
      </w:r>
      <w:r w:rsidR="00255C06" w:rsidRPr="00255C06">
        <w:rPr>
          <w:sz w:val="22"/>
          <w:szCs w:val="22"/>
        </w:rPr>
        <w:t xml:space="preserve">, </w:t>
      </w:r>
      <w:r w:rsidR="00255C06" w:rsidRPr="00255C06">
        <w:rPr>
          <w:i/>
          <w:sz w:val="22"/>
          <w:szCs w:val="22"/>
        </w:rPr>
        <w:t>MAP</w:t>
      </w:r>
      <w:r w:rsidR="00255C06" w:rsidRPr="00255C06">
        <w:rPr>
          <w:sz w:val="22"/>
          <w:szCs w:val="22"/>
        </w:rPr>
        <w:t xml:space="preserve"> and </w:t>
      </w:r>
      <w:r w:rsidR="00255C06" w:rsidRPr="00255C06">
        <w:rPr>
          <w:i/>
          <w:sz w:val="22"/>
          <w:szCs w:val="22"/>
        </w:rPr>
        <w:t>MAT</w:t>
      </w:r>
      <w:r w:rsidR="00255C06" w:rsidRPr="00255C06">
        <w:rPr>
          <w:sz w:val="22"/>
          <w:szCs w:val="22"/>
        </w:rPr>
        <w:t xml:space="preserve"> </w:t>
      </w:r>
      <w:r w:rsidR="00E10A5B" w:rsidRPr="00255C06">
        <w:rPr>
          <w:sz w:val="22"/>
          <w:szCs w:val="22"/>
        </w:rPr>
        <w:t xml:space="preserve">[e.g., </w:t>
      </w:r>
      <m:oMath>
        <m:r>
          <m:rPr>
            <m:sty m:val="p"/>
          </m:rPr>
          <w:rPr>
            <w:rFonts w:ascii="Cambria Math"/>
            <w:sz w:val="22"/>
            <w:szCs w:val="22"/>
          </w:rPr>
          <m:t>ln</m:t>
        </m:r>
        <m:d>
          <m:dPr>
            <m:ctrlPr>
              <w:rPr>
                <w:rFonts w:ascii="Cambria Math" w:hAnsi="Cambria Math"/>
                <w:i/>
                <w:sz w:val="22"/>
                <w:szCs w:val="22"/>
              </w:rPr>
            </m:ctrlPr>
          </m:dPr>
          <m:e>
            <m:r>
              <w:rPr>
                <w:rFonts w:ascii="Cambria Math" w:hAnsi="Cambria Math"/>
                <w:sz w:val="22"/>
                <w:szCs w:val="22"/>
              </w:rPr>
              <m:t>H</m:t>
            </m:r>
          </m:e>
        </m:d>
        <m:r>
          <w:rPr>
            <w:rFonts w:asci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sz w:val="22"/>
                <w:szCs w:val="22"/>
              </w:rPr>
              <m:t>0</m:t>
            </m:r>
          </m:sub>
        </m:sSub>
        <m:r>
          <w:rPr>
            <w:rFonts w:asci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sz w:val="22"/>
                <w:szCs w:val="22"/>
              </w:rPr>
              <m:t>1</m:t>
            </m:r>
          </m:sub>
        </m:sSub>
        <m:r>
          <m:rPr>
            <m:sty m:val="p"/>
          </m:rPr>
          <w:rPr>
            <w:rFonts w:ascii="Cambria Math"/>
            <w:sz w:val="22"/>
            <w:szCs w:val="22"/>
          </w:rPr>
          <m:t>ln</m:t>
        </m:r>
        <m:d>
          <m:dPr>
            <m:ctrlPr>
              <w:rPr>
                <w:rFonts w:ascii="Cambria Math" w:hAnsi="Cambria Math"/>
                <w:sz w:val="22"/>
                <w:szCs w:val="22"/>
              </w:rPr>
            </m:ctrlPr>
          </m:dPr>
          <m:e>
            <m:r>
              <w:rPr>
                <w:rFonts w:ascii="Cambria Math" w:hAnsi="Cambria Math"/>
                <w:sz w:val="22"/>
                <w:szCs w:val="22"/>
              </w:rPr>
              <m:t>D</m:t>
            </m:r>
          </m:e>
        </m:d>
        <m:r>
          <m:rPr>
            <m:sty m:val="p"/>
          </m:rPr>
          <w:rPr>
            <w:rFonts w:asci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sz w:val="22"/>
                <w:szCs w:val="22"/>
              </w:rPr>
              <m:t>2</m:t>
            </m:r>
          </m:sub>
        </m:sSub>
        <m:r>
          <m:rPr>
            <m:sty m:val="p"/>
          </m:rPr>
          <w:rPr>
            <w:rFonts w:ascii="Cambria Math"/>
            <w:sz w:val="22"/>
            <w:szCs w:val="22"/>
          </w:rPr>
          <m:t>MAP+</m:t>
        </m:r>
        <m:sSub>
          <m:sSubPr>
            <m:ctrlPr>
              <w:rPr>
                <w:rFonts w:ascii="Cambria Math" w:hAnsi="Cambria Math"/>
                <w:i/>
                <w:sz w:val="22"/>
                <w:szCs w:val="22"/>
              </w:rPr>
            </m:ctrlPr>
          </m:sSubPr>
          <m:e>
            <m:r>
              <w:rPr>
                <w:rFonts w:ascii="Cambria Math" w:hAnsi="Cambria Math"/>
                <w:sz w:val="22"/>
                <w:szCs w:val="22"/>
              </w:rPr>
              <m:t>β</m:t>
            </m:r>
          </m:e>
          <m:sub>
            <m:r>
              <w:rPr>
                <w:rFonts w:ascii="Cambria Math"/>
                <w:sz w:val="22"/>
                <w:szCs w:val="22"/>
              </w:rPr>
              <m:t>3</m:t>
            </m:r>
          </m:sub>
        </m:sSub>
        <m:r>
          <m:rPr>
            <m:sty m:val="p"/>
          </m:rPr>
          <w:rPr>
            <w:rFonts w:ascii="Cambria Math"/>
            <w:sz w:val="22"/>
            <w:szCs w:val="22"/>
          </w:rPr>
          <m:t>MAT+</m:t>
        </m:r>
        <m:r>
          <m:rPr>
            <m:sty m:val="p"/>
          </m:rPr>
          <w:rPr>
            <w:rFonts w:ascii="Cambria Math" w:hAnsi="Cambria Math"/>
            <w:sz w:val="22"/>
            <w:szCs w:val="22"/>
          </w:rPr>
          <m:t>ε</m:t>
        </m:r>
      </m:oMath>
      <w:r w:rsidR="00E10A5B" w:rsidRPr="00255C06">
        <w:rPr>
          <w:sz w:val="22"/>
          <w:szCs w:val="22"/>
        </w:rPr>
        <w:t>]</w:t>
      </w:r>
      <w:r w:rsidR="00255C06" w:rsidRPr="00255C06">
        <w:rPr>
          <w:sz w:val="22"/>
          <w:szCs w:val="22"/>
        </w:rPr>
        <w:t xml:space="preserve">, and illustrate how variation in one of the climatic variables </w:t>
      </w:r>
      <w:r w:rsidR="00255C06">
        <w:rPr>
          <w:sz w:val="22"/>
          <w:szCs w:val="22"/>
        </w:rPr>
        <w:t>[</w:t>
      </w:r>
      <w:r w:rsidR="00255C06" w:rsidRPr="00255C06">
        <w:rPr>
          <w:sz w:val="22"/>
          <w:szCs w:val="22"/>
        </w:rPr>
        <w:t xml:space="preserve">e.g., </w:t>
      </w:r>
      <w:r w:rsidR="00255C06" w:rsidRPr="00255C06">
        <w:rPr>
          <w:i/>
          <w:sz w:val="22"/>
          <w:szCs w:val="22"/>
        </w:rPr>
        <w:t>MAP</w:t>
      </w:r>
      <w:r w:rsidR="00255C06" w:rsidRPr="00255C06">
        <w:rPr>
          <w:sz w:val="22"/>
          <w:szCs w:val="22"/>
        </w:rPr>
        <w:t xml:space="preserve"> for panels </w:t>
      </w:r>
      <w:r w:rsidR="00255C06">
        <w:rPr>
          <w:sz w:val="22"/>
          <w:szCs w:val="22"/>
        </w:rPr>
        <w:t>(</w:t>
      </w:r>
      <w:r w:rsidR="00255C06" w:rsidRPr="00255C06">
        <w:rPr>
          <w:b/>
          <w:sz w:val="22"/>
          <w:szCs w:val="22"/>
        </w:rPr>
        <w:t>a-c</w:t>
      </w:r>
      <w:r w:rsidR="00255C06" w:rsidRPr="00255C06">
        <w:rPr>
          <w:sz w:val="22"/>
          <w:szCs w:val="22"/>
        </w:rPr>
        <w:t>)</w:t>
      </w:r>
      <w:r w:rsidR="00255C06">
        <w:rPr>
          <w:sz w:val="22"/>
          <w:szCs w:val="22"/>
        </w:rPr>
        <w:t>]</w:t>
      </w:r>
      <w:r w:rsidR="00255C06" w:rsidRPr="00255C06">
        <w:rPr>
          <w:sz w:val="22"/>
          <w:szCs w:val="22"/>
        </w:rPr>
        <w:t xml:space="preserve"> influences allometric scaling relationships while keeping the other variable constant at its mean value. </w:t>
      </w:r>
      <w:r w:rsidR="00E10A5B" w:rsidRPr="00255C06">
        <w:rPr>
          <w:sz w:val="22"/>
          <w:szCs w:val="22"/>
        </w:rPr>
        <w:t>For instance, panel (</w:t>
      </w:r>
      <w:r w:rsidR="00E10A5B" w:rsidRPr="00255C06">
        <w:rPr>
          <w:b/>
          <w:sz w:val="22"/>
          <w:szCs w:val="22"/>
        </w:rPr>
        <w:t>a</w:t>
      </w:r>
      <w:r w:rsidR="00E10A5B" w:rsidRPr="00255C06">
        <w:rPr>
          <w:sz w:val="22"/>
          <w:szCs w:val="22"/>
        </w:rPr>
        <w:t xml:space="preserve">) shows how </w:t>
      </w:r>
      <w:r w:rsidR="00255C06" w:rsidRPr="00255C06">
        <w:rPr>
          <w:i/>
          <w:sz w:val="22"/>
          <w:szCs w:val="22"/>
        </w:rPr>
        <w:t>H–D</w:t>
      </w:r>
      <w:r w:rsidR="00255C06">
        <w:rPr>
          <w:sz w:val="22"/>
          <w:szCs w:val="22"/>
        </w:rPr>
        <w:t xml:space="preserve"> relationships of trees growing at 12.7 </w:t>
      </w:r>
      <w:r w:rsidR="00255C06" w:rsidRPr="00255C06">
        <w:rPr>
          <w:sz w:val="22"/>
          <w:szCs w:val="22"/>
        </w:rPr>
        <w:t>°C</w:t>
      </w:r>
      <w:r w:rsidR="00255C06">
        <w:rPr>
          <w:sz w:val="22"/>
          <w:szCs w:val="22"/>
        </w:rPr>
        <w:t xml:space="preserve"> vary along a MAP gradient ranging from 200 to 3000 mm of rain per year</w:t>
      </w:r>
      <w:r w:rsidR="00255C06" w:rsidRPr="00255C06">
        <w:rPr>
          <w:sz w:val="22"/>
          <w:szCs w:val="22"/>
        </w:rPr>
        <w:t>.</w:t>
      </w:r>
      <w:r w:rsidR="00096452" w:rsidRPr="00255C06">
        <w:rPr>
          <w:sz w:val="22"/>
          <w:szCs w:val="22"/>
        </w:rPr>
        <w:br w:type="page"/>
      </w:r>
    </w:p>
    <w:p w:rsidR="00646542" w:rsidRDefault="00450CF7" w:rsidP="00344851">
      <w:pPr>
        <w:pStyle w:val="Heading3"/>
        <w:spacing w:after="120"/>
      </w:pPr>
      <w:bookmarkStart w:id="7" w:name="_Toc452798016"/>
      <w:r>
        <w:lastRenderedPageBreak/>
        <w:t xml:space="preserve">Region- and </w:t>
      </w:r>
      <w:r w:rsidR="00344851">
        <w:t xml:space="preserve">forest type-specific </w:t>
      </w:r>
      <w:r w:rsidR="00646542">
        <w:t>equations</w:t>
      </w:r>
      <w:bookmarkEnd w:id="7"/>
    </w:p>
    <w:p w:rsidR="0097245C" w:rsidRPr="000F7D56" w:rsidRDefault="00016A2C" w:rsidP="000F7D56">
      <w:pPr>
        <w:autoSpaceDE w:val="0"/>
        <w:autoSpaceDN w:val="0"/>
        <w:adjustRightInd w:val="0"/>
        <w:spacing w:after="0" w:line="240" w:lineRule="auto"/>
        <w:jc w:val="left"/>
        <w:rPr>
          <w:rFonts w:ascii="Tahoma" w:hAnsi="Tahoma" w:cs="Tahoma"/>
          <w:sz w:val="20"/>
          <w:szCs w:val="20"/>
          <w:lang w:val="en-US"/>
        </w:rPr>
      </w:pPr>
      <w:r w:rsidRPr="00344851">
        <w:rPr>
          <w:b/>
          <w:sz w:val="22"/>
          <w:szCs w:val="22"/>
        </w:rPr>
        <w:t>Table S</w:t>
      </w:r>
      <w:r w:rsidR="00917D23" w:rsidRPr="00344851">
        <w:rPr>
          <w:b/>
          <w:sz w:val="22"/>
          <w:szCs w:val="22"/>
        </w:rPr>
        <w:t>3</w:t>
      </w:r>
      <w:r w:rsidRPr="00344851">
        <w:rPr>
          <w:b/>
          <w:sz w:val="22"/>
          <w:szCs w:val="22"/>
        </w:rPr>
        <w:t xml:space="preserve"> |</w:t>
      </w:r>
      <w:r w:rsidR="0097245C" w:rsidRPr="00344851">
        <w:rPr>
          <w:b/>
          <w:sz w:val="22"/>
          <w:szCs w:val="22"/>
        </w:rPr>
        <w:t xml:space="preserve"> </w:t>
      </w:r>
      <w:r w:rsidR="000F7D56">
        <w:rPr>
          <w:rFonts w:ascii="Tahoma" w:hAnsi="Tahoma" w:cs="Tahoma"/>
          <w:color w:val="000000"/>
          <w:sz w:val="20"/>
          <w:szCs w:val="20"/>
          <w:lang w:val="en-US"/>
        </w:rPr>
        <w:t xml:space="preserve">Regional stem diameter </w:t>
      </w:r>
      <w:proofErr w:type="spellStart"/>
      <w:r w:rsidR="000F7D56">
        <w:rPr>
          <w:rFonts w:ascii="Tahoma" w:hAnsi="Tahoma" w:cs="Tahoma"/>
          <w:color w:val="000000"/>
          <w:sz w:val="20"/>
          <w:szCs w:val="20"/>
          <w:lang w:val="en-US"/>
        </w:rPr>
        <w:t>allometries</w:t>
      </w:r>
      <w:proofErr w:type="spellEnd"/>
      <w:r w:rsidR="00C46F9A" w:rsidRPr="00344851">
        <w:rPr>
          <w:sz w:val="22"/>
          <w:szCs w:val="22"/>
        </w:rPr>
        <w:t>.</w:t>
      </w:r>
      <w:r w:rsidR="0097245C" w:rsidRPr="00344851">
        <w:rPr>
          <w:sz w:val="22"/>
          <w:szCs w:val="22"/>
        </w:rPr>
        <w:t xml:space="preserve"> </w:t>
      </w:r>
      <w:r w:rsidR="00344851" w:rsidRPr="00344851">
        <w:rPr>
          <w:sz w:val="22"/>
          <w:szCs w:val="22"/>
        </w:rPr>
        <w:t xml:space="preserve">The </w:t>
      </w:r>
      <w:r w:rsidR="00344851" w:rsidRPr="00344851">
        <w:rPr>
          <w:sz w:val="22"/>
        </w:rPr>
        <w:t>average tree-level coefficient of variation (CV)</w:t>
      </w:r>
      <w:r w:rsidR="00344851">
        <w:rPr>
          <w:sz w:val="22"/>
        </w:rPr>
        <w:t xml:space="preserve"> is reported for each model subset.</w:t>
      </w:r>
    </w:p>
    <w:tbl>
      <w:tblPr>
        <w:tblW w:w="8520" w:type="dxa"/>
        <w:jc w:val="center"/>
        <w:tblLook w:val="04A0"/>
      </w:tblPr>
      <w:tblGrid>
        <w:gridCol w:w="2260"/>
        <w:gridCol w:w="3020"/>
        <w:gridCol w:w="1120"/>
        <w:gridCol w:w="1120"/>
        <w:gridCol w:w="1000"/>
      </w:tblGrid>
      <w:tr w:rsidR="00917D23" w:rsidRPr="00917D23" w:rsidTr="00477AC2">
        <w:trPr>
          <w:trHeight w:val="300"/>
          <w:jc w:val="center"/>
        </w:trPr>
        <w:tc>
          <w:tcPr>
            <w:tcW w:w="226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b/>
                <w:bCs/>
                <w:color w:val="000000"/>
                <w:lang w:eastAsia="en-GB"/>
              </w:rPr>
            </w:pPr>
            <w:r w:rsidRPr="00917D23">
              <w:rPr>
                <w:rFonts w:eastAsia="Times New Roman"/>
                <w:b/>
                <w:bCs/>
                <w:color w:val="000000"/>
                <w:sz w:val="22"/>
                <w:szCs w:val="22"/>
                <w:lang w:eastAsia="en-GB"/>
              </w:rPr>
              <w:t xml:space="preserve">Biogeographic </w:t>
            </w:r>
            <w:r w:rsidR="00477AC2">
              <w:rPr>
                <w:rFonts w:eastAsia="Times New Roman"/>
                <w:b/>
                <w:bCs/>
                <w:color w:val="000000"/>
                <w:sz w:val="22"/>
                <w:szCs w:val="22"/>
                <w:lang w:eastAsia="en-GB"/>
              </w:rPr>
              <w:t xml:space="preserve"> </w:t>
            </w:r>
            <w:r w:rsidRPr="00917D23">
              <w:rPr>
                <w:rFonts w:eastAsia="Times New Roman"/>
                <w:b/>
                <w:bCs/>
                <w:color w:val="000000"/>
                <w:sz w:val="22"/>
                <w:szCs w:val="22"/>
                <w:lang w:eastAsia="en-GB"/>
              </w:rPr>
              <w:t>region</w:t>
            </w:r>
          </w:p>
        </w:tc>
        <w:tc>
          <w:tcPr>
            <w:tcW w:w="302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b/>
                <w:bCs/>
                <w:color w:val="000000"/>
                <w:lang w:eastAsia="en-GB"/>
              </w:rPr>
            </w:pPr>
            <w:r>
              <w:rPr>
                <w:rFonts w:eastAsia="Times New Roman"/>
                <w:b/>
                <w:bCs/>
                <w:color w:val="000000"/>
                <w:sz w:val="22"/>
                <w:szCs w:val="22"/>
                <w:lang w:eastAsia="en-GB"/>
              </w:rPr>
              <w:t>Forest</w:t>
            </w:r>
            <w:r w:rsidRPr="00917D23">
              <w:rPr>
                <w:rFonts w:eastAsia="Times New Roman"/>
                <w:b/>
                <w:bCs/>
                <w:color w:val="000000"/>
                <w:sz w:val="22"/>
                <w:szCs w:val="22"/>
                <w:lang w:eastAsia="en-GB"/>
              </w:rPr>
              <w:t xml:space="preserve"> type</w:t>
            </w:r>
          </w:p>
        </w:tc>
        <w:tc>
          <w:tcPr>
            <w:tcW w:w="112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b/>
                <w:bCs/>
                <w:color w:val="000000"/>
                <w:lang w:eastAsia="en-GB"/>
              </w:rPr>
            </w:pPr>
            <w:r w:rsidRPr="00917D23">
              <w:rPr>
                <w:rFonts w:eastAsia="Times New Roman"/>
                <w:b/>
                <w:bCs/>
                <w:color w:val="000000"/>
                <w:sz w:val="22"/>
                <w:szCs w:val="22"/>
                <w:lang w:eastAsia="en-GB"/>
              </w:rPr>
              <w:t>α</w:t>
            </w:r>
          </w:p>
        </w:tc>
        <w:tc>
          <w:tcPr>
            <w:tcW w:w="112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b/>
                <w:bCs/>
                <w:color w:val="000000"/>
                <w:lang w:eastAsia="en-GB"/>
              </w:rPr>
            </w:pPr>
            <w:r w:rsidRPr="00917D23">
              <w:rPr>
                <w:rFonts w:eastAsia="Times New Roman"/>
                <w:b/>
                <w:bCs/>
                <w:color w:val="000000"/>
                <w:sz w:val="22"/>
                <w:szCs w:val="22"/>
                <w:lang w:eastAsia="en-GB"/>
              </w:rPr>
              <w:t>β</w:t>
            </w:r>
          </w:p>
        </w:tc>
        <w:tc>
          <w:tcPr>
            <w:tcW w:w="100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477AC2">
            <w:pPr>
              <w:spacing w:after="0" w:line="240" w:lineRule="auto"/>
              <w:jc w:val="right"/>
              <w:rPr>
                <w:rFonts w:eastAsia="Times New Roman"/>
                <w:b/>
                <w:bCs/>
                <w:color w:val="000000"/>
                <w:lang w:eastAsia="en-GB"/>
              </w:rPr>
            </w:pPr>
            <w:r w:rsidRPr="00917D23">
              <w:rPr>
                <w:rFonts w:eastAsia="Times New Roman"/>
                <w:b/>
                <w:bCs/>
                <w:color w:val="000000"/>
                <w:sz w:val="22"/>
                <w:szCs w:val="22"/>
                <w:lang w:eastAsia="en-GB"/>
              </w:rPr>
              <w:t>CV (%)</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proofErr w:type="spellStart"/>
            <w:r w:rsidRPr="00917D23">
              <w:rPr>
                <w:rFonts w:eastAsia="Times New Roman"/>
                <w:color w:val="000000"/>
                <w:sz w:val="22"/>
                <w:szCs w:val="22"/>
                <w:lang w:eastAsia="en-GB"/>
              </w:rPr>
              <w:t>Afrotropic</w:t>
            </w:r>
            <w:proofErr w:type="spellEnd"/>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0.436</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0.818</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45.1</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proofErr w:type="spellStart"/>
            <w:r w:rsidRPr="00917D23">
              <w:rPr>
                <w:rFonts w:eastAsia="Times New Roman"/>
                <w:color w:val="000000"/>
                <w:sz w:val="22"/>
                <w:szCs w:val="22"/>
                <w:lang w:eastAsia="en-GB"/>
              </w:rPr>
              <w:t>Afrotropic</w:t>
            </w:r>
            <w:proofErr w:type="spellEnd"/>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12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1.267</w:t>
            </w:r>
          </w:p>
        </w:tc>
        <w:tc>
          <w:tcPr>
            <w:tcW w:w="112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0.749</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59.4</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Australasia</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0.757</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0.817</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39.1</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Australasia</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12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0.519</w:t>
            </w:r>
          </w:p>
        </w:tc>
        <w:tc>
          <w:tcPr>
            <w:tcW w:w="112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0.890</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43.1</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Indo-Malaya</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0.486</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0.803</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40.5</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Boreal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0.493</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0.835</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57.1</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coniferous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0.551</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0.822</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40.2</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0.381</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0.884</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32.7</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0.758</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0.786</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33.5</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proofErr w:type="spellStart"/>
            <w:r w:rsidRPr="00917D23">
              <w:rPr>
                <w:rFonts w:eastAsia="Times New Roman"/>
                <w:color w:val="000000"/>
                <w:sz w:val="22"/>
                <w:szCs w:val="22"/>
                <w:lang w:eastAsia="en-GB"/>
              </w:rPr>
              <w:t>Neotropic</w:t>
            </w:r>
            <w:proofErr w:type="spellEnd"/>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0.590</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0.782</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41.8</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Boreal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1.395</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0.646</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26.9</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coniferous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0.331</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0.941</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38.9</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0.708</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0.753</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28.5</w:t>
            </w:r>
          </w:p>
        </w:tc>
      </w:tr>
      <w:tr w:rsidR="00917D23" w:rsidRPr="00917D23" w:rsidTr="00917D23">
        <w:trPr>
          <w:trHeight w:val="300"/>
          <w:jc w:val="center"/>
        </w:trPr>
        <w:tc>
          <w:tcPr>
            <w:tcW w:w="226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30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0.537</w:t>
            </w:r>
          </w:p>
        </w:tc>
        <w:tc>
          <w:tcPr>
            <w:tcW w:w="11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0.793</w:t>
            </w:r>
          </w:p>
        </w:tc>
        <w:tc>
          <w:tcPr>
            <w:tcW w:w="100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30.6</w:t>
            </w:r>
          </w:p>
        </w:tc>
      </w:tr>
      <w:tr w:rsidR="00917D23" w:rsidRPr="00917D23" w:rsidTr="00917D23">
        <w:trPr>
          <w:trHeight w:val="300"/>
          <w:jc w:val="center"/>
        </w:trPr>
        <w:tc>
          <w:tcPr>
            <w:tcW w:w="2260"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3020"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120"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0.819</w:t>
            </w:r>
          </w:p>
        </w:tc>
        <w:tc>
          <w:tcPr>
            <w:tcW w:w="1120"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0.785</w:t>
            </w:r>
          </w:p>
        </w:tc>
        <w:tc>
          <w:tcPr>
            <w:tcW w:w="1000" w:type="dxa"/>
            <w:tcBorders>
              <w:top w:val="nil"/>
              <w:left w:val="nil"/>
              <w:bottom w:val="single" w:sz="4" w:space="0" w:color="auto"/>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43.4</w:t>
            </w:r>
          </w:p>
        </w:tc>
      </w:tr>
    </w:tbl>
    <w:p w:rsidR="00646542" w:rsidRPr="00646542" w:rsidRDefault="00646542" w:rsidP="00646542"/>
    <w:p w:rsidR="009075AE" w:rsidRDefault="009075AE">
      <w:pPr>
        <w:jc w:val="left"/>
        <w:rPr>
          <w:rFonts w:eastAsiaTheme="majorEastAsia"/>
          <w:bCs/>
          <w:i/>
        </w:rPr>
      </w:pPr>
      <w:r>
        <w:br w:type="page"/>
      </w:r>
    </w:p>
    <w:p w:rsidR="00646542" w:rsidRDefault="00646542" w:rsidP="00344851">
      <w:pPr>
        <w:pStyle w:val="Heading3"/>
        <w:spacing w:after="120"/>
      </w:pPr>
      <w:bookmarkStart w:id="8" w:name="_Toc452798017"/>
      <w:r>
        <w:lastRenderedPageBreak/>
        <w:t>Functional group-specific equations</w:t>
      </w:r>
      <w:r w:rsidR="00917D23">
        <w:t xml:space="preserve"> for each forest type and biogeographic region</w:t>
      </w:r>
      <w:bookmarkEnd w:id="8"/>
    </w:p>
    <w:p w:rsidR="00016A2C" w:rsidRPr="00335BE1" w:rsidRDefault="00016A2C" w:rsidP="00335BE1">
      <w:pPr>
        <w:autoSpaceDE w:val="0"/>
        <w:autoSpaceDN w:val="0"/>
        <w:adjustRightInd w:val="0"/>
        <w:spacing w:after="0" w:line="240" w:lineRule="auto"/>
        <w:jc w:val="left"/>
        <w:rPr>
          <w:rFonts w:ascii="Tahoma" w:hAnsi="Tahoma" w:cs="Tahoma"/>
          <w:sz w:val="20"/>
          <w:szCs w:val="20"/>
          <w:lang w:val="en-US"/>
        </w:rPr>
      </w:pPr>
      <w:proofErr w:type="gramStart"/>
      <w:r w:rsidRPr="00344851">
        <w:rPr>
          <w:b/>
          <w:sz w:val="22"/>
        </w:rPr>
        <w:t>Table S</w:t>
      </w:r>
      <w:r w:rsidR="00917D23" w:rsidRPr="00344851">
        <w:rPr>
          <w:b/>
          <w:sz w:val="22"/>
        </w:rPr>
        <w:t>4</w:t>
      </w:r>
      <w:r w:rsidRPr="00344851">
        <w:rPr>
          <w:b/>
          <w:sz w:val="22"/>
        </w:rPr>
        <w:t xml:space="preserve"> </w:t>
      </w:r>
      <w:r w:rsidR="00335BE1">
        <w:rPr>
          <w:rFonts w:ascii="Tahoma" w:hAnsi="Tahoma" w:cs="Tahoma"/>
          <w:color w:val="000000"/>
          <w:sz w:val="20"/>
          <w:szCs w:val="20"/>
          <w:lang w:val="en-US"/>
        </w:rPr>
        <w:t xml:space="preserve">Regional stem diameter </w:t>
      </w:r>
      <w:proofErr w:type="spellStart"/>
      <w:r w:rsidR="00335BE1">
        <w:rPr>
          <w:rFonts w:ascii="Tahoma" w:hAnsi="Tahoma" w:cs="Tahoma"/>
          <w:color w:val="000000"/>
          <w:sz w:val="20"/>
          <w:szCs w:val="20"/>
          <w:lang w:val="en-US"/>
        </w:rPr>
        <w:t>allometries</w:t>
      </w:r>
      <w:proofErr w:type="spellEnd"/>
      <w:r w:rsidR="00335BE1">
        <w:rPr>
          <w:rFonts w:ascii="Tahoma" w:hAnsi="Tahoma" w:cs="Tahoma"/>
          <w:color w:val="000000"/>
          <w:sz w:val="20"/>
          <w:szCs w:val="20"/>
          <w:lang w:val="en-US"/>
        </w:rPr>
        <w:t xml:space="preserve"> for angiosperms and gymnosperms</w:t>
      </w:r>
      <w:r w:rsidR="00335BE1">
        <w:rPr>
          <w:rFonts w:ascii="Tahoma" w:hAnsi="Tahoma" w:cs="Tahoma"/>
          <w:sz w:val="20"/>
          <w:szCs w:val="20"/>
          <w:lang w:val="en-US"/>
        </w:rPr>
        <w:t>.</w:t>
      </w:r>
      <w:proofErr w:type="gramEnd"/>
      <w:r w:rsidR="00344851">
        <w:rPr>
          <w:sz w:val="22"/>
        </w:rPr>
        <w:t xml:space="preserve"> </w:t>
      </w:r>
      <w:r w:rsidR="00344851" w:rsidRPr="00344851">
        <w:rPr>
          <w:sz w:val="22"/>
          <w:szCs w:val="22"/>
        </w:rPr>
        <w:t xml:space="preserve">The </w:t>
      </w:r>
      <w:r w:rsidR="00344851" w:rsidRPr="00344851">
        <w:rPr>
          <w:sz w:val="22"/>
        </w:rPr>
        <w:t>average tree-level coefficient of variation (CV)</w:t>
      </w:r>
      <w:r w:rsidR="00344851">
        <w:rPr>
          <w:sz w:val="22"/>
        </w:rPr>
        <w:t xml:space="preserve"> is reported for each model subset.</w:t>
      </w:r>
    </w:p>
    <w:tbl>
      <w:tblPr>
        <w:tblW w:w="8692" w:type="dxa"/>
        <w:jc w:val="center"/>
        <w:tblLook w:val="04A0"/>
      </w:tblPr>
      <w:tblGrid>
        <w:gridCol w:w="1610"/>
        <w:gridCol w:w="2876"/>
        <w:gridCol w:w="1720"/>
        <w:gridCol w:w="770"/>
        <w:gridCol w:w="756"/>
        <w:gridCol w:w="960"/>
      </w:tblGrid>
      <w:tr w:rsidR="00917D23" w:rsidRPr="00917D23" w:rsidTr="00BB6410">
        <w:trPr>
          <w:trHeight w:val="300"/>
          <w:jc w:val="center"/>
        </w:trPr>
        <w:tc>
          <w:tcPr>
            <w:tcW w:w="161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b/>
                <w:bCs/>
                <w:color w:val="000000"/>
                <w:lang w:eastAsia="en-GB"/>
              </w:rPr>
            </w:pPr>
            <w:r w:rsidRPr="00917D23">
              <w:rPr>
                <w:rFonts w:eastAsia="Times New Roman"/>
                <w:b/>
                <w:bCs/>
                <w:color w:val="000000"/>
                <w:sz w:val="22"/>
                <w:szCs w:val="22"/>
                <w:lang w:eastAsia="en-GB"/>
              </w:rPr>
              <w:t xml:space="preserve">Biogeographic </w:t>
            </w:r>
            <w:r w:rsidR="00BB6410">
              <w:rPr>
                <w:rFonts w:eastAsia="Times New Roman"/>
                <w:b/>
                <w:bCs/>
                <w:color w:val="000000"/>
                <w:sz w:val="22"/>
                <w:szCs w:val="22"/>
                <w:lang w:eastAsia="en-GB"/>
              </w:rPr>
              <w:t xml:space="preserve"> </w:t>
            </w:r>
            <w:r w:rsidRPr="00917D23">
              <w:rPr>
                <w:rFonts w:eastAsia="Times New Roman"/>
                <w:b/>
                <w:bCs/>
                <w:color w:val="000000"/>
                <w:sz w:val="22"/>
                <w:szCs w:val="22"/>
                <w:lang w:eastAsia="en-GB"/>
              </w:rPr>
              <w:t>region</w:t>
            </w:r>
          </w:p>
        </w:tc>
        <w:tc>
          <w:tcPr>
            <w:tcW w:w="2876"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b/>
                <w:bCs/>
                <w:color w:val="000000"/>
                <w:lang w:eastAsia="en-GB"/>
              </w:rPr>
            </w:pPr>
            <w:r w:rsidRPr="00917D23">
              <w:rPr>
                <w:rFonts w:eastAsia="Times New Roman"/>
                <w:b/>
                <w:bCs/>
                <w:color w:val="000000"/>
                <w:sz w:val="22"/>
                <w:szCs w:val="22"/>
                <w:lang w:eastAsia="en-GB"/>
              </w:rPr>
              <w:t>Forest type</w:t>
            </w:r>
          </w:p>
        </w:tc>
        <w:tc>
          <w:tcPr>
            <w:tcW w:w="172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b/>
                <w:bCs/>
                <w:color w:val="000000"/>
                <w:lang w:eastAsia="en-GB"/>
              </w:rPr>
            </w:pPr>
            <w:r w:rsidRPr="00917D23">
              <w:rPr>
                <w:rFonts w:eastAsia="Times New Roman"/>
                <w:b/>
                <w:bCs/>
                <w:color w:val="000000"/>
                <w:sz w:val="22"/>
                <w:szCs w:val="22"/>
                <w:lang w:eastAsia="en-GB"/>
              </w:rPr>
              <w:t xml:space="preserve">Functional </w:t>
            </w:r>
            <w:r w:rsidR="00BB6410">
              <w:rPr>
                <w:rFonts w:eastAsia="Times New Roman"/>
                <w:b/>
                <w:bCs/>
                <w:color w:val="000000"/>
                <w:sz w:val="22"/>
                <w:szCs w:val="22"/>
                <w:lang w:eastAsia="en-GB"/>
              </w:rPr>
              <w:t xml:space="preserve"> </w:t>
            </w:r>
            <w:r w:rsidRPr="00917D23">
              <w:rPr>
                <w:rFonts w:eastAsia="Times New Roman"/>
                <w:b/>
                <w:bCs/>
                <w:color w:val="000000"/>
                <w:sz w:val="22"/>
                <w:szCs w:val="22"/>
                <w:lang w:eastAsia="en-GB"/>
              </w:rPr>
              <w:t>group</w:t>
            </w:r>
          </w:p>
        </w:tc>
        <w:tc>
          <w:tcPr>
            <w:tcW w:w="77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b/>
                <w:bCs/>
                <w:color w:val="000000"/>
                <w:lang w:eastAsia="en-GB"/>
              </w:rPr>
            </w:pPr>
            <w:r w:rsidRPr="00917D23">
              <w:rPr>
                <w:rFonts w:eastAsia="Times New Roman"/>
                <w:b/>
                <w:bCs/>
                <w:color w:val="000000"/>
                <w:sz w:val="22"/>
                <w:szCs w:val="22"/>
                <w:lang w:eastAsia="en-GB"/>
              </w:rPr>
              <w:t>α</w:t>
            </w:r>
          </w:p>
        </w:tc>
        <w:tc>
          <w:tcPr>
            <w:tcW w:w="756"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b/>
                <w:bCs/>
                <w:color w:val="000000"/>
                <w:lang w:eastAsia="en-GB"/>
              </w:rPr>
            </w:pPr>
            <w:r w:rsidRPr="00917D23">
              <w:rPr>
                <w:rFonts w:eastAsia="Times New Roman"/>
                <w:b/>
                <w:bCs/>
                <w:color w:val="000000"/>
                <w:sz w:val="22"/>
                <w:szCs w:val="22"/>
                <w:lang w:eastAsia="en-GB"/>
              </w:rPr>
              <w:t>β</w:t>
            </w:r>
          </w:p>
        </w:tc>
        <w:tc>
          <w:tcPr>
            <w:tcW w:w="960" w:type="dxa"/>
            <w:tcBorders>
              <w:top w:val="single" w:sz="4" w:space="0" w:color="auto"/>
              <w:left w:val="nil"/>
              <w:bottom w:val="single" w:sz="4" w:space="0" w:color="auto"/>
              <w:right w:val="nil"/>
            </w:tcBorders>
            <w:shd w:val="clear" w:color="auto" w:fill="auto"/>
            <w:noWrap/>
            <w:vAlign w:val="center"/>
            <w:hideMark/>
          </w:tcPr>
          <w:p w:rsidR="00917D23" w:rsidRPr="00917D23" w:rsidRDefault="00917D23" w:rsidP="00BB6410">
            <w:pPr>
              <w:spacing w:after="0" w:line="240" w:lineRule="auto"/>
              <w:jc w:val="right"/>
              <w:rPr>
                <w:rFonts w:eastAsia="Times New Roman"/>
                <w:b/>
                <w:bCs/>
                <w:color w:val="000000"/>
                <w:lang w:eastAsia="en-GB"/>
              </w:rPr>
            </w:pPr>
            <w:r w:rsidRPr="00917D23">
              <w:rPr>
                <w:rFonts w:eastAsia="Times New Roman"/>
                <w:b/>
                <w:bCs/>
                <w:color w:val="000000"/>
                <w:sz w:val="22"/>
                <w:szCs w:val="22"/>
                <w:lang w:eastAsia="en-GB"/>
              </w:rPr>
              <w:t>CV (%)</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proofErr w:type="spellStart"/>
            <w:r w:rsidRPr="00917D23">
              <w:rPr>
                <w:rFonts w:eastAsia="Times New Roman"/>
                <w:color w:val="000000"/>
                <w:sz w:val="22"/>
                <w:szCs w:val="22"/>
                <w:lang w:eastAsia="en-GB"/>
              </w:rPr>
              <w:t>Afrotropic</w:t>
            </w:r>
            <w:proofErr w:type="spellEnd"/>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0.428</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0.821</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45.0</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proofErr w:type="spellStart"/>
            <w:r w:rsidRPr="00917D23">
              <w:rPr>
                <w:rFonts w:eastAsia="Times New Roman"/>
                <w:color w:val="000000"/>
                <w:sz w:val="22"/>
                <w:szCs w:val="22"/>
                <w:lang w:eastAsia="en-GB"/>
              </w:rPr>
              <w:t>Afrotropic</w:t>
            </w:r>
            <w:proofErr w:type="spellEnd"/>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1.268</w:t>
            </w:r>
          </w:p>
        </w:tc>
        <w:tc>
          <w:tcPr>
            <w:tcW w:w="756"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0.750</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59.6</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Australasia</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0.769</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0.811</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37.9</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Australasia</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0.603</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0.891</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33.3</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Australasia</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0.519</w:t>
            </w:r>
          </w:p>
        </w:tc>
        <w:tc>
          <w:tcPr>
            <w:tcW w:w="756"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0.890</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43.0</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Indo-Malaya</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0.486</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0.802</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40.3</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Boreal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0.286</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0.865</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32.9</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Boreal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0.815</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0.771</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49.4</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coniferous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0.343</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0.844</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28.0</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coniferous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0.589</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0.817</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37.9</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0.367</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0.887</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31.6</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0.861</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0.755</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24.7</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0.617</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0.790</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25.0</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Nearctic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1.133</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0.745</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23.4</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proofErr w:type="spellStart"/>
            <w:r w:rsidRPr="00917D23">
              <w:rPr>
                <w:rFonts w:eastAsia="Times New Roman"/>
                <w:color w:val="000000"/>
                <w:sz w:val="22"/>
                <w:szCs w:val="22"/>
                <w:lang w:eastAsia="en-GB"/>
              </w:rPr>
              <w:t>Neotropic</w:t>
            </w:r>
            <w:proofErr w:type="spellEnd"/>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0.591</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0.781</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41.7</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Boreal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0.467</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0.839</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28.1</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Boreal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1.430</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0.649</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23.4</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coniferous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0.273</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0.927</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37.4</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coniferous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0.974</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0.748</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25.2</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0.694</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0.730</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23.4</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Temperate mixed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1.004</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0.730</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25.3</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Tropical forests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0.540</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0.791</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30.3</w:t>
            </w:r>
          </w:p>
        </w:tc>
      </w:tr>
      <w:tr w:rsidR="00917D23" w:rsidRPr="00917D23" w:rsidTr="00BB6410">
        <w:trPr>
          <w:trHeight w:val="300"/>
          <w:jc w:val="center"/>
        </w:trPr>
        <w:tc>
          <w:tcPr>
            <w:tcW w:w="161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72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Angiosperm</w:t>
            </w:r>
          </w:p>
        </w:tc>
        <w:tc>
          <w:tcPr>
            <w:tcW w:w="770"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0.910</w:t>
            </w:r>
          </w:p>
        </w:tc>
        <w:tc>
          <w:tcPr>
            <w:tcW w:w="756" w:type="dxa"/>
            <w:tcBorders>
              <w:top w:val="nil"/>
              <w:left w:val="nil"/>
              <w:bottom w:val="nil"/>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0.738</w:t>
            </w:r>
          </w:p>
        </w:tc>
        <w:tc>
          <w:tcPr>
            <w:tcW w:w="960" w:type="dxa"/>
            <w:tcBorders>
              <w:top w:val="nil"/>
              <w:left w:val="nil"/>
              <w:bottom w:val="nil"/>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37.9</w:t>
            </w:r>
          </w:p>
        </w:tc>
      </w:tr>
      <w:tr w:rsidR="00917D23" w:rsidRPr="00917D23" w:rsidTr="00BB6410">
        <w:trPr>
          <w:trHeight w:val="300"/>
          <w:jc w:val="center"/>
        </w:trPr>
        <w:tc>
          <w:tcPr>
            <w:tcW w:w="1610"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Palearctic</w:t>
            </w:r>
          </w:p>
        </w:tc>
        <w:tc>
          <w:tcPr>
            <w:tcW w:w="2876"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000000"/>
                <w:lang w:eastAsia="en-GB"/>
              </w:rPr>
            </w:pPr>
            <w:r w:rsidRPr="00917D23">
              <w:rPr>
                <w:rFonts w:eastAsia="Times New Roman"/>
                <w:color w:val="000000"/>
                <w:sz w:val="22"/>
                <w:szCs w:val="22"/>
                <w:lang w:eastAsia="en-GB"/>
              </w:rPr>
              <w:t>Woodlands and savannas</w:t>
            </w:r>
          </w:p>
        </w:tc>
        <w:tc>
          <w:tcPr>
            <w:tcW w:w="1720"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left"/>
              <w:rPr>
                <w:rFonts w:eastAsia="Times New Roman"/>
                <w:color w:val="222222"/>
                <w:lang w:eastAsia="en-GB"/>
              </w:rPr>
            </w:pPr>
            <w:r w:rsidRPr="00917D23">
              <w:rPr>
                <w:rFonts w:eastAsia="Times New Roman"/>
                <w:color w:val="222222"/>
                <w:sz w:val="22"/>
                <w:szCs w:val="22"/>
                <w:lang w:eastAsia="en-GB"/>
              </w:rPr>
              <w:t>Gymnosperm</w:t>
            </w:r>
          </w:p>
        </w:tc>
        <w:tc>
          <w:tcPr>
            <w:tcW w:w="770"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1.373</w:t>
            </w:r>
          </w:p>
        </w:tc>
        <w:tc>
          <w:tcPr>
            <w:tcW w:w="756" w:type="dxa"/>
            <w:tcBorders>
              <w:top w:val="nil"/>
              <w:left w:val="nil"/>
              <w:bottom w:val="single" w:sz="4" w:space="0" w:color="auto"/>
              <w:right w:val="nil"/>
            </w:tcBorders>
            <w:shd w:val="clear" w:color="auto" w:fill="auto"/>
            <w:noWrap/>
            <w:vAlign w:val="center"/>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0.717</w:t>
            </w:r>
          </w:p>
        </w:tc>
        <w:tc>
          <w:tcPr>
            <w:tcW w:w="960" w:type="dxa"/>
            <w:tcBorders>
              <w:top w:val="nil"/>
              <w:left w:val="nil"/>
              <w:bottom w:val="single" w:sz="4" w:space="0" w:color="auto"/>
              <w:right w:val="nil"/>
            </w:tcBorders>
            <w:shd w:val="clear" w:color="auto" w:fill="auto"/>
            <w:noWrap/>
            <w:vAlign w:val="bottom"/>
            <w:hideMark/>
          </w:tcPr>
          <w:p w:rsidR="00917D23" w:rsidRPr="00917D23" w:rsidRDefault="00917D23" w:rsidP="00917D23">
            <w:pPr>
              <w:spacing w:after="0" w:line="240" w:lineRule="auto"/>
              <w:jc w:val="right"/>
              <w:rPr>
                <w:rFonts w:eastAsia="Times New Roman"/>
                <w:color w:val="000000"/>
                <w:lang w:eastAsia="en-GB"/>
              </w:rPr>
            </w:pPr>
            <w:r w:rsidRPr="00917D23">
              <w:rPr>
                <w:rFonts w:eastAsia="Times New Roman"/>
                <w:color w:val="000000"/>
                <w:sz w:val="22"/>
                <w:szCs w:val="22"/>
                <w:lang w:eastAsia="en-GB"/>
              </w:rPr>
              <w:t>26.0</w:t>
            </w:r>
          </w:p>
        </w:tc>
      </w:tr>
    </w:tbl>
    <w:p w:rsidR="00646542" w:rsidRDefault="00646542" w:rsidP="00646542">
      <w:pPr>
        <w:pStyle w:val="Figure"/>
      </w:pPr>
    </w:p>
    <w:p w:rsidR="0085087B" w:rsidRDefault="0085087B">
      <w:pPr>
        <w:jc w:val="left"/>
        <w:rPr>
          <w:rFonts w:eastAsiaTheme="majorEastAsia"/>
          <w:b/>
          <w:bCs/>
          <w:szCs w:val="26"/>
        </w:rPr>
      </w:pPr>
      <w:r>
        <w:br w:type="page"/>
      </w:r>
    </w:p>
    <w:p w:rsidR="004B33C6" w:rsidRPr="00922D00" w:rsidRDefault="0053176B" w:rsidP="0053176B">
      <w:pPr>
        <w:pStyle w:val="Heading2"/>
      </w:pPr>
      <w:bookmarkStart w:id="9" w:name="_Toc452798018"/>
      <w:r>
        <w:lastRenderedPageBreak/>
        <w:t>References</w:t>
      </w:r>
      <w:bookmarkEnd w:id="9"/>
    </w:p>
    <w:p w:rsidR="003E4B6B" w:rsidRPr="003E4B6B" w:rsidRDefault="00572AD9" w:rsidP="00C11753">
      <w:pPr>
        <w:widowControl w:val="0"/>
        <w:autoSpaceDE w:val="0"/>
        <w:autoSpaceDN w:val="0"/>
        <w:adjustRightInd w:val="0"/>
        <w:spacing w:after="120" w:line="240" w:lineRule="auto"/>
        <w:ind w:left="480" w:hanging="480"/>
        <w:rPr>
          <w:noProof/>
        </w:rPr>
      </w:pPr>
      <w:r w:rsidRPr="00934BE8">
        <w:fldChar w:fldCharType="begin" w:fldLock="1"/>
      </w:r>
      <w:r w:rsidR="00A01D5C" w:rsidRPr="00934BE8">
        <w:instrText xml:space="preserve">ADDIN Mendeley Bibliography CSL_BIBLIOGRAPHY </w:instrText>
      </w:r>
      <w:r w:rsidRPr="00934BE8">
        <w:fldChar w:fldCharType="separate"/>
      </w:r>
      <w:r w:rsidR="003E4B6B" w:rsidRPr="003E4B6B">
        <w:rPr>
          <w:noProof/>
        </w:rPr>
        <w:t xml:space="preserve">Anderson-Teixeira KJ, McGarvey JC, Muller-Landau HC et al. (2015) Size-related scaling of tree form and function in a mixed-age forest. </w:t>
      </w:r>
      <w:r w:rsidR="003E4B6B" w:rsidRPr="003E4B6B">
        <w:rPr>
          <w:i/>
          <w:iCs/>
          <w:noProof/>
        </w:rPr>
        <w:t>Functional Ecology</w:t>
      </w:r>
      <w:r w:rsidR="003E4B6B" w:rsidRPr="003E4B6B">
        <w:rPr>
          <w:noProof/>
        </w:rPr>
        <w:t xml:space="preserve">, </w:t>
      </w:r>
      <w:r w:rsidR="003E4B6B" w:rsidRPr="003E4B6B">
        <w:rPr>
          <w:b/>
          <w:bCs/>
          <w:noProof/>
        </w:rPr>
        <w:t>29</w:t>
      </w:r>
      <w:r w:rsidR="003E4B6B" w:rsidRPr="003E4B6B">
        <w:rPr>
          <w:noProof/>
        </w:rPr>
        <w:t>, 1587–1602.</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Antin C, Pélissier R, Vincent G, Couteron P (2013) Crown allometries are less responsive than stem allometry to tree size and habitat variations in an Indian monsoon forest. </w:t>
      </w:r>
      <w:r w:rsidRPr="003E4B6B">
        <w:rPr>
          <w:i/>
          <w:iCs/>
          <w:noProof/>
        </w:rPr>
        <w:t>Trees - Structure and Function</w:t>
      </w:r>
      <w:r w:rsidRPr="003E4B6B">
        <w:rPr>
          <w:noProof/>
        </w:rPr>
        <w:t xml:space="preserve">, </w:t>
      </w:r>
      <w:r w:rsidRPr="003E4B6B">
        <w:rPr>
          <w:b/>
          <w:bCs/>
          <w:noProof/>
        </w:rPr>
        <w:t>27</w:t>
      </w:r>
      <w:r w:rsidRPr="003E4B6B">
        <w:rPr>
          <w:noProof/>
        </w:rPr>
        <w:t>, 1485–1495.</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Bongers F, Popma J, Meave del Castillo J, Carabias J (1988) Structure and floristic composition of the lowland rain forest of Los Tuxlas, Mexico. </w:t>
      </w:r>
      <w:r w:rsidRPr="003E4B6B">
        <w:rPr>
          <w:i/>
          <w:iCs/>
          <w:noProof/>
        </w:rPr>
        <w:t>Vegetatio</w:t>
      </w:r>
      <w:r w:rsidRPr="003E4B6B">
        <w:rPr>
          <w:noProof/>
        </w:rPr>
        <w:t xml:space="preserve">, </w:t>
      </w:r>
      <w:r w:rsidRPr="003E4B6B">
        <w:rPr>
          <w:b/>
          <w:bCs/>
          <w:noProof/>
        </w:rPr>
        <w:t>74</w:t>
      </w:r>
      <w:r w:rsidRPr="003E4B6B">
        <w:rPr>
          <w:noProof/>
        </w:rPr>
        <w:t>, 55–80.</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Caspersen JP, Vanderwel MC, Cole WG, Purves DW (2011) How stand productivity results from size- and competition-dependent growth and mortality. </w:t>
      </w:r>
      <w:r w:rsidRPr="003E4B6B">
        <w:rPr>
          <w:i/>
          <w:iCs/>
          <w:noProof/>
        </w:rPr>
        <w:t>PLoS ONE</w:t>
      </w:r>
      <w:r w:rsidRPr="003E4B6B">
        <w:rPr>
          <w:noProof/>
        </w:rPr>
        <w:t xml:space="preserve">, </w:t>
      </w:r>
      <w:r w:rsidRPr="003E4B6B">
        <w:rPr>
          <w:b/>
          <w:bCs/>
          <w:noProof/>
        </w:rPr>
        <w:t>6</w:t>
      </w:r>
      <w:r w:rsidRPr="003E4B6B">
        <w:rPr>
          <w:noProof/>
        </w:rPr>
        <w:t>, e28660.</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Chave J, Réjou-Méchain M, Búrquez A et al. (2014) Improved allometric models to estimate the aboveground biomass of tropical trees. </w:t>
      </w:r>
      <w:r w:rsidRPr="003E4B6B">
        <w:rPr>
          <w:i/>
          <w:iCs/>
          <w:noProof/>
        </w:rPr>
        <w:t>Global Change Biology</w:t>
      </w:r>
      <w:r w:rsidRPr="003E4B6B">
        <w:rPr>
          <w:noProof/>
        </w:rPr>
        <w:t xml:space="preserve">, </w:t>
      </w:r>
      <w:r w:rsidRPr="003E4B6B">
        <w:rPr>
          <w:b/>
          <w:bCs/>
          <w:noProof/>
        </w:rPr>
        <w:t>20</w:t>
      </w:r>
      <w:r w:rsidRPr="003E4B6B">
        <w:rPr>
          <w:noProof/>
        </w:rPr>
        <w:t>, 3177–3190.</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Cole WG, Lorimer CG (1994) Predicting tree growth from crown variables in managed northern hardwood stands. </w:t>
      </w:r>
      <w:r w:rsidRPr="003E4B6B">
        <w:rPr>
          <w:i/>
          <w:iCs/>
          <w:noProof/>
        </w:rPr>
        <w:t>Forest Ecology and Management</w:t>
      </w:r>
      <w:r w:rsidRPr="003E4B6B">
        <w:rPr>
          <w:noProof/>
        </w:rPr>
        <w:t xml:space="preserve">, </w:t>
      </w:r>
      <w:r w:rsidRPr="003E4B6B">
        <w:rPr>
          <w:b/>
          <w:bCs/>
          <w:noProof/>
        </w:rPr>
        <w:t>67</w:t>
      </w:r>
      <w:r w:rsidRPr="003E4B6B">
        <w:rPr>
          <w:noProof/>
        </w:rPr>
        <w:t>, 159–175.</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Coomes DA, Flores O, Holdaway R, Jucker T, Lines ER, Vanderwel MC (2014) Wood production response to climate change will depend critically on forest composition and structure. </w:t>
      </w:r>
      <w:r w:rsidRPr="003E4B6B">
        <w:rPr>
          <w:i/>
          <w:iCs/>
          <w:noProof/>
        </w:rPr>
        <w:t>Global Change Biology</w:t>
      </w:r>
      <w:r w:rsidRPr="003E4B6B">
        <w:rPr>
          <w:noProof/>
        </w:rPr>
        <w:t xml:space="preserve">, </w:t>
      </w:r>
      <w:r w:rsidRPr="003E4B6B">
        <w:rPr>
          <w:b/>
          <w:bCs/>
          <w:noProof/>
        </w:rPr>
        <w:t>20</w:t>
      </w:r>
      <w:r w:rsidRPr="003E4B6B">
        <w:rPr>
          <w:noProof/>
        </w:rPr>
        <w:t>, 3632–3645.</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Dalponte M, Coomes DA (2016) Tree-centric mapping of forest carbon density from airborne laser scanning and hyperspectral data. </w:t>
      </w:r>
      <w:r w:rsidRPr="003E4B6B">
        <w:rPr>
          <w:i/>
          <w:iCs/>
          <w:noProof/>
        </w:rPr>
        <w:t>Methods in Ecology and Evolution</w:t>
      </w:r>
      <w:r w:rsidRPr="003E4B6B">
        <w:rPr>
          <w:noProof/>
        </w:rPr>
        <w:t>.</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Dobbertin M, Neumann M, Schroeck H-W (2013) Chapter 10 – Tree Growth Measurements in Long-Term Forest Monitoring in Europe. In: </w:t>
      </w:r>
      <w:r w:rsidRPr="003E4B6B">
        <w:rPr>
          <w:i/>
          <w:iCs/>
          <w:noProof/>
        </w:rPr>
        <w:t>Developments in Environmental Science</w:t>
      </w:r>
      <w:r w:rsidRPr="003E4B6B">
        <w:rPr>
          <w:noProof/>
        </w:rPr>
        <w:t>, Vol. 12, pp. 183–204.</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Duncanson L, Rourke O, Dubayah R (2015) Small sample sizes yield biased allometric equations in temperate forests. </w:t>
      </w:r>
      <w:r w:rsidRPr="003E4B6B">
        <w:rPr>
          <w:i/>
          <w:iCs/>
          <w:noProof/>
        </w:rPr>
        <w:t>Scientific Reports</w:t>
      </w:r>
      <w:r w:rsidRPr="003E4B6B">
        <w:rPr>
          <w:noProof/>
        </w:rPr>
        <w:t xml:space="preserve">, </w:t>
      </w:r>
      <w:r w:rsidRPr="003E4B6B">
        <w:rPr>
          <w:b/>
          <w:bCs/>
          <w:noProof/>
        </w:rPr>
        <w:t>5</w:t>
      </w:r>
      <w:r w:rsidRPr="003E4B6B">
        <w:rPr>
          <w:noProof/>
        </w:rPr>
        <w:t>, 17153.</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Falster DS, Duursma RA, Ishihara MI et al. (2015) BAAD: a biomass and allometry database for woody plants. </w:t>
      </w:r>
      <w:r w:rsidRPr="003E4B6B">
        <w:rPr>
          <w:i/>
          <w:iCs/>
          <w:noProof/>
        </w:rPr>
        <w:t>Ecology</w:t>
      </w:r>
      <w:r w:rsidRPr="003E4B6B">
        <w:rPr>
          <w:noProof/>
        </w:rPr>
        <w:t xml:space="preserve">, </w:t>
      </w:r>
      <w:r w:rsidRPr="003E4B6B">
        <w:rPr>
          <w:b/>
          <w:bCs/>
          <w:noProof/>
        </w:rPr>
        <w:t>96</w:t>
      </w:r>
      <w:r w:rsidRPr="003E4B6B">
        <w:rPr>
          <w:noProof/>
        </w:rPr>
        <w:t>, 1445.</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Frost C, Thompson SG (2000) Correcting for regression dilution bias: comparison of methods for a single predictor variable. </w:t>
      </w:r>
      <w:r w:rsidRPr="003E4B6B">
        <w:rPr>
          <w:i/>
          <w:iCs/>
          <w:noProof/>
        </w:rPr>
        <w:t>Journal of the Royal Statistical Society: Series A (Statistics in Society)</w:t>
      </w:r>
      <w:r w:rsidRPr="003E4B6B">
        <w:rPr>
          <w:noProof/>
        </w:rPr>
        <w:t xml:space="preserve">, </w:t>
      </w:r>
      <w:r w:rsidRPr="003E4B6B">
        <w:rPr>
          <w:b/>
          <w:bCs/>
          <w:noProof/>
        </w:rPr>
        <w:t>163</w:t>
      </w:r>
      <w:r w:rsidRPr="003E4B6B">
        <w:rPr>
          <w:noProof/>
        </w:rPr>
        <w:t>, 173–189.</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Fuller WA (1987) </w:t>
      </w:r>
      <w:r w:rsidRPr="003E4B6B">
        <w:rPr>
          <w:i/>
          <w:iCs/>
          <w:noProof/>
        </w:rPr>
        <w:t>Measurement error models</w:t>
      </w:r>
      <w:r w:rsidRPr="003E4B6B">
        <w:rPr>
          <w:noProof/>
        </w:rPr>
        <w:t xml:space="preserve"> (ed Fuller WA). John Wiley, New York, 440 pp.</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Goodman RC, Phillips OL, Baker TR (2014) The importance of crown dimensions to improve tropical tree biomass estimates. </w:t>
      </w:r>
      <w:r w:rsidRPr="003E4B6B">
        <w:rPr>
          <w:i/>
          <w:iCs/>
          <w:noProof/>
        </w:rPr>
        <w:t>Ecological Applications</w:t>
      </w:r>
      <w:r w:rsidRPr="003E4B6B">
        <w:rPr>
          <w:noProof/>
        </w:rPr>
        <w:t xml:space="preserve">, </w:t>
      </w:r>
      <w:r w:rsidRPr="003E4B6B">
        <w:rPr>
          <w:b/>
          <w:bCs/>
          <w:noProof/>
        </w:rPr>
        <w:t>24</w:t>
      </w:r>
      <w:r w:rsidRPr="003E4B6B">
        <w:rPr>
          <w:noProof/>
        </w:rPr>
        <w:t>, 680–689.</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Groot A, Luther JE (2015) Hierarchical analysis of black spruce and balsam fir wood density in Newfoundland. </w:t>
      </w:r>
      <w:r w:rsidRPr="003E4B6B">
        <w:rPr>
          <w:i/>
          <w:iCs/>
          <w:noProof/>
        </w:rPr>
        <w:t>Canadian Journal of Forest Research</w:t>
      </w:r>
      <w:r w:rsidRPr="003E4B6B">
        <w:rPr>
          <w:noProof/>
        </w:rPr>
        <w:t xml:space="preserve">, </w:t>
      </w:r>
      <w:r w:rsidRPr="003E4B6B">
        <w:rPr>
          <w:b/>
          <w:bCs/>
          <w:noProof/>
        </w:rPr>
        <w:t>45</w:t>
      </w:r>
      <w:r w:rsidRPr="003E4B6B">
        <w:rPr>
          <w:noProof/>
        </w:rPr>
        <w:t>, 805–816.</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Guisasola R, Tang X, Bauhus J, Forrester DI (2015) Intra- and inter-specific differences in crown architecture in Chinese subtropical mixed-species forests. </w:t>
      </w:r>
      <w:r w:rsidRPr="003E4B6B">
        <w:rPr>
          <w:i/>
          <w:iCs/>
          <w:noProof/>
        </w:rPr>
        <w:t>Forest Ecology and Management</w:t>
      </w:r>
      <w:r w:rsidRPr="003E4B6B">
        <w:rPr>
          <w:noProof/>
        </w:rPr>
        <w:t xml:space="preserve">, </w:t>
      </w:r>
      <w:r w:rsidRPr="003E4B6B">
        <w:rPr>
          <w:b/>
          <w:bCs/>
          <w:noProof/>
        </w:rPr>
        <w:t>353</w:t>
      </w:r>
      <w:r w:rsidRPr="003E4B6B">
        <w:rPr>
          <w:noProof/>
        </w:rPr>
        <w:t>, 164–172.</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Henry M, Besnard A, Asante WAA et al. (2010) Wood density, phytomass variations within and among trees, and allometric equations in a tropical rainforest of Africa. </w:t>
      </w:r>
      <w:r w:rsidRPr="003E4B6B">
        <w:rPr>
          <w:i/>
          <w:iCs/>
          <w:noProof/>
        </w:rPr>
        <w:t>Forest Ecology and Management</w:t>
      </w:r>
      <w:r w:rsidRPr="003E4B6B">
        <w:rPr>
          <w:noProof/>
        </w:rPr>
        <w:t xml:space="preserve">, </w:t>
      </w:r>
      <w:r w:rsidRPr="003E4B6B">
        <w:rPr>
          <w:b/>
          <w:bCs/>
          <w:noProof/>
        </w:rPr>
        <w:t>260</w:t>
      </w:r>
      <w:r w:rsidRPr="003E4B6B">
        <w:rPr>
          <w:noProof/>
        </w:rPr>
        <w:t>, 1375–1388.</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lastRenderedPageBreak/>
        <w:t xml:space="preserve">Hulshof CM, Swenson NG, Weiser MD (2015) Tree height-diameter allometry across the United States. </w:t>
      </w:r>
      <w:r w:rsidRPr="003E4B6B">
        <w:rPr>
          <w:i/>
          <w:iCs/>
          <w:noProof/>
        </w:rPr>
        <w:t>Ecology and Evolution</w:t>
      </w:r>
      <w:r w:rsidRPr="003E4B6B">
        <w:rPr>
          <w:noProof/>
        </w:rPr>
        <w:t xml:space="preserve">, </w:t>
      </w:r>
      <w:r w:rsidRPr="003E4B6B">
        <w:rPr>
          <w:b/>
          <w:bCs/>
          <w:noProof/>
        </w:rPr>
        <w:t>5</w:t>
      </w:r>
      <w:r w:rsidRPr="003E4B6B">
        <w:rPr>
          <w:noProof/>
        </w:rPr>
        <w:t>, 1193–1204.</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Iida Y, Poorter L, Sterck FJ, Kassim AR, Kubo T, Potts MD, Kohyama TS (2012) Wood density explains architectural differentiation across 145 co-occurring tropical tree species. </w:t>
      </w:r>
      <w:r w:rsidRPr="003E4B6B">
        <w:rPr>
          <w:i/>
          <w:iCs/>
          <w:noProof/>
        </w:rPr>
        <w:t>Functional Ecology</w:t>
      </w:r>
      <w:r w:rsidRPr="003E4B6B">
        <w:rPr>
          <w:noProof/>
        </w:rPr>
        <w:t xml:space="preserve">, </w:t>
      </w:r>
      <w:r w:rsidRPr="003E4B6B">
        <w:rPr>
          <w:b/>
          <w:bCs/>
          <w:noProof/>
        </w:rPr>
        <w:t>26</w:t>
      </w:r>
      <w:r w:rsidRPr="003E4B6B">
        <w:rPr>
          <w:noProof/>
        </w:rPr>
        <w:t>, 274–282.</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Jucker T, Bouriaud O, Coomes DA (2015) Crown plasticity enables trees to optimize canopy packing in mixed-species forests. </w:t>
      </w:r>
      <w:r w:rsidRPr="003E4B6B">
        <w:rPr>
          <w:i/>
          <w:iCs/>
          <w:noProof/>
        </w:rPr>
        <w:t>Functional Ecology</w:t>
      </w:r>
      <w:r w:rsidRPr="003E4B6B">
        <w:rPr>
          <w:noProof/>
        </w:rPr>
        <w:t xml:space="preserve">, </w:t>
      </w:r>
      <w:r w:rsidRPr="003E4B6B">
        <w:rPr>
          <w:b/>
          <w:bCs/>
          <w:noProof/>
        </w:rPr>
        <w:t>29</w:t>
      </w:r>
      <w:r w:rsidRPr="003E4B6B">
        <w:rPr>
          <w:noProof/>
        </w:rPr>
        <w:t>, 1078–1086.</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Larjavaara M, Muller-Landau HC (2013) Measuring tree height: a quantitative comparison of two common field methods in a moist tropical forest. </w:t>
      </w:r>
      <w:r w:rsidRPr="003E4B6B">
        <w:rPr>
          <w:i/>
          <w:iCs/>
          <w:noProof/>
        </w:rPr>
        <w:t>Methods in Ecology and Evolution</w:t>
      </w:r>
      <w:r w:rsidRPr="003E4B6B">
        <w:rPr>
          <w:noProof/>
        </w:rPr>
        <w:t xml:space="preserve">, </w:t>
      </w:r>
      <w:r w:rsidRPr="003E4B6B">
        <w:rPr>
          <w:b/>
          <w:bCs/>
          <w:noProof/>
        </w:rPr>
        <w:t>4</w:t>
      </w:r>
      <w:r w:rsidRPr="003E4B6B">
        <w:rPr>
          <w:noProof/>
        </w:rPr>
        <w:t>, 793–801.</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Lines ER, Zavala MA, Purves DW, Coomes DA (2012) Predictable changes in aboveground allometry of trees along gradients of temperature, aridity and competition. </w:t>
      </w:r>
      <w:r w:rsidRPr="003E4B6B">
        <w:rPr>
          <w:i/>
          <w:iCs/>
          <w:noProof/>
        </w:rPr>
        <w:t>Global Ecology and Biogeography</w:t>
      </w:r>
      <w:r w:rsidRPr="003E4B6B">
        <w:rPr>
          <w:noProof/>
        </w:rPr>
        <w:t xml:space="preserve">, </w:t>
      </w:r>
      <w:r w:rsidRPr="003E4B6B">
        <w:rPr>
          <w:b/>
          <w:bCs/>
          <w:noProof/>
        </w:rPr>
        <w:t>21</w:t>
      </w:r>
      <w:r w:rsidRPr="003E4B6B">
        <w:rPr>
          <w:noProof/>
        </w:rPr>
        <w:t>, 1017–1028.</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Moncrieff GR, Lehmann CER, Schnitzler J et al. (2014) Contrasting architecture of key African and Australian savanna tree taxa drives intercontinental structural divergence. </w:t>
      </w:r>
      <w:r w:rsidRPr="003E4B6B">
        <w:rPr>
          <w:i/>
          <w:iCs/>
          <w:noProof/>
        </w:rPr>
        <w:t>Global Ecology and Biogeography</w:t>
      </w:r>
      <w:r w:rsidRPr="003E4B6B">
        <w:rPr>
          <w:noProof/>
        </w:rPr>
        <w:t xml:space="preserve">, </w:t>
      </w:r>
      <w:r w:rsidRPr="003E4B6B">
        <w:rPr>
          <w:b/>
          <w:bCs/>
          <w:noProof/>
        </w:rPr>
        <w:t>23</w:t>
      </w:r>
      <w:r w:rsidRPr="003E4B6B">
        <w:rPr>
          <w:noProof/>
        </w:rPr>
        <w:t>, 1235–1244.</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Picard N, Saint-André L, Henry M (2012) </w:t>
      </w:r>
      <w:r w:rsidRPr="003E4B6B">
        <w:rPr>
          <w:i/>
          <w:iCs/>
          <w:noProof/>
        </w:rPr>
        <w:t>Manual for building tree volume and biomass allometric equations: from field measurement to prediction</w:t>
      </w:r>
      <w:r w:rsidRPr="003E4B6B">
        <w:rPr>
          <w:noProof/>
        </w:rPr>
        <w:t>. FAO, Rome and CIRAD, Montpellier, 215 pp.</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Ploton P, Barbier N, Momo ST et al. (2016) Closing a gap in tropical forest biomass estimation: accounting for crown mass variation in pantropical allometries. </w:t>
      </w:r>
      <w:r w:rsidRPr="003E4B6B">
        <w:rPr>
          <w:i/>
          <w:iCs/>
          <w:noProof/>
        </w:rPr>
        <w:t>Biogeosciences</w:t>
      </w:r>
      <w:r w:rsidRPr="003E4B6B">
        <w:rPr>
          <w:noProof/>
        </w:rPr>
        <w:t xml:space="preserve">, </w:t>
      </w:r>
      <w:r w:rsidRPr="003E4B6B">
        <w:rPr>
          <w:b/>
          <w:bCs/>
          <w:noProof/>
        </w:rPr>
        <w:t>13</w:t>
      </w:r>
      <w:r w:rsidRPr="003E4B6B">
        <w:rPr>
          <w:noProof/>
        </w:rPr>
        <w:t>, 1571–1585.</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Poorter L, Bongers F, Sterck FJ, Wöll H (2003) Architecture of 53 rain forest tree species differing in adult stature and shade tolerance. </w:t>
      </w:r>
      <w:r w:rsidRPr="003E4B6B">
        <w:rPr>
          <w:i/>
          <w:iCs/>
          <w:noProof/>
        </w:rPr>
        <w:t>Ecology</w:t>
      </w:r>
      <w:r w:rsidRPr="003E4B6B">
        <w:rPr>
          <w:noProof/>
        </w:rPr>
        <w:t xml:space="preserve">, </w:t>
      </w:r>
      <w:r w:rsidRPr="003E4B6B">
        <w:rPr>
          <w:b/>
          <w:bCs/>
          <w:noProof/>
        </w:rPr>
        <w:t>84</w:t>
      </w:r>
      <w:r w:rsidRPr="003E4B6B">
        <w:rPr>
          <w:noProof/>
        </w:rPr>
        <w:t>, 602–608.</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Poorter L, Bongers L, Bongers F (2006) Architecture of 54 moist-forest tree species: traits, trade-offs, and functional groups. </w:t>
      </w:r>
      <w:r w:rsidRPr="003E4B6B">
        <w:rPr>
          <w:i/>
          <w:iCs/>
          <w:noProof/>
        </w:rPr>
        <w:t>Ecology</w:t>
      </w:r>
      <w:r w:rsidRPr="003E4B6B">
        <w:rPr>
          <w:noProof/>
        </w:rPr>
        <w:t xml:space="preserve">, </w:t>
      </w:r>
      <w:r w:rsidRPr="003E4B6B">
        <w:rPr>
          <w:b/>
          <w:bCs/>
          <w:noProof/>
        </w:rPr>
        <w:t>87</w:t>
      </w:r>
      <w:r w:rsidRPr="003E4B6B">
        <w:rPr>
          <w:noProof/>
        </w:rPr>
        <w:t>, 1289–1301.</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Schlund M, von Poncet F, Kuntz S, Schmullius C, Hoekman DH (2015) TanDEM-X data for aboveground biomass retrieval in a tropical peat swamp forest. </w:t>
      </w:r>
      <w:r w:rsidRPr="003E4B6B">
        <w:rPr>
          <w:i/>
          <w:iCs/>
          <w:noProof/>
        </w:rPr>
        <w:t>Remote Sensing of Environment</w:t>
      </w:r>
      <w:r w:rsidRPr="003E4B6B">
        <w:rPr>
          <w:noProof/>
        </w:rPr>
        <w:t xml:space="preserve">, </w:t>
      </w:r>
      <w:r w:rsidRPr="003E4B6B">
        <w:rPr>
          <w:b/>
          <w:bCs/>
          <w:noProof/>
        </w:rPr>
        <w:t>158</w:t>
      </w:r>
      <w:r w:rsidRPr="003E4B6B">
        <w:rPr>
          <w:noProof/>
        </w:rPr>
        <w:t>, 255–266.</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Sterck FJ, Sterck FJ, Bongers F, Bongers F, Newbery DM, Newbery DM (2001) Tree architecture in a Bornean lowland rain forest: intraspecic and interspecic patterns. </w:t>
      </w:r>
      <w:r w:rsidRPr="003E4B6B">
        <w:rPr>
          <w:i/>
          <w:iCs/>
          <w:noProof/>
        </w:rPr>
        <w:t>Plant Ecology</w:t>
      </w:r>
      <w:r w:rsidRPr="003E4B6B">
        <w:rPr>
          <w:noProof/>
        </w:rPr>
        <w:t xml:space="preserve">, </w:t>
      </w:r>
      <w:r w:rsidRPr="003E4B6B">
        <w:rPr>
          <w:b/>
          <w:bCs/>
          <w:noProof/>
        </w:rPr>
        <w:t>153</w:t>
      </w:r>
      <w:r w:rsidRPr="003E4B6B">
        <w:rPr>
          <w:noProof/>
        </w:rPr>
        <w:t>, 279–292.</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Warton DI, Wright IJ, Falster DS, Westoby M (2006) Bivariate line-fitting methods for allometry. </w:t>
      </w:r>
      <w:r w:rsidRPr="003E4B6B">
        <w:rPr>
          <w:i/>
          <w:iCs/>
          <w:noProof/>
        </w:rPr>
        <w:t>Biological Reviews</w:t>
      </w:r>
      <w:r w:rsidRPr="003E4B6B">
        <w:rPr>
          <w:noProof/>
        </w:rPr>
        <w:t xml:space="preserve">, </w:t>
      </w:r>
      <w:r w:rsidRPr="003E4B6B">
        <w:rPr>
          <w:b/>
          <w:bCs/>
          <w:noProof/>
        </w:rPr>
        <w:t>81</w:t>
      </w:r>
      <w:r w:rsidRPr="003E4B6B">
        <w:rPr>
          <w:noProof/>
        </w:rPr>
        <w:t>, 259–91.</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Warton DI, Duursma RA, Falster DS, Taskinen S (2012) SMATR 3- an R package for estimation and inference about allometric lines. </w:t>
      </w:r>
      <w:r w:rsidRPr="003E4B6B">
        <w:rPr>
          <w:i/>
          <w:iCs/>
          <w:noProof/>
        </w:rPr>
        <w:t>Methods in Ecology and Evolution</w:t>
      </w:r>
      <w:r w:rsidRPr="003E4B6B">
        <w:rPr>
          <w:noProof/>
        </w:rPr>
        <w:t xml:space="preserve">, </w:t>
      </w:r>
      <w:r w:rsidRPr="003E4B6B">
        <w:rPr>
          <w:b/>
          <w:bCs/>
          <w:noProof/>
        </w:rPr>
        <w:t>3</w:t>
      </w:r>
      <w:r w:rsidRPr="003E4B6B">
        <w:rPr>
          <w:noProof/>
        </w:rPr>
        <w:t>, 257–259.</w:t>
      </w:r>
    </w:p>
    <w:p w:rsidR="003E4B6B" w:rsidRPr="003E4B6B" w:rsidRDefault="003E4B6B" w:rsidP="00C11753">
      <w:pPr>
        <w:widowControl w:val="0"/>
        <w:autoSpaceDE w:val="0"/>
        <w:autoSpaceDN w:val="0"/>
        <w:adjustRightInd w:val="0"/>
        <w:spacing w:after="120" w:line="240" w:lineRule="auto"/>
        <w:ind w:left="480" w:hanging="480"/>
        <w:rPr>
          <w:noProof/>
        </w:rPr>
      </w:pPr>
      <w:r w:rsidRPr="003E4B6B">
        <w:rPr>
          <w:noProof/>
        </w:rPr>
        <w:t xml:space="preserve">Wirth C, Schumacher J, Schulze E-D (2004) Generic biomass functions for Norway spruce in Central Europe - a meta-analysis approach toward prediction and uncertainty estimation. </w:t>
      </w:r>
      <w:r w:rsidRPr="003E4B6B">
        <w:rPr>
          <w:i/>
          <w:iCs/>
          <w:noProof/>
        </w:rPr>
        <w:t>Tree Physiology</w:t>
      </w:r>
      <w:r w:rsidRPr="003E4B6B">
        <w:rPr>
          <w:noProof/>
        </w:rPr>
        <w:t xml:space="preserve">, </w:t>
      </w:r>
      <w:r w:rsidRPr="003E4B6B">
        <w:rPr>
          <w:b/>
          <w:bCs/>
          <w:noProof/>
        </w:rPr>
        <w:t>24</w:t>
      </w:r>
      <w:r w:rsidRPr="003E4B6B">
        <w:rPr>
          <w:noProof/>
        </w:rPr>
        <w:t>, 121–39.</w:t>
      </w:r>
    </w:p>
    <w:p w:rsidR="00C91F44" w:rsidRPr="00922D00" w:rsidRDefault="00572AD9" w:rsidP="00C11753">
      <w:pPr>
        <w:widowControl w:val="0"/>
        <w:autoSpaceDE w:val="0"/>
        <w:autoSpaceDN w:val="0"/>
        <w:adjustRightInd w:val="0"/>
        <w:spacing w:after="120" w:line="240" w:lineRule="auto"/>
        <w:rPr>
          <w:sz w:val="20"/>
        </w:rPr>
      </w:pPr>
      <w:r w:rsidRPr="00934BE8">
        <w:fldChar w:fldCharType="end"/>
      </w:r>
    </w:p>
    <w:sectPr w:rsidR="00C91F44" w:rsidRPr="00922D00" w:rsidSect="0080134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D7F4F" w:rsidRDefault="00BD7F4F" w:rsidP="00607C74">
      <w:pPr>
        <w:spacing w:after="0" w:line="240" w:lineRule="auto"/>
      </w:pPr>
      <w:r>
        <w:separator/>
      </w:r>
    </w:p>
  </w:endnote>
  <w:endnote w:type="continuationSeparator" w:id="0">
    <w:p w:rsidR="00BD7F4F" w:rsidRDefault="00BD7F4F" w:rsidP="00607C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42873"/>
      <w:docPartObj>
        <w:docPartGallery w:val="Page Numbers (Bottom of Page)"/>
        <w:docPartUnique/>
      </w:docPartObj>
    </w:sdtPr>
    <w:sdtEndPr>
      <w:rPr>
        <w:sz w:val="22"/>
      </w:rPr>
    </w:sdtEndPr>
    <w:sdtContent>
      <w:p w:rsidR="00F90AF8" w:rsidRDefault="00F90AF8">
        <w:pPr>
          <w:pStyle w:val="Footer"/>
          <w:jc w:val="center"/>
        </w:pPr>
        <w:r>
          <w:t>[</w:t>
        </w:r>
        <w:r w:rsidR="00572AD9" w:rsidRPr="006B59F2">
          <w:rPr>
            <w:sz w:val="22"/>
          </w:rPr>
          <w:fldChar w:fldCharType="begin"/>
        </w:r>
        <w:r w:rsidRPr="006B59F2">
          <w:rPr>
            <w:sz w:val="22"/>
          </w:rPr>
          <w:instrText xml:space="preserve"> PAGE   \* MERGEFORMAT </w:instrText>
        </w:r>
        <w:r w:rsidR="00572AD9" w:rsidRPr="006B59F2">
          <w:rPr>
            <w:sz w:val="22"/>
          </w:rPr>
          <w:fldChar w:fldCharType="separate"/>
        </w:r>
        <w:r w:rsidR="00335BE1">
          <w:rPr>
            <w:noProof/>
            <w:sz w:val="22"/>
          </w:rPr>
          <w:t>16</w:t>
        </w:r>
        <w:r w:rsidR="00572AD9" w:rsidRPr="006B59F2">
          <w:rPr>
            <w:sz w:val="22"/>
          </w:rPr>
          <w:fldChar w:fldCharType="end"/>
        </w:r>
        <w:r>
          <w:rPr>
            <w:sz w:val="22"/>
          </w:rPr>
          <w:t>]</w:t>
        </w:r>
      </w:p>
    </w:sdtContent>
  </w:sdt>
  <w:p w:rsidR="00F90AF8" w:rsidRDefault="00F90A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D7F4F" w:rsidRDefault="00BD7F4F" w:rsidP="00607C74">
      <w:pPr>
        <w:spacing w:after="0" w:line="240" w:lineRule="auto"/>
      </w:pPr>
      <w:r>
        <w:separator/>
      </w:r>
    </w:p>
  </w:footnote>
  <w:footnote w:type="continuationSeparator" w:id="0">
    <w:p w:rsidR="00BD7F4F" w:rsidRDefault="00BD7F4F" w:rsidP="00607C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0AF8" w:rsidRPr="000E6BEB" w:rsidRDefault="00F90AF8" w:rsidP="000E6BEB">
    <w:pPr>
      <w:pStyle w:val="Style3"/>
      <w:spacing w:after="0" w:line="360" w:lineRule="auto"/>
      <w:jc w:val="right"/>
      <w:rPr>
        <w:sz w:val="20"/>
      </w:rPr>
    </w:pPr>
    <w:r w:rsidRPr="000E6BEB">
      <w:rPr>
        <w:sz w:val="20"/>
      </w:rPr>
      <w:t xml:space="preserve">Allometric equations for integrating </w:t>
    </w:r>
    <w:r>
      <w:rPr>
        <w:sz w:val="20"/>
      </w:rPr>
      <w:t>remote sensing</w:t>
    </w:r>
    <w:r w:rsidRPr="000E6BEB">
      <w:rPr>
        <w:sz w:val="20"/>
      </w:rPr>
      <w:t xml:space="preserve"> imagery into forest </w:t>
    </w:r>
    <w:r>
      <w:rPr>
        <w:sz w:val="20"/>
      </w:rPr>
      <w:t>monitoring</w:t>
    </w:r>
    <w:r w:rsidRPr="000E6BEB">
      <w:rPr>
        <w:sz w:val="20"/>
      </w:rPr>
      <w:t xml:space="preserve"> programs</w:t>
    </w:r>
  </w:p>
  <w:p w:rsidR="00F90AF8" w:rsidRPr="00E070EA" w:rsidRDefault="00F90AF8" w:rsidP="00687F32">
    <w:pPr>
      <w:pStyle w:val="Style3"/>
      <w:pBdr>
        <w:bottom w:val="single" w:sz="4" w:space="1" w:color="7F7F7F" w:themeColor="text1" w:themeTint="80"/>
      </w:pBdr>
      <w:spacing w:after="600" w:line="288" w:lineRule="auto"/>
      <w:jc w:val="right"/>
      <w:rPr>
        <w:b w:val="0"/>
        <w:sz w:val="20"/>
        <w:szCs w:val="20"/>
      </w:rPr>
    </w:pPr>
    <w:proofErr w:type="spellStart"/>
    <w:r w:rsidRPr="00E070EA">
      <w:rPr>
        <w:b w:val="0"/>
        <w:sz w:val="20"/>
        <w:szCs w:val="20"/>
      </w:rPr>
      <w:t>Jucker</w:t>
    </w:r>
    <w:proofErr w:type="spellEnd"/>
    <w:r w:rsidRPr="00E070EA">
      <w:rPr>
        <w:b w:val="0"/>
        <w:sz w:val="20"/>
        <w:szCs w:val="20"/>
      </w:rPr>
      <w:t xml:space="preserve"> </w:t>
    </w:r>
    <w:r w:rsidRPr="00E070EA">
      <w:rPr>
        <w:b w:val="0"/>
        <w:i/>
        <w:sz w:val="20"/>
        <w:szCs w:val="20"/>
      </w:rPr>
      <w:t>et al</w:t>
    </w:r>
    <w:r w:rsidRPr="00E070EA">
      <w:rPr>
        <w:b w:val="0"/>
        <w:sz w:val="20"/>
        <w:szCs w:val="20"/>
      </w:rPr>
      <w:t xml:space="preserve">. (2016)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BE32A8"/>
    <w:multiLevelType w:val="hybridMultilevel"/>
    <w:tmpl w:val="5CF22730"/>
    <w:lvl w:ilvl="0" w:tplc="B2061796">
      <w:start w:val="31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25E4F16"/>
    <w:multiLevelType w:val="hybridMultilevel"/>
    <w:tmpl w:val="ACD02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1B7772D"/>
    <w:multiLevelType w:val="hybridMultilevel"/>
    <w:tmpl w:val="4010154C"/>
    <w:lvl w:ilvl="0" w:tplc="7E3C3694">
      <w:numFmt w:val="bullet"/>
      <w:lvlText w:val="-"/>
      <w:lvlJc w:val="left"/>
      <w:pPr>
        <w:ind w:left="390" w:hanging="360"/>
      </w:pPr>
      <w:rPr>
        <w:rFonts w:ascii="Times New Roman" w:eastAsia="Times New Roman" w:hAnsi="Times New Roman" w:cs="Times New Roman" w:hint="default"/>
      </w:rPr>
    </w:lvl>
    <w:lvl w:ilvl="1" w:tplc="08090003" w:tentative="1">
      <w:start w:val="1"/>
      <w:numFmt w:val="bullet"/>
      <w:lvlText w:val="o"/>
      <w:lvlJc w:val="left"/>
      <w:pPr>
        <w:ind w:left="1110" w:hanging="360"/>
      </w:pPr>
      <w:rPr>
        <w:rFonts w:ascii="Courier New" w:hAnsi="Courier New" w:cs="Courier New" w:hint="default"/>
      </w:rPr>
    </w:lvl>
    <w:lvl w:ilvl="2" w:tplc="08090005" w:tentative="1">
      <w:start w:val="1"/>
      <w:numFmt w:val="bullet"/>
      <w:lvlText w:val=""/>
      <w:lvlJc w:val="left"/>
      <w:pPr>
        <w:ind w:left="1830" w:hanging="360"/>
      </w:pPr>
      <w:rPr>
        <w:rFonts w:ascii="Wingdings" w:hAnsi="Wingdings" w:hint="default"/>
      </w:rPr>
    </w:lvl>
    <w:lvl w:ilvl="3" w:tplc="08090001" w:tentative="1">
      <w:start w:val="1"/>
      <w:numFmt w:val="bullet"/>
      <w:lvlText w:val=""/>
      <w:lvlJc w:val="left"/>
      <w:pPr>
        <w:ind w:left="2550" w:hanging="360"/>
      </w:pPr>
      <w:rPr>
        <w:rFonts w:ascii="Symbol" w:hAnsi="Symbol" w:hint="default"/>
      </w:rPr>
    </w:lvl>
    <w:lvl w:ilvl="4" w:tplc="08090003" w:tentative="1">
      <w:start w:val="1"/>
      <w:numFmt w:val="bullet"/>
      <w:lvlText w:val="o"/>
      <w:lvlJc w:val="left"/>
      <w:pPr>
        <w:ind w:left="3270" w:hanging="360"/>
      </w:pPr>
      <w:rPr>
        <w:rFonts w:ascii="Courier New" w:hAnsi="Courier New" w:cs="Courier New" w:hint="default"/>
      </w:rPr>
    </w:lvl>
    <w:lvl w:ilvl="5" w:tplc="08090005" w:tentative="1">
      <w:start w:val="1"/>
      <w:numFmt w:val="bullet"/>
      <w:lvlText w:val=""/>
      <w:lvlJc w:val="left"/>
      <w:pPr>
        <w:ind w:left="3990" w:hanging="360"/>
      </w:pPr>
      <w:rPr>
        <w:rFonts w:ascii="Wingdings" w:hAnsi="Wingdings" w:hint="default"/>
      </w:rPr>
    </w:lvl>
    <w:lvl w:ilvl="6" w:tplc="08090001" w:tentative="1">
      <w:start w:val="1"/>
      <w:numFmt w:val="bullet"/>
      <w:lvlText w:val=""/>
      <w:lvlJc w:val="left"/>
      <w:pPr>
        <w:ind w:left="4710" w:hanging="360"/>
      </w:pPr>
      <w:rPr>
        <w:rFonts w:ascii="Symbol" w:hAnsi="Symbol" w:hint="default"/>
      </w:rPr>
    </w:lvl>
    <w:lvl w:ilvl="7" w:tplc="08090003" w:tentative="1">
      <w:start w:val="1"/>
      <w:numFmt w:val="bullet"/>
      <w:lvlText w:val="o"/>
      <w:lvlJc w:val="left"/>
      <w:pPr>
        <w:ind w:left="5430" w:hanging="360"/>
      </w:pPr>
      <w:rPr>
        <w:rFonts w:ascii="Courier New" w:hAnsi="Courier New" w:cs="Courier New" w:hint="default"/>
      </w:rPr>
    </w:lvl>
    <w:lvl w:ilvl="8" w:tplc="08090005" w:tentative="1">
      <w:start w:val="1"/>
      <w:numFmt w:val="bullet"/>
      <w:lvlText w:val=""/>
      <w:lvlJc w:val="left"/>
      <w:pPr>
        <w:ind w:left="6150" w:hanging="360"/>
      </w:pPr>
      <w:rPr>
        <w:rFonts w:ascii="Wingdings" w:hAnsi="Wingdings" w:hint="default"/>
      </w:rPr>
    </w:lvl>
  </w:abstractNum>
  <w:abstractNum w:abstractNumId="3">
    <w:nsid w:val="64AE402B"/>
    <w:multiLevelType w:val="hybridMultilevel"/>
    <w:tmpl w:val="C4B00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787C0C22"/>
    <w:multiLevelType w:val="hybridMultilevel"/>
    <w:tmpl w:val="632018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rsids>
    <w:rsidRoot w:val="00A33834"/>
    <w:rsid w:val="00000288"/>
    <w:rsid w:val="00001107"/>
    <w:rsid w:val="00002205"/>
    <w:rsid w:val="00013C8E"/>
    <w:rsid w:val="0001505F"/>
    <w:rsid w:val="00016A2C"/>
    <w:rsid w:val="000210D0"/>
    <w:rsid w:val="00021ED2"/>
    <w:rsid w:val="000223B4"/>
    <w:rsid w:val="00024333"/>
    <w:rsid w:val="000260F5"/>
    <w:rsid w:val="000330A3"/>
    <w:rsid w:val="00041195"/>
    <w:rsid w:val="00041CD2"/>
    <w:rsid w:val="00042013"/>
    <w:rsid w:val="00042896"/>
    <w:rsid w:val="00043FDC"/>
    <w:rsid w:val="000445B8"/>
    <w:rsid w:val="000458E1"/>
    <w:rsid w:val="000479E7"/>
    <w:rsid w:val="0005166D"/>
    <w:rsid w:val="00052E13"/>
    <w:rsid w:val="00053AC5"/>
    <w:rsid w:val="000542BC"/>
    <w:rsid w:val="00054C34"/>
    <w:rsid w:val="00056FCB"/>
    <w:rsid w:val="000578D3"/>
    <w:rsid w:val="00062063"/>
    <w:rsid w:val="00062FB0"/>
    <w:rsid w:val="00067203"/>
    <w:rsid w:val="00067857"/>
    <w:rsid w:val="0008112D"/>
    <w:rsid w:val="00082477"/>
    <w:rsid w:val="0008545F"/>
    <w:rsid w:val="0008744E"/>
    <w:rsid w:val="00087CD0"/>
    <w:rsid w:val="00096452"/>
    <w:rsid w:val="00096E5D"/>
    <w:rsid w:val="0009725B"/>
    <w:rsid w:val="000A10DD"/>
    <w:rsid w:val="000A6E59"/>
    <w:rsid w:val="000B270C"/>
    <w:rsid w:val="000B2FE0"/>
    <w:rsid w:val="000B300E"/>
    <w:rsid w:val="000B3825"/>
    <w:rsid w:val="000B3AC5"/>
    <w:rsid w:val="000B4659"/>
    <w:rsid w:val="000B489F"/>
    <w:rsid w:val="000B5FEC"/>
    <w:rsid w:val="000B78F7"/>
    <w:rsid w:val="000C3020"/>
    <w:rsid w:val="000C365D"/>
    <w:rsid w:val="000C3B84"/>
    <w:rsid w:val="000C44D9"/>
    <w:rsid w:val="000C53F5"/>
    <w:rsid w:val="000C60F7"/>
    <w:rsid w:val="000D5CEB"/>
    <w:rsid w:val="000E050A"/>
    <w:rsid w:val="000E20D8"/>
    <w:rsid w:val="000E34C6"/>
    <w:rsid w:val="000E5A66"/>
    <w:rsid w:val="000E6BEB"/>
    <w:rsid w:val="000F0E7C"/>
    <w:rsid w:val="000F11EC"/>
    <w:rsid w:val="000F124E"/>
    <w:rsid w:val="000F1371"/>
    <w:rsid w:val="000F2482"/>
    <w:rsid w:val="000F25B8"/>
    <w:rsid w:val="000F5F28"/>
    <w:rsid w:val="000F66FF"/>
    <w:rsid w:val="000F6AD1"/>
    <w:rsid w:val="000F7A38"/>
    <w:rsid w:val="000F7D56"/>
    <w:rsid w:val="0010017B"/>
    <w:rsid w:val="00100245"/>
    <w:rsid w:val="001013C5"/>
    <w:rsid w:val="00101E58"/>
    <w:rsid w:val="00101FB9"/>
    <w:rsid w:val="00102745"/>
    <w:rsid w:val="00102D23"/>
    <w:rsid w:val="0010377A"/>
    <w:rsid w:val="00105390"/>
    <w:rsid w:val="001130E5"/>
    <w:rsid w:val="0011375A"/>
    <w:rsid w:val="001139EE"/>
    <w:rsid w:val="00113C59"/>
    <w:rsid w:val="001235C9"/>
    <w:rsid w:val="00123BD2"/>
    <w:rsid w:val="00123FB7"/>
    <w:rsid w:val="00124293"/>
    <w:rsid w:val="00124669"/>
    <w:rsid w:val="00126C53"/>
    <w:rsid w:val="00127C04"/>
    <w:rsid w:val="0013000D"/>
    <w:rsid w:val="001306CD"/>
    <w:rsid w:val="00130C75"/>
    <w:rsid w:val="001312A7"/>
    <w:rsid w:val="0013131E"/>
    <w:rsid w:val="00134C58"/>
    <w:rsid w:val="001352CD"/>
    <w:rsid w:val="00136875"/>
    <w:rsid w:val="00142A7C"/>
    <w:rsid w:val="00146FE8"/>
    <w:rsid w:val="001543CD"/>
    <w:rsid w:val="00155C1E"/>
    <w:rsid w:val="00163FB0"/>
    <w:rsid w:val="001661D1"/>
    <w:rsid w:val="001666C9"/>
    <w:rsid w:val="00166F80"/>
    <w:rsid w:val="00166F96"/>
    <w:rsid w:val="00167FCD"/>
    <w:rsid w:val="00170164"/>
    <w:rsid w:val="00170E56"/>
    <w:rsid w:val="00170E95"/>
    <w:rsid w:val="00171506"/>
    <w:rsid w:val="001737DF"/>
    <w:rsid w:val="00174837"/>
    <w:rsid w:val="001750AD"/>
    <w:rsid w:val="00176259"/>
    <w:rsid w:val="00176920"/>
    <w:rsid w:val="0017783E"/>
    <w:rsid w:val="00181854"/>
    <w:rsid w:val="00181A72"/>
    <w:rsid w:val="00181B2A"/>
    <w:rsid w:val="00182084"/>
    <w:rsid w:val="00183F76"/>
    <w:rsid w:val="00184319"/>
    <w:rsid w:val="00186913"/>
    <w:rsid w:val="00192749"/>
    <w:rsid w:val="00192F13"/>
    <w:rsid w:val="001A17E1"/>
    <w:rsid w:val="001A1ABF"/>
    <w:rsid w:val="001A591F"/>
    <w:rsid w:val="001A5ABA"/>
    <w:rsid w:val="001A7161"/>
    <w:rsid w:val="001B2C8C"/>
    <w:rsid w:val="001B50D6"/>
    <w:rsid w:val="001B5FF5"/>
    <w:rsid w:val="001B7970"/>
    <w:rsid w:val="001C2000"/>
    <w:rsid w:val="001C2366"/>
    <w:rsid w:val="001C308E"/>
    <w:rsid w:val="001C406C"/>
    <w:rsid w:val="001C7A34"/>
    <w:rsid w:val="001D0671"/>
    <w:rsid w:val="001D3A29"/>
    <w:rsid w:val="001D7152"/>
    <w:rsid w:val="001E2BB4"/>
    <w:rsid w:val="001E44AE"/>
    <w:rsid w:val="001E4D6F"/>
    <w:rsid w:val="001E56B1"/>
    <w:rsid w:val="001E65F0"/>
    <w:rsid w:val="001E6F09"/>
    <w:rsid w:val="001F155F"/>
    <w:rsid w:val="001F216F"/>
    <w:rsid w:val="001F292F"/>
    <w:rsid w:val="001F4690"/>
    <w:rsid w:val="001F5330"/>
    <w:rsid w:val="001F55D5"/>
    <w:rsid w:val="001F59AF"/>
    <w:rsid w:val="001F7E99"/>
    <w:rsid w:val="00200FD4"/>
    <w:rsid w:val="0020457A"/>
    <w:rsid w:val="00204FD8"/>
    <w:rsid w:val="00206599"/>
    <w:rsid w:val="00207CB5"/>
    <w:rsid w:val="00211A8B"/>
    <w:rsid w:val="00212749"/>
    <w:rsid w:val="00213163"/>
    <w:rsid w:val="0021352A"/>
    <w:rsid w:val="00214780"/>
    <w:rsid w:val="00217C92"/>
    <w:rsid w:val="00220059"/>
    <w:rsid w:val="002200BB"/>
    <w:rsid w:val="00220E7B"/>
    <w:rsid w:val="002219F4"/>
    <w:rsid w:val="00232197"/>
    <w:rsid w:val="00233980"/>
    <w:rsid w:val="00233A1C"/>
    <w:rsid w:val="00233A2A"/>
    <w:rsid w:val="002344FB"/>
    <w:rsid w:val="002357E7"/>
    <w:rsid w:val="00236365"/>
    <w:rsid w:val="0023678E"/>
    <w:rsid w:val="002415D8"/>
    <w:rsid w:val="002437D1"/>
    <w:rsid w:val="00245A6D"/>
    <w:rsid w:val="00247AF3"/>
    <w:rsid w:val="00247CA5"/>
    <w:rsid w:val="00251E71"/>
    <w:rsid w:val="00252914"/>
    <w:rsid w:val="00255C06"/>
    <w:rsid w:val="00257F2D"/>
    <w:rsid w:val="00261DD9"/>
    <w:rsid w:val="00264259"/>
    <w:rsid w:val="00267263"/>
    <w:rsid w:val="00267D82"/>
    <w:rsid w:val="002703DE"/>
    <w:rsid w:val="002709CC"/>
    <w:rsid w:val="002733CC"/>
    <w:rsid w:val="00274078"/>
    <w:rsid w:val="002745B1"/>
    <w:rsid w:val="002816B9"/>
    <w:rsid w:val="002864BB"/>
    <w:rsid w:val="00286563"/>
    <w:rsid w:val="0029102A"/>
    <w:rsid w:val="002943AE"/>
    <w:rsid w:val="00294B4A"/>
    <w:rsid w:val="002964B3"/>
    <w:rsid w:val="00296A3E"/>
    <w:rsid w:val="002A084C"/>
    <w:rsid w:val="002A156A"/>
    <w:rsid w:val="002A259C"/>
    <w:rsid w:val="002A2A6C"/>
    <w:rsid w:val="002A2E2B"/>
    <w:rsid w:val="002A344F"/>
    <w:rsid w:val="002A4017"/>
    <w:rsid w:val="002A4DA9"/>
    <w:rsid w:val="002A4FA4"/>
    <w:rsid w:val="002A6B9A"/>
    <w:rsid w:val="002B0E80"/>
    <w:rsid w:val="002B10D9"/>
    <w:rsid w:val="002B1378"/>
    <w:rsid w:val="002B3107"/>
    <w:rsid w:val="002B476B"/>
    <w:rsid w:val="002B6EAA"/>
    <w:rsid w:val="002B7CD1"/>
    <w:rsid w:val="002B7CE5"/>
    <w:rsid w:val="002B7D8C"/>
    <w:rsid w:val="002C1F12"/>
    <w:rsid w:val="002C326D"/>
    <w:rsid w:val="002C3EC7"/>
    <w:rsid w:val="002C4039"/>
    <w:rsid w:val="002D1E8A"/>
    <w:rsid w:val="002D1F24"/>
    <w:rsid w:val="002D308B"/>
    <w:rsid w:val="002D4EE4"/>
    <w:rsid w:val="002D4F11"/>
    <w:rsid w:val="002D549E"/>
    <w:rsid w:val="002D5FE2"/>
    <w:rsid w:val="002D6AF2"/>
    <w:rsid w:val="002E1988"/>
    <w:rsid w:val="002E2B65"/>
    <w:rsid w:val="002E4352"/>
    <w:rsid w:val="002E66D6"/>
    <w:rsid w:val="002E7332"/>
    <w:rsid w:val="002E7852"/>
    <w:rsid w:val="002F2ABD"/>
    <w:rsid w:val="002F6A97"/>
    <w:rsid w:val="00300218"/>
    <w:rsid w:val="003030C6"/>
    <w:rsid w:val="00303DB3"/>
    <w:rsid w:val="00304327"/>
    <w:rsid w:val="0030680D"/>
    <w:rsid w:val="003102B4"/>
    <w:rsid w:val="0031472A"/>
    <w:rsid w:val="003147B7"/>
    <w:rsid w:val="00314A38"/>
    <w:rsid w:val="003260A8"/>
    <w:rsid w:val="00326FA2"/>
    <w:rsid w:val="00331908"/>
    <w:rsid w:val="00333B8C"/>
    <w:rsid w:val="00335BE1"/>
    <w:rsid w:val="00344851"/>
    <w:rsid w:val="0034490B"/>
    <w:rsid w:val="003450DE"/>
    <w:rsid w:val="00345AEF"/>
    <w:rsid w:val="00346613"/>
    <w:rsid w:val="0034746D"/>
    <w:rsid w:val="00347EBF"/>
    <w:rsid w:val="00347ED1"/>
    <w:rsid w:val="00350706"/>
    <w:rsid w:val="003507BC"/>
    <w:rsid w:val="003606A9"/>
    <w:rsid w:val="00360884"/>
    <w:rsid w:val="00360BA1"/>
    <w:rsid w:val="00361609"/>
    <w:rsid w:val="00361B67"/>
    <w:rsid w:val="00362FDF"/>
    <w:rsid w:val="00364DC8"/>
    <w:rsid w:val="003657CE"/>
    <w:rsid w:val="00367CED"/>
    <w:rsid w:val="00367FAF"/>
    <w:rsid w:val="00371F89"/>
    <w:rsid w:val="00371FD6"/>
    <w:rsid w:val="003724AF"/>
    <w:rsid w:val="00372B9B"/>
    <w:rsid w:val="00373A94"/>
    <w:rsid w:val="00375EAD"/>
    <w:rsid w:val="00377FA5"/>
    <w:rsid w:val="00381214"/>
    <w:rsid w:val="00381A3E"/>
    <w:rsid w:val="00381CDB"/>
    <w:rsid w:val="00381E05"/>
    <w:rsid w:val="003823F9"/>
    <w:rsid w:val="0038441B"/>
    <w:rsid w:val="00391125"/>
    <w:rsid w:val="003923E9"/>
    <w:rsid w:val="0039580C"/>
    <w:rsid w:val="003A0539"/>
    <w:rsid w:val="003A3951"/>
    <w:rsid w:val="003A5911"/>
    <w:rsid w:val="003A5AD5"/>
    <w:rsid w:val="003B0D5F"/>
    <w:rsid w:val="003B2D22"/>
    <w:rsid w:val="003B54B0"/>
    <w:rsid w:val="003C13F9"/>
    <w:rsid w:val="003C19B3"/>
    <w:rsid w:val="003C3177"/>
    <w:rsid w:val="003C467E"/>
    <w:rsid w:val="003C7BDF"/>
    <w:rsid w:val="003D00AD"/>
    <w:rsid w:val="003D097B"/>
    <w:rsid w:val="003D0A05"/>
    <w:rsid w:val="003D1245"/>
    <w:rsid w:val="003D15C9"/>
    <w:rsid w:val="003D3272"/>
    <w:rsid w:val="003D4403"/>
    <w:rsid w:val="003D4E98"/>
    <w:rsid w:val="003D579C"/>
    <w:rsid w:val="003D6807"/>
    <w:rsid w:val="003D7EE6"/>
    <w:rsid w:val="003E03B7"/>
    <w:rsid w:val="003E2E80"/>
    <w:rsid w:val="003E349F"/>
    <w:rsid w:val="003E4B6B"/>
    <w:rsid w:val="003E5B0C"/>
    <w:rsid w:val="00402F7D"/>
    <w:rsid w:val="004038B3"/>
    <w:rsid w:val="004074CB"/>
    <w:rsid w:val="00410731"/>
    <w:rsid w:val="00413A1F"/>
    <w:rsid w:val="0041420E"/>
    <w:rsid w:val="00415820"/>
    <w:rsid w:val="0041645A"/>
    <w:rsid w:val="004179C5"/>
    <w:rsid w:val="00417FDB"/>
    <w:rsid w:val="00424498"/>
    <w:rsid w:val="00424576"/>
    <w:rsid w:val="00434651"/>
    <w:rsid w:val="00437316"/>
    <w:rsid w:val="00442851"/>
    <w:rsid w:val="00443066"/>
    <w:rsid w:val="00443106"/>
    <w:rsid w:val="0044363D"/>
    <w:rsid w:val="00443C43"/>
    <w:rsid w:val="00446609"/>
    <w:rsid w:val="00450CF7"/>
    <w:rsid w:val="00451581"/>
    <w:rsid w:val="00454758"/>
    <w:rsid w:val="00454FC0"/>
    <w:rsid w:val="004560A9"/>
    <w:rsid w:val="0046246F"/>
    <w:rsid w:val="00463CBA"/>
    <w:rsid w:val="004662F5"/>
    <w:rsid w:val="00466CA2"/>
    <w:rsid w:val="0047108B"/>
    <w:rsid w:val="00471169"/>
    <w:rsid w:val="00473799"/>
    <w:rsid w:val="00474A6E"/>
    <w:rsid w:val="00475852"/>
    <w:rsid w:val="00477792"/>
    <w:rsid w:val="00477AC2"/>
    <w:rsid w:val="0048268A"/>
    <w:rsid w:val="0048704E"/>
    <w:rsid w:val="00490571"/>
    <w:rsid w:val="00491D09"/>
    <w:rsid w:val="00491F4B"/>
    <w:rsid w:val="00494B34"/>
    <w:rsid w:val="00494E9F"/>
    <w:rsid w:val="0049518C"/>
    <w:rsid w:val="004952FC"/>
    <w:rsid w:val="0049736F"/>
    <w:rsid w:val="004A0881"/>
    <w:rsid w:val="004A158D"/>
    <w:rsid w:val="004A409B"/>
    <w:rsid w:val="004A4C94"/>
    <w:rsid w:val="004A52B4"/>
    <w:rsid w:val="004A7C76"/>
    <w:rsid w:val="004B149E"/>
    <w:rsid w:val="004B1C5B"/>
    <w:rsid w:val="004B2D93"/>
    <w:rsid w:val="004B33C6"/>
    <w:rsid w:val="004B7E0D"/>
    <w:rsid w:val="004C3AC8"/>
    <w:rsid w:val="004C5806"/>
    <w:rsid w:val="004C5FC5"/>
    <w:rsid w:val="004C6468"/>
    <w:rsid w:val="004D0558"/>
    <w:rsid w:val="004D2A1E"/>
    <w:rsid w:val="004D32BC"/>
    <w:rsid w:val="004E1A56"/>
    <w:rsid w:val="004E2F77"/>
    <w:rsid w:val="004E4B17"/>
    <w:rsid w:val="004E52CB"/>
    <w:rsid w:val="004E554C"/>
    <w:rsid w:val="004E7DEF"/>
    <w:rsid w:val="004F1819"/>
    <w:rsid w:val="004F24C8"/>
    <w:rsid w:val="004F3F1B"/>
    <w:rsid w:val="004F44C5"/>
    <w:rsid w:val="004F4DA3"/>
    <w:rsid w:val="004F7BEC"/>
    <w:rsid w:val="005031F9"/>
    <w:rsid w:val="00504575"/>
    <w:rsid w:val="00506298"/>
    <w:rsid w:val="00512981"/>
    <w:rsid w:val="00516F68"/>
    <w:rsid w:val="0052180D"/>
    <w:rsid w:val="00521E4C"/>
    <w:rsid w:val="00521EB4"/>
    <w:rsid w:val="005301C6"/>
    <w:rsid w:val="0053176B"/>
    <w:rsid w:val="00531A42"/>
    <w:rsid w:val="005343A1"/>
    <w:rsid w:val="0053731C"/>
    <w:rsid w:val="00541D78"/>
    <w:rsid w:val="00544DB1"/>
    <w:rsid w:val="00546BDA"/>
    <w:rsid w:val="0055324F"/>
    <w:rsid w:val="005540D5"/>
    <w:rsid w:val="00556FC6"/>
    <w:rsid w:val="00562715"/>
    <w:rsid w:val="00562A5B"/>
    <w:rsid w:val="00563246"/>
    <w:rsid w:val="00563DD4"/>
    <w:rsid w:val="0056408F"/>
    <w:rsid w:val="00564516"/>
    <w:rsid w:val="00572AD9"/>
    <w:rsid w:val="00572F8A"/>
    <w:rsid w:val="0057383E"/>
    <w:rsid w:val="005750F5"/>
    <w:rsid w:val="005761F5"/>
    <w:rsid w:val="00582C14"/>
    <w:rsid w:val="00584F92"/>
    <w:rsid w:val="005856EF"/>
    <w:rsid w:val="00586B37"/>
    <w:rsid w:val="00591B21"/>
    <w:rsid w:val="00594893"/>
    <w:rsid w:val="00594AAD"/>
    <w:rsid w:val="005966F6"/>
    <w:rsid w:val="0059699D"/>
    <w:rsid w:val="00597630"/>
    <w:rsid w:val="00597DB2"/>
    <w:rsid w:val="005A3905"/>
    <w:rsid w:val="005A3FAC"/>
    <w:rsid w:val="005B1381"/>
    <w:rsid w:val="005B20EE"/>
    <w:rsid w:val="005B2345"/>
    <w:rsid w:val="005B2D4E"/>
    <w:rsid w:val="005B3DFD"/>
    <w:rsid w:val="005C033A"/>
    <w:rsid w:val="005C3451"/>
    <w:rsid w:val="005C4544"/>
    <w:rsid w:val="005C7E7A"/>
    <w:rsid w:val="005D15D8"/>
    <w:rsid w:val="005D221C"/>
    <w:rsid w:val="005D2238"/>
    <w:rsid w:val="005D2D83"/>
    <w:rsid w:val="005D35E4"/>
    <w:rsid w:val="005D57B1"/>
    <w:rsid w:val="005D594C"/>
    <w:rsid w:val="005F215D"/>
    <w:rsid w:val="005F275C"/>
    <w:rsid w:val="005F2E05"/>
    <w:rsid w:val="005F2FC5"/>
    <w:rsid w:val="005F491A"/>
    <w:rsid w:val="005F5D9C"/>
    <w:rsid w:val="005F5E5B"/>
    <w:rsid w:val="005F7261"/>
    <w:rsid w:val="0060043E"/>
    <w:rsid w:val="006013E7"/>
    <w:rsid w:val="0060457F"/>
    <w:rsid w:val="006050EA"/>
    <w:rsid w:val="0060520F"/>
    <w:rsid w:val="00607C74"/>
    <w:rsid w:val="00610431"/>
    <w:rsid w:val="006104BE"/>
    <w:rsid w:val="006108E2"/>
    <w:rsid w:val="0061094C"/>
    <w:rsid w:val="0061119F"/>
    <w:rsid w:val="00613C75"/>
    <w:rsid w:val="00621903"/>
    <w:rsid w:val="006220E5"/>
    <w:rsid w:val="00622A0A"/>
    <w:rsid w:val="00624F5B"/>
    <w:rsid w:val="00626F81"/>
    <w:rsid w:val="00627485"/>
    <w:rsid w:val="0063095D"/>
    <w:rsid w:val="00631908"/>
    <w:rsid w:val="00631CBE"/>
    <w:rsid w:val="00632697"/>
    <w:rsid w:val="00632F51"/>
    <w:rsid w:val="00633B2B"/>
    <w:rsid w:val="00635033"/>
    <w:rsid w:val="00636A80"/>
    <w:rsid w:val="006410A3"/>
    <w:rsid w:val="00641128"/>
    <w:rsid w:val="00642650"/>
    <w:rsid w:val="00642C65"/>
    <w:rsid w:val="00643E14"/>
    <w:rsid w:val="00645326"/>
    <w:rsid w:val="006458C4"/>
    <w:rsid w:val="006459AC"/>
    <w:rsid w:val="00645D97"/>
    <w:rsid w:val="00645E69"/>
    <w:rsid w:val="006462FC"/>
    <w:rsid w:val="00646542"/>
    <w:rsid w:val="00646FA8"/>
    <w:rsid w:val="00647E2B"/>
    <w:rsid w:val="00650275"/>
    <w:rsid w:val="00652C98"/>
    <w:rsid w:val="00654DE1"/>
    <w:rsid w:val="00654E5F"/>
    <w:rsid w:val="006563CC"/>
    <w:rsid w:val="0066012C"/>
    <w:rsid w:val="006639AE"/>
    <w:rsid w:val="0066485F"/>
    <w:rsid w:val="006651C5"/>
    <w:rsid w:val="00665256"/>
    <w:rsid w:val="006663B3"/>
    <w:rsid w:val="006677F1"/>
    <w:rsid w:val="00670631"/>
    <w:rsid w:val="00675EDD"/>
    <w:rsid w:val="00676E20"/>
    <w:rsid w:val="00677299"/>
    <w:rsid w:val="00681144"/>
    <w:rsid w:val="00682A43"/>
    <w:rsid w:val="0068383B"/>
    <w:rsid w:val="00683B1B"/>
    <w:rsid w:val="00684540"/>
    <w:rsid w:val="006847F8"/>
    <w:rsid w:val="0068539F"/>
    <w:rsid w:val="00685664"/>
    <w:rsid w:val="00687F32"/>
    <w:rsid w:val="00690E8A"/>
    <w:rsid w:val="00690EA7"/>
    <w:rsid w:val="006912C6"/>
    <w:rsid w:val="00691E6C"/>
    <w:rsid w:val="00692624"/>
    <w:rsid w:val="006931D8"/>
    <w:rsid w:val="0069490F"/>
    <w:rsid w:val="00696D9B"/>
    <w:rsid w:val="00697E67"/>
    <w:rsid w:val="006A10AF"/>
    <w:rsid w:val="006A1E06"/>
    <w:rsid w:val="006A3AAF"/>
    <w:rsid w:val="006A50CC"/>
    <w:rsid w:val="006A6116"/>
    <w:rsid w:val="006A76B7"/>
    <w:rsid w:val="006B2885"/>
    <w:rsid w:val="006B2ABF"/>
    <w:rsid w:val="006B39BD"/>
    <w:rsid w:val="006B3AC7"/>
    <w:rsid w:val="006B440E"/>
    <w:rsid w:val="006B59F2"/>
    <w:rsid w:val="006B7FA1"/>
    <w:rsid w:val="006C07B1"/>
    <w:rsid w:val="006C0FFF"/>
    <w:rsid w:val="006C1B85"/>
    <w:rsid w:val="006C30CE"/>
    <w:rsid w:val="006C3D6B"/>
    <w:rsid w:val="006C7B33"/>
    <w:rsid w:val="006D2F43"/>
    <w:rsid w:val="006D335E"/>
    <w:rsid w:val="006D4FC7"/>
    <w:rsid w:val="006D5C4F"/>
    <w:rsid w:val="006D5EEF"/>
    <w:rsid w:val="006D6BB3"/>
    <w:rsid w:val="006E1B9A"/>
    <w:rsid w:val="006E2732"/>
    <w:rsid w:val="006E276D"/>
    <w:rsid w:val="006E4588"/>
    <w:rsid w:val="006E576B"/>
    <w:rsid w:val="006E7392"/>
    <w:rsid w:val="006F0B0F"/>
    <w:rsid w:val="006F0DB2"/>
    <w:rsid w:val="006F18A5"/>
    <w:rsid w:val="006F19DB"/>
    <w:rsid w:val="006F1D4F"/>
    <w:rsid w:val="006F4112"/>
    <w:rsid w:val="006F4AF7"/>
    <w:rsid w:val="006F6112"/>
    <w:rsid w:val="006F70EB"/>
    <w:rsid w:val="00702325"/>
    <w:rsid w:val="00704773"/>
    <w:rsid w:val="00705F90"/>
    <w:rsid w:val="00707FDF"/>
    <w:rsid w:val="00711FEC"/>
    <w:rsid w:val="007129FA"/>
    <w:rsid w:val="007150B1"/>
    <w:rsid w:val="00715761"/>
    <w:rsid w:val="007163BC"/>
    <w:rsid w:val="007166F3"/>
    <w:rsid w:val="007178CA"/>
    <w:rsid w:val="00721EE2"/>
    <w:rsid w:val="007249A3"/>
    <w:rsid w:val="0072617C"/>
    <w:rsid w:val="007271FB"/>
    <w:rsid w:val="0073067A"/>
    <w:rsid w:val="007307A0"/>
    <w:rsid w:val="00730EDD"/>
    <w:rsid w:val="0073298D"/>
    <w:rsid w:val="00732BE1"/>
    <w:rsid w:val="007342B0"/>
    <w:rsid w:val="00734F87"/>
    <w:rsid w:val="0073526E"/>
    <w:rsid w:val="0073527D"/>
    <w:rsid w:val="00736399"/>
    <w:rsid w:val="00740345"/>
    <w:rsid w:val="007405BC"/>
    <w:rsid w:val="00740A4C"/>
    <w:rsid w:val="007421A5"/>
    <w:rsid w:val="00742713"/>
    <w:rsid w:val="007432A1"/>
    <w:rsid w:val="007439EE"/>
    <w:rsid w:val="00744708"/>
    <w:rsid w:val="007448CB"/>
    <w:rsid w:val="00745E33"/>
    <w:rsid w:val="007460F1"/>
    <w:rsid w:val="007462DB"/>
    <w:rsid w:val="007463D9"/>
    <w:rsid w:val="0075123E"/>
    <w:rsid w:val="00752EF3"/>
    <w:rsid w:val="00753949"/>
    <w:rsid w:val="007557D4"/>
    <w:rsid w:val="00756BFE"/>
    <w:rsid w:val="00761ED1"/>
    <w:rsid w:val="00762225"/>
    <w:rsid w:val="00762718"/>
    <w:rsid w:val="00763299"/>
    <w:rsid w:val="00766457"/>
    <w:rsid w:val="0077216B"/>
    <w:rsid w:val="007732C5"/>
    <w:rsid w:val="00773B83"/>
    <w:rsid w:val="007759F0"/>
    <w:rsid w:val="00782427"/>
    <w:rsid w:val="00782501"/>
    <w:rsid w:val="00784CB3"/>
    <w:rsid w:val="00785C76"/>
    <w:rsid w:val="007865FD"/>
    <w:rsid w:val="007901B5"/>
    <w:rsid w:val="007911EE"/>
    <w:rsid w:val="00793473"/>
    <w:rsid w:val="00796581"/>
    <w:rsid w:val="007A1759"/>
    <w:rsid w:val="007A2AF6"/>
    <w:rsid w:val="007A4148"/>
    <w:rsid w:val="007A5EA1"/>
    <w:rsid w:val="007B2703"/>
    <w:rsid w:val="007B4713"/>
    <w:rsid w:val="007B69C8"/>
    <w:rsid w:val="007B715A"/>
    <w:rsid w:val="007B747A"/>
    <w:rsid w:val="007C1CDE"/>
    <w:rsid w:val="007C27BA"/>
    <w:rsid w:val="007C4413"/>
    <w:rsid w:val="007C474B"/>
    <w:rsid w:val="007C58A5"/>
    <w:rsid w:val="007C5AFB"/>
    <w:rsid w:val="007C600B"/>
    <w:rsid w:val="007C7ED7"/>
    <w:rsid w:val="007D3AE3"/>
    <w:rsid w:val="007D4DAE"/>
    <w:rsid w:val="007E01C4"/>
    <w:rsid w:val="007E0BFD"/>
    <w:rsid w:val="007E292D"/>
    <w:rsid w:val="007E3D3E"/>
    <w:rsid w:val="007F0305"/>
    <w:rsid w:val="007F031B"/>
    <w:rsid w:val="007F2C89"/>
    <w:rsid w:val="007F35E6"/>
    <w:rsid w:val="007F3AF9"/>
    <w:rsid w:val="007F50F7"/>
    <w:rsid w:val="007F6666"/>
    <w:rsid w:val="007F6E6B"/>
    <w:rsid w:val="007F7126"/>
    <w:rsid w:val="007F72C6"/>
    <w:rsid w:val="00801343"/>
    <w:rsid w:val="0080299D"/>
    <w:rsid w:val="00810EEF"/>
    <w:rsid w:val="008134FD"/>
    <w:rsid w:val="00813E97"/>
    <w:rsid w:val="00820753"/>
    <w:rsid w:val="00820790"/>
    <w:rsid w:val="00820CFE"/>
    <w:rsid w:val="0082108F"/>
    <w:rsid w:val="008219F8"/>
    <w:rsid w:val="00824FDD"/>
    <w:rsid w:val="00825E74"/>
    <w:rsid w:val="00826BF7"/>
    <w:rsid w:val="00830A11"/>
    <w:rsid w:val="00835753"/>
    <w:rsid w:val="00835766"/>
    <w:rsid w:val="008359EE"/>
    <w:rsid w:val="00836BD2"/>
    <w:rsid w:val="00840600"/>
    <w:rsid w:val="008422E7"/>
    <w:rsid w:val="008427E3"/>
    <w:rsid w:val="008431D5"/>
    <w:rsid w:val="008445A3"/>
    <w:rsid w:val="008455FF"/>
    <w:rsid w:val="0085087B"/>
    <w:rsid w:val="00854588"/>
    <w:rsid w:val="008545DA"/>
    <w:rsid w:val="008555DC"/>
    <w:rsid w:val="00855E43"/>
    <w:rsid w:val="00857F05"/>
    <w:rsid w:val="0086024E"/>
    <w:rsid w:val="008605E6"/>
    <w:rsid w:val="008646DC"/>
    <w:rsid w:val="00865EBF"/>
    <w:rsid w:val="00866411"/>
    <w:rsid w:val="00870213"/>
    <w:rsid w:val="00872CB4"/>
    <w:rsid w:val="00872E7D"/>
    <w:rsid w:val="00873205"/>
    <w:rsid w:val="00873AEB"/>
    <w:rsid w:val="00873D5B"/>
    <w:rsid w:val="00874BAB"/>
    <w:rsid w:val="00874FED"/>
    <w:rsid w:val="00877FE5"/>
    <w:rsid w:val="0088072B"/>
    <w:rsid w:val="00881021"/>
    <w:rsid w:val="00881059"/>
    <w:rsid w:val="00881E32"/>
    <w:rsid w:val="00882811"/>
    <w:rsid w:val="00884D7C"/>
    <w:rsid w:val="00887507"/>
    <w:rsid w:val="008930B7"/>
    <w:rsid w:val="00894142"/>
    <w:rsid w:val="008965D8"/>
    <w:rsid w:val="00896C3C"/>
    <w:rsid w:val="008A2C67"/>
    <w:rsid w:val="008A3549"/>
    <w:rsid w:val="008A5539"/>
    <w:rsid w:val="008A554F"/>
    <w:rsid w:val="008A558F"/>
    <w:rsid w:val="008B0DBD"/>
    <w:rsid w:val="008B2555"/>
    <w:rsid w:val="008B2739"/>
    <w:rsid w:val="008B50A0"/>
    <w:rsid w:val="008B600B"/>
    <w:rsid w:val="008B6779"/>
    <w:rsid w:val="008B72D4"/>
    <w:rsid w:val="008C1027"/>
    <w:rsid w:val="008C104A"/>
    <w:rsid w:val="008C3338"/>
    <w:rsid w:val="008C53CE"/>
    <w:rsid w:val="008D554E"/>
    <w:rsid w:val="008D5E24"/>
    <w:rsid w:val="008E03E7"/>
    <w:rsid w:val="008E08B3"/>
    <w:rsid w:val="008E093A"/>
    <w:rsid w:val="008E0CF5"/>
    <w:rsid w:val="008E1F7D"/>
    <w:rsid w:val="008E3950"/>
    <w:rsid w:val="008F238C"/>
    <w:rsid w:val="008F281B"/>
    <w:rsid w:val="008F3478"/>
    <w:rsid w:val="008F3652"/>
    <w:rsid w:val="008F4016"/>
    <w:rsid w:val="008F403D"/>
    <w:rsid w:val="008F7E4A"/>
    <w:rsid w:val="009002C2"/>
    <w:rsid w:val="00901A63"/>
    <w:rsid w:val="00901D79"/>
    <w:rsid w:val="0090273D"/>
    <w:rsid w:val="009034CD"/>
    <w:rsid w:val="009075AE"/>
    <w:rsid w:val="00910228"/>
    <w:rsid w:val="009102AD"/>
    <w:rsid w:val="0091031F"/>
    <w:rsid w:val="009113B5"/>
    <w:rsid w:val="009119B5"/>
    <w:rsid w:val="00913A58"/>
    <w:rsid w:val="00914E28"/>
    <w:rsid w:val="00915CDD"/>
    <w:rsid w:val="009167C4"/>
    <w:rsid w:val="00917485"/>
    <w:rsid w:val="009174BB"/>
    <w:rsid w:val="00917D23"/>
    <w:rsid w:val="00922D00"/>
    <w:rsid w:val="00924320"/>
    <w:rsid w:val="00924480"/>
    <w:rsid w:val="009249C6"/>
    <w:rsid w:val="00924AEB"/>
    <w:rsid w:val="00924D1B"/>
    <w:rsid w:val="00925877"/>
    <w:rsid w:val="00927533"/>
    <w:rsid w:val="00927945"/>
    <w:rsid w:val="0093094E"/>
    <w:rsid w:val="009315E6"/>
    <w:rsid w:val="00932AA9"/>
    <w:rsid w:val="00934BE8"/>
    <w:rsid w:val="00937357"/>
    <w:rsid w:val="00941466"/>
    <w:rsid w:val="009454B3"/>
    <w:rsid w:val="00947783"/>
    <w:rsid w:val="00947941"/>
    <w:rsid w:val="009513C4"/>
    <w:rsid w:val="0095179D"/>
    <w:rsid w:val="00952BC2"/>
    <w:rsid w:val="009533F2"/>
    <w:rsid w:val="00953AA5"/>
    <w:rsid w:val="00954128"/>
    <w:rsid w:val="009555BF"/>
    <w:rsid w:val="00956775"/>
    <w:rsid w:val="00957711"/>
    <w:rsid w:val="009578AD"/>
    <w:rsid w:val="00963D4F"/>
    <w:rsid w:val="009711BC"/>
    <w:rsid w:val="0097245C"/>
    <w:rsid w:val="00977A4E"/>
    <w:rsid w:val="009818E0"/>
    <w:rsid w:val="00983D9D"/>
    <w:rsid w:val="009844BD"/>
    <w:rsid w:val="00985A4A"/>
    <w:rsid w:val="009865CC"/>
    <w:rsid w:val="00986D03"/>
    <w:rsid w:val="009942CF"/>
    <w:rsid w:val="00994CBE"/>
    <w:rsid w:val="009957AA"/>
    <w:rsid w:val="00996573"/>
    <w:rsid w:val="009B2350"/>
    <w:rsid w:val="009B37E3"/>
    <w:rsid w:val="009B6C8B"/>
    <w:rsid w:val="009B6CF0"/>
    <w:rsid w:val="009C07B8"/>
    <w:rsid w:val="009C3C0D"/>
    <w:rsid w:val="009C4C0D"/>
    <w:rsid w:val="009C7CAC"/>
    <w:rsid w:val="009D0B12"/>
    <w:rsid w:val="009D10D0"/>
    <w:rsid w:val="009D2E16"/>
    <w:rsid w:val="009D481B"/>
    <w:rsid w:val="009D721D"/>
    <w:rsid w:val="009D7A3E"/>
    <w:rsid w:val="009E0088"/>
    <w:rsid w:val="009E047C"/>
    <w:rsid w:val="009E218F"/>
    <w:rsid w:val="009E6545"/>
    <w:rsid w:val="009F085B"/>
    <w:rsid w:val="009F0DF4"/>
    <w:rsid w:val="009F1805"/>
    <w:rsid w:val="009F236B"/>
    <w:rsid w:val="009F345F"/>
    <w:rsid w:val="009F77B1"/>
    <w:rsid w:val="009F77BF"/>
    <w:rsid w:val="00A0014F"/>
    <w:rsid w:val="00A00C70"/>
    <w:rsid w:val="00A01D5C"/>
    <w:rsid w:val="00A0499D"/>
    <w:rsid w:val="00A06D26"/>
    <w:rsid w:val="00A07038"/>
    <w:rsid w:val="00A100D6"/>
    <w:rsid w:val="00A1444F"/>
    <w:rsid w:val="00A15937"/>
    <w:rsid w:val="00A16A09"/>
    <w:rsid w:val="00A170DF"/>
    <w:rsid w:val="00A221EF"/>
    <w:rsid w:val="00A23A17"/>
    <w:rsid w:val="00A24E11"/>
    <w:rsid w:val="00A256EE"/>
    <w:rsid w:val="00A25814"/>
    <w:rsid w:val="00A260B0"/>
    <w:rsid w:val="00A26237"/>
    <w:rsid w:val="00A26624"/>
    <w:rsid w:val="00A27D74"/>
    <w:rsid w:val="00A31ECC"/>
    <w:rsid w:val="00A33834"/>
    <w:rsid w:val="00A33C8C"/>
    <w:rsid w:val="00A34A32"/>
    <w:rsid w:val="00A35C40"/>
    <w:rsid w:val="00A371C0"/>
    <w:rsid w:val="00A37B73"/>
    <w:rsid w:val="00A37F62"/>
    <w:rsid w:val="00A414B0"/>
    <w:rsid w:val="00A42619"/>
    <w:rsid w:val="00A43079"/>
    <w:rsid w:val="00A4397C"/>
    <w:rsid w:val="00A44603"/>
    <w:rsid w:val="00A472E7"/>
    <w:rsid w:val="00A50D58"/>
    <w:rsid w:val="00A517B7"/>
    <w:rsid w:val="00A517E2"/>
    <w:rsid w:val="00A5205E"/>
    <w:rsid w:val="00A52A68"/>
    <w:rsid w:val="00A53102"/>
    <w:rsid w:val="00A55E71"/>
    <w:rsid w:val="00A561A6"/>
    <w:rsid w:val="00A562EE"/>
    <w:rsid w:val="00A6048A"/>
    <w:rsid w:val="00A60C95"/>
    <w:rsid w:val="00A60F7F"/>
    <w:rsid w:val="00A611DF"/>
    <w:rsid w:val="00A64619"/>
    <w:rsid w:val="00A66E15"/>
    <w:rsid w:val="00A6707D"/>
    <w:rsid w:val="00A67420"/>
    <w:rsid w:val="00A67711"/>
    <w:rsid w:val="00A70F1B"/>
    <w:rsid w:val="00A71E40"/>
    <w:rsid w:val="00A72F21"/>
    <w:rsid w:val="00A737CD"/>
    <w:rsid w:val="00A745D7"/>
    <w:rsid w:val="00A74D9D"/>
    <w:rsid w:val="00A778A0"/>
    <w:rsid w:val="00A82BC7"/>
    <w:rsid w:val="00A82F5B"/>
    <w:rsid w:val="00A854F6"/>
    <w:rsid w:val="00A90530"/>
    <w:rsid w:val="00A938C0"/>
    <w:rsid w:val="00A9524A"/>
    <w:rsid w:val="00A95572"/>
    <w:rsid w:val="00AA169B"/>
    <w:rsid w:val="00AA4058"/>
    <w:rsid w:val="00AA471B"/>
    <w:rsid w:val="00AA60A1"/>
    <w:rsid w:val="00AA6170"/>
    <w:rsid w:val="00AA7B0F"/>
    <w:rsid w:val="00AB1C96"/>
    <w:rsid w:val="00AB215A"/>
    <w:rsid w:val="00AB3AF8"/>
    <w:rsid w:val="00AB5832"/>
    <w:rsid w:val="00AB59D6"/>
    <w:rsid w:val="00AB788A"/>
    <w:rsid w:val="00AC332F"/>
    <w:rsid w:val="00AD094F"/>
    <w:rsid w:val="00AD39F1"/>
    <w:rsid w:val="00AD5158"/>
    <w:rsid w:val="00AD7FD4"/>
    <w:rsid w:val="00AE251A"/>
    <w:rsid w:val="00AF0F4C"/>
    <w:rsid w:val="00AF116A"/>
    <w:rsid w:val="00AF134A"/>
    <w:rsid w:val="00AF1CD5"/>
    <w:rsid w:val="00AF24B8"/>
    <w:rsid w:val="00AF36F6"/>
    <w:rsid w:val="00AF4B6C"/>
    <w:rsid w:val="00AF59DC"/>
    <w:rsid w:val="00B005A2"/>
    <w:rsid w:val="00B02907"/>
    <w:rsid w:val="00B03969"/>
    <w:rsid w:val="00B04274"/>
    <w:rsid w:val="00B05D67"/>
    <w:rsid w:val="00B06852"/>
    <w:rsid w:val="00B06F8D"/>
    <w:rsid w:val="00B07785"/>
    <w:rsid w:val="00B10F00"/>
    <w:rsid w:val="00B1124B"/>
    <w:rsid w:val="00B129CB"/>
    <w:rsid w:val="00B13AFA"/>
    <w:rsid w:val="00B15018"/>
    <w:rsid w:val="00B17A2F"/>
    <w:rsid w:val="00B226E4"/>
    <w:rsid w:val="00B22915"/>
    <w:rsid w:val="00B231AE"/>
    <w:rsid w:val="00B2324E"/>
    <w:rsid w:val="00B32DBB"/>
    <w:rsid w:val="00B3717B"/>
    <w:rsid w:val="00B40848"/>
    <w:rsid w:val="00B40CDD"/>
    <w:rsid w:val="00B44745"/>
    <w:rsid w:val="00B457C1"/>
    <w:rsid w:val="00B46646"/>
    <w:rsid w:val="00B47FC3"/>
    <w:rsid w:val="00B500D9"/>
    <w:rsid w:val="00B51C15"/>
    <w:rsid w:val="00B52E68"/>
    <w:rsid w:val="00B5588E"/>
    <w:rsid w:val="00B57253"/>
    <w:rsid w:val="00B629CC"/>
    <w:rsid w:val="00B636B5"/>
    <w:rsid w:val="00B6625F"/>
    <w:rsid w:val="00B67179"/>
    <w:rsid w:val="00B671A1"/>
    <w:rsid w:val="00B710F1"/>
    <w:rsid w:val="00B711E4"/>
    <w:rsid w:val="00B74379"/>
    <w:rsid w:val="00B74613"/>
    <w:rsid w:val="00B76FA9"/>
    <w:rsid w:val="00B8082B"/>
    <w:rsid w:val="00B81CAC"/>
    <w:rsid w:val="00B85AEE"/>
    <w:rsid w:val="00B85E10"/>
    <w:rsid w:val="00B85EE9"/>
    <w:rsid w:val="00B86151"/>
    <w:rsid w:val="00B86A9D"/>
    <w:rsid w:val="00B87A36"/>
    <w:rsid w:val="00B91D21"/>
    <w:rsid w:val="00B95093"/>
    <w:rsid w:val="00B9780B"/>
    <w:rsid w:val="00B97B19"/>
    <w:rsid w:val="00BA172D"/>
    <w:rsid w:val="00BA1F3A"/>
    <w:rsid w:val="00BA25B8"/>
    <w:rsid w:val="00BA2732"/>
    <w:rsid w:val="00BA7CED"/>
    <w:rsid w:val="00BB40E4"/>
    <w:rsid w:val="00BB473B"/>
    <w:rsid w:val="00BB592E"/>
    <w:rsid w:val="00BB61E2"/>
    <w:rsid w:val="00BB6410"/>
    <w:rsid w:val="00BC0850"/>
    <w:rsid w:val="00BC27E6"/>
    <w:rsid w:val="00BD350B"/>
    <w:rsid w:val="00BD3AF5"/>
    <w:rsid w:val="00BD3DAC"/>
    <w:rsid w:val="00BD3E01"/>
    <w:rsid w:val="00BD4841"/>
    <w:rsid w:val="00BD618B"/>
    <w:rsid w:val="00BD7F4F"/>
    <w:rsid w:val="00BE4905"/>
    <w:rsid w:val="00BE5276"/>
    <w:rsid w:val="00BF16B7"/>
    <w:rsid w:val="00BF280E"/>
    <w:rsid w:val="00BF4D79"/>
    <w:rsid w:val="00C0183E"/>
    <w:rsid w:val="00C01DE8"/>
    <w:rsid w:val="00C029F7"/>
    <w:rsid w:val="00C06193"/>
    <w:rsid w:val="00C063C7"/>
    <w:rsid w:val="00C069CD"/>
    <w:rsid w:val="00C072C0"/>
    <w:rsid w:val="00C07977"/>
    <w:rsid w:val="00C11753"/>
    <w:rsid w:val="00C11938"/>
    <w:rsid w:val="00C144FB"/>
    <w:rsid w:val="00C1600C"/>
    <w:rsid w:val="00C17C7D"/>
    <w:rsid w:val="00C209ED"/>
    <w:rsid w:val="00C214A4"/>
    <w:rsid w:val="00C22CBD"/>
    <w:rsid w:val="00C24DC3"/>
    <w:rsid w:val="00C26612"/>
    <w:rsid w:val="00C331BC"/>
    <w:rsid w:val="00C33926"/>
    <w:rsid w:val="00C33948"/>
    <w:rsid w:val="00C3469B"/>
    <w:rsid w:val="00C358D3"/>
    <w:rsid w:val="00C3683D"/>
    <w:rsid w:val="00C37720"/>
    <w:rsid w:val="00C37E82"/>
    <w:rsid w:val="00C40068"/>
    <w:rsid w:val="00C400CF"/>
    <w:rsid w:val="00C42496"/>
    <w:rsid w:val="00C4307E"/>
    <w:rsid w:val="00C439C7"/>
    <w:rsid w:val="00C43DDB"/>
    <w:rsid w:val="00C45762"/>
    <w:rsid w:val="00C467AF"/>
    <w:rsid w:val="00C46F9A"/>
    <w:rsid w:val="00C4719B"/>
    <w:rsid w:val="00C47726"/>
    <w:rsid w:val="00C521E0"/>
    <w:rsid w:val="00C61A78"/>
    <w:rsid w:val="00C6265C"/>
    <w:rsid w:val="00C64B4A"/>
    <w:rsid w:val="00C670B8"/>
    <w:rsid w:val="00C70325"/>
    <w:rsid w:val="00C70E04"/>
    <w:rsid w:val="00C73950"/>
    <w:rsid w:val="00C74931"/>
    <w:rsid w:val="00C7522E"/>
    <w:rsid w:val="00C7528F"/>
    <w:rsid w:val="00C756B3"/>
    <w:rsid w:val="00C75BD2"/>
    <w:rsid w:val="00C75F24"/>
    <w:rsid w:val="00C77754"/>
    <w:rsid w:val="00C80120"/>
    <w:rsid w:val="00C8145B"/>
    <w:rsid w:val="00C81B50"/>
    <w:rsid w:val="00C81DA9"/>
    <w:rsid w:val="00C81E13"/>
    <w:rsid w:val="00C84843"/>
    <w:rsid w:val="00C871A0"/>
    <w:rsid w:val="00C8765D"/>
    <w:rsid w:val="00C91C2E"/>
    <w:rsid w:val="00C91F44"/>
    <w:rsid w:val="00C94D66"/>
    <w:rsid w:val="00C9546E"/>
    <w:rsid w:val="00C95CE6"/>
    <w:rsid w:val="00C96ADC"/>
    <w:rsid w:val="00CA02CC"/>
    <w:rsid w:val="00CA1704"/>
    <w:rsid w:val="00CA5252"/>
    <w:rsid w:val="00CA529A"/>
    <w:rsid w:val="00CA5DD6"/>
    <w:rsid w:val="00CA5E6B"/>
    <w:rsid w:val="00CB1178"/>
    <w:rsid w:val="00CB30EF"/>
    <w:rsid w:val="00CB3741"/>
    <w:rsid w:val="00CB4A24"/>
    <w:rsid w:val="00CB6319"/>
    <w:rsid w:val="00CB692C"/>
    <w:rsid w:val="00CB7243"/>
    <w:rsid w:val="00CB76B8"/>
    <w:rsid w:val="00CC0C0C"/>
    <w:rsid w:val="00CC1AA0"/>
    <w:rsid w:val="00CC20C4"/>
    <w:rsid w:val="00CC40AE"/>
    <w:rsid w:val="00CC4223"/>
    <w:rsid w:val="00CC69D3"/>
    <w:rsid w:val="00CC7394"/>
    <w:rsid w:val="00CD06C8"/>
    <w:rsid w:val="00CD2E9F"/>
    <w:rsid w:val="00CD5621"/>
    <w:rsid w:val="00CD6B52"/>
    <w:rsid w:val="00CD7BAD"/>
    <w:rsid w:val="00CE08FA"/>
    <w:rsid w:val="00CE2B2B"/>
    <w:rsid w:val="00CE3BAA"/>
    <w:rsid w:val="00CE6651"/>
    <w:rsid w:val="00CE6A8B"/>
    <w:rsid w:val="00CF2560"/>
    <w:rsid w:val="00CF2F4E"/>
    <w:rsid w:val="00CF5015"/>
    <w:rsid w:val="00CF5C35"/>
    <w:rsid w:val="00D00B0A"/>
    <w:rsid w:val="00D0269F"/>
    <w:rsid w:val="00D030F1"/>
    <w:rsid w:val="00D04541"/>
    <w:rsid w:val="00D078F4"/>
    <w:rsid w:val="00D11562"/>
    <w:rsid w:val="00D11F97"/>
    <w:rsid w:val="00D14070"/>
    <w:rsid w:val="00D14DAC"/>
    <w:rsid w:val="00D202B2"/>
    <w:rsid w:val="00D235D4"/>
    <w:rsid w:val="00D23775"/>
    <w:rsid w:val="00D2537E"/>
    <w:rsid w:val="00D259D3"/>
    <w:rsid w:val="00D272C3"/>
    <w:rsid w:val="00D27408"/>
    <w:rsid w:val="00D33D1F"/>
    <w:rsid w:val="00D36E8B"/>
    <w:rsid w:val="00D40138"/>
    <w:rsid w:val="00D40644"/>
    <w:rsid w:val="00D40D34"/>
    <w:rsid w:val="00D41C22"/>
    <w:rsid w:val="00D445AB"/>
    <w:rsid w:val="00D44F62"/>
    <w:rsid w:val="00D501A0"/>
    <w:rsid w:val="00D51C0E"/>
    <w:rsid w:val="00D51DDB"/>
    <w:rsid w:val="00D51E9D"/>
    <w:rsid w:val="00D5255D"/>
    <w:rsid w:val="00D546AE"/>
    <w:rsid w:val="00D56900"/>
    <w:rsid w:val="00D57DC5"/>
    <w:rsid w:val="00D60130"/>
    <w:rsid w:val="00D604CA"/>
    <w:rsid w:val="00D67533"/>
    <w:rsid w:val="00D677DA"/>
    <w:rsid w:val="00D702D5"/>
    <w:rsid w:val="00D71D4D"/>
    <w:rsid w:val="00D72777"/>
    <w:rsid w:val="00D74BE7"/>
    <w:rsid w:val="00D76ABE"/>
    <w:rsid w:val="00D7788D"/>
    <w:rsid w:val="00D8131F"/>
    <w:rsid w:val="00D85343"/>
    <w:rsid w:val="00D85616"/>
    <w:rsid w:val="00D857CE"/>
    <w:rsid w:val="00D86CF2"/>
    <w:rsid w:val="00D91CC1"/>
    <w:rsid w:val="00D93B38"/>
    <w:rsid w:val="00D968EF"/>
    <w:rsid w:val="00DA22C6"/>
    <w:rsid w:val="00DA4CED"/>
    <w:rsid w:val="00DB2474"/>
    <w:rsid w:val="00DB2FCC"/>
    <w:rsid w:val="00DB5DE3"/>
    <w:rsid w:val="00DC096B"/>
    <w:rsid w:val="00DC5F91"/>
    <w:rsid w:val="00DD1320"/>
    <w:rsid w:val="00DD136F"/>
    <w:rsid w:val="00DD3BC8"/>
    <w:rsid w:val="00DD532F"/>
    <w:rsid w:val="00DD56C9"/>
    <w:rsid w:val="00DD6F36"/>
    <w:rsid w:val="00DD7111"/>
    <w:rsid w:val="00DE109D"/>
    <w:rsid w:val="00DE2E68"/>
    <w:rsid w:val="00DE433E"/>
    <w:rsid w:val="00DE7529"/>
    <w:rsid w:val="00DF115A"/>
    <w:rsid w:val="00DF1535"/>
    <w:rsid w:val="00DF1836"/>
    <w:rsid w:val="00DF1DA3"/>
    <w:rsid w:val="00DF27F3"/>
    <w:rsid w:val="00DF59FA"/>
    <w:rsid w:val="00DF6284"/>
    <w:rsid w:val="00E020F2"/>
    <w:rsid w:val="00E070EA"/>
    <w:rsid w:val="00E10A5B"/>
    <w:rsid w:val="00E11910"/>
    <w:rsid w:val="00E12C85"/>
    <w:rsid w:val="00E12E5A"/>
    <w:rsid w:val="00E13760"/>
    <w:rsid w:val="00E1589C"/>
    <w:rsid w:val="00E1710A"/>
    <w:rsid w:val="00E1792F"/>
    <w:rsid w:val="00E2019B"/>
    <w:rsid w:val="00E20C49"/>
    <w:rsid w:val="00E217FB"/>
    <w:rsid w:val="00E25370"/>
    <w:rsid w:val="00E26663"/>
    <w:rsid w:val="00E3066B"/>
    <w:rsid w:val="00E30844"/>
    <w:rsid w:val="00E311D0"/>
    <w:rsid w:val="00E317D7"/>
    <w:rsid w:val="00E32955"/>
    <w:rsid w:val="00E32E82"/>
    <w:rsid w:val="00E33CDE"/>
    <w:rsid w:val="00E361AE"/>
    <w:rsid w:val="00E361DE"/>
    <w:rsid w:val="00E36B18"/>
    <w:rsid w:val="00E36CAE"/>
    <w:rsid w:val="00E370FA"/>
    <w:rsid w:val="00E41899"/>
    <w:rsid w:val="00E43229"/>
    <w:rsid w:val="00E45A87"/>
    <w:rsid w:val="00E467A0"/>
    <w:rsid w:val="00E51693"/>
    <w:rsid w:val="00E51A74"/>
    <w:rsid w:val="00E54669"/>
    <w:rsid w:val="00E55A2A"/>
    <w:rsid w:val="00E55FF5"/>
    <w:rsid w:val="00E57D13"/>
    <w:rsid w:val="00E61375"/>
    <w:rsid w:val="00E63F74"/>
    <w:rsid w:val="00E65200"/>
    <w:rsid w:val="00E65515"/>
    <w:rsid w:val="00E65F37"/>
    <w:rsid w:val="00E7108F"/>
    <w:rsid w:val="00E72C21"/>
    <w:rsid w:val="00E74FEC"/>
    <w:rsid w:val="00E75185"/>
    <w:rsid w:val="00E75C50"/>
    <w:rsid w:val="00E76595"/>
    <w:rsid w:val="00E76863"/>
    <w:rsid w:val="00E83698"/>
    <w:rsid w:val="00E84081"/>
    <w:rsid w:val="00E842FF"/>
    <w:rsid w:val="00E8434E"/>
    <w:rsid w:val="00E870C5"/>
    <w:rsid w:val="00E92D6B"/>
    <w:rsid w:val="00E93C66"/>
    <w:rsid w:val="00E948C9"/>
    <w:rsid w:val="00E96863"/>
    <w:rsid w:val="00EA0F86"/>
    <w:rsid w:val="00EA4FCD"/>
    <w:rsid w:val="00EA51D6"/>
    <w:rsid w:val="00EA542A"/>
    <w:rsid w:val="00EA670D"/>
    <w:rsid w:val="00EA77DB"/>
    <w:rsid w:val="00EB225E"/>
    <w:rsid w:val="00EB30A4"/>
    <w:rsid w:val="00EB319A"/>
    <w:rsid w:val="00EB5DCF"/>
    <w:rsid w:val="00EB6312"/>
    <w:rsid w:val="00EC1F3B"/>
    <w:rsid w:val="00EC2046"/>
    <w:rsid w:val="00EC242A"/>
    <w:rsid w:val="00EC2BB0"/>
    <w:rsid w:val="00EC407F"/>
    <w:rsid w:val="00EC58DE"/>
    <w:rsid w:val="00EC798E"/>
    <w:rsid w:val="00ED43E9"/>
    <w:rsid w:val="00ED519C"/>
    <w:rsid w:val="00ED5CE3"/>
    <w:rsid w:val="00ED793A"/>
    <w:rsid w:val="00EE11E4"/>
    <w:rsid w:val="00EE5257"/>
    <w:rsid w:val="00EF0695"/>
    <w:rsid w:val="00EF0F96"/>
    <w:rsid w:val="00EF1090"/>
    <w:rsid w:val="00EF30F3"/>
    <w:rsid w:val="00EF3192"/>
    <w:rsid w:val="00EF5220"/>
    <w:rsid w:val="00EF5787"/>
    <w:rsid w:val="00EF59C6"/>
    <w:rsid w:val="00F0007E"/>
    <w:rsid w:val="00F04264"/>
    <w:rsid w:val="00F07460"/>
    <w:rsid w:val="00F13BF1"/>
    <w:rsid w:val="00F16D19"/>
    <w:rsid w:val="00F25E03"/>
    <w:rsid w:val="00F27D29"/>
    <w:rsid w:val="00F3053D"/>
    <w:rsid w:val="00F31273"/>
    <w:rsid w:val="00F31F6B"/>
    <w:rsid w:val="00F3247C"/>
    <w:rsid w:val="00F32813"/>
    <w:rsid w:val="00F35A39"/>
    <w:rsid w:val="00F42150"/>
    <w:rsid w:val="00F43573"/>
    <w:rsid w:val="00F45F92"/>
    <w:rsid w:val="00F46B76"/>
    <w:rsid w:val="00F51027"/>
    <w:rsid w:val="00F53E32"/>
    <w:rsid w:val="00F54BCA"/>
    <w:rsid w:val="00F575F5"/>
    <w:rsid w:val="00F57E67"/>
    <w:rsid w:val="00F616FC"/>
    <w:rsid w:val="00F61FD0"/>
    <w:rsid w:val="00F638FF"/>
    <w:rsid w:val="00F64CCF"/>
    <w:rsid w:val="00F67345"/>
    <w:rsid w:val="00F70289"/>
    <w:rsid w:val="00F7074A"/>
    <w:rsid w:val="00F7103B"/>
    <w:rsid w:val="00F71261"/>
    <w:rsid w:val="00F720FB"/>
    <w:rsid w:val="00F7479B"/>
    <w:rsid w:val="00F7689C"/>
    <w:rsid w:val="00F8099B"/>
    <w:rsid w:val="00F83319"/>
    <w:rsid w:val="00F83E28"/>
    <w:rsid w:val="00F84E1B"/>
    <w:rsid w:val="00F86F7C"/>
    <w:rsid w:val="00F8729F"/>
    <w:rsid w:val="00F908D3"/>
    <w:rsid w:val="00F90AF8"/>
    <w:rsid w:val="00F91B41"/>
    <w:rsid w:val="00F91FC3"/>
    <w:rsid w:val="00F951B4"/>
    <w:rsid w:val="00F9619A"/>
    <w:rsid w:val="00F96791"/>
    <w:rsid w:val="00F969C2"/>
    <w:rsid w:val="00FA2E0B"/>
    <w:rsid w:val="00FA40EF"/>
    <w:rsid w:val="00FA4402"/>
    <w:rsid w:val="00FA6225"/>
    <w:rsid w:val="00FA6460"/>
    <w:rsid w:val="00FA7630"/>
    <w:rsid w:val="00FB63A9"/>
    <w:rsid w:val="00FB7E07"/>
    <w:rsid w:val="00FC37A7"/>
    <w:rsid w:val="00FC4A8D"/>
    <w:rsid w:val="00FC4D7D"/>
    <w:rsid w:val="00FC581C"/>
    <w:rsid w:val="00FC74BC"/>
    <w:rsid w:val="00FD03C1"/>
    <w:rsid w:val="00FD11EB"/>
    <w:rsid w:val="00FD1EC3"/>
    <w:rsid w:val="00FD521A"/>
    <w:rsid w:val="00FD5BB7"/>
    <w:rsid w:val="00FD7425"/>
    <w:rsid w:val="00FD768B"/>
    <w:rsid w:val="00FD77A0"/>
    <w:rsid w:val="00FD7FCE"/>
    <w:rsid w:val="00FE0121"/>
    <w:rsid w:val="00FE12A3"/>
    <w:rsid w:val="00FE3BD9"/>
    <w:rsid w:val="00FE4C83"/>
    <w:rsid w:val="00FE672B"/>
    <w:rsid w:val="00FE6FCC"/>
    <w:rsid w:val="00FF32D5"/>
    <w:rsid w:val="00FF4B5F"/>
    <w:rsid w:val="00FF53FE"/>
    <w:rsid w:val="00FF7C68"/>
  </w:rsids>
  <m:mathPr>
    <m:mathFont m:val="Cambria Math"/>
    <m:brkBin m:val="before"/>
    <m:brkBinSub m:val="--"/>
    <m:smallFrac m:val="off"/>
    <m:dispDef/>
    <m:lMargin m:val="0"/>
    <m:rMargin m:val="0"/>
    <m:defJc m:val="centerGroup"/>
    <m:wrapIndent m:val="1440"/>
    <m:intLim m:val="undOvr"/>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17D7"/>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A33834"/>
    <w:pPr>
      <w:keepNext/>
      <w:keepLines/>
      <w:spacing w:after="48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66012C"/>
    <w:pPr>
      <w:keepNext/>
      <w:keepLines/>
      <w:spacing w:before="720" w:after="120"/>
      <w:outlineLvl w:val="1"/>
    </w:pPr>
    <w:rPr>
      <w:rFonts w:eastAsiaTheme="majorEastAsia"/>
      <w:b/>
      <w:bCs/>
      <w:szCs w:val="26"/>
    </w:rPr>
  </w:style>
  <w:style w:type="paragraph" w:styleId="Heading3">
    <w:name w:val="heading 3"/>
    <w:basedOn w:val="Normal"/>
    <w:next w:val="Normal"/>
    <w:link w:val="Heading3Char"/>
    <w:uiPriority w:val="9"/>
    <w:unhideWhenUsed/>
    <w:qFormat/>
    <w:rsid w:val="00BE4905"/>
    <w:pPr>
      <w:keepNext/>
      <w:keepLines/>
      <w:spacing w:before="200" w:after="0"/>
      <w:outlineLvl w:val="2"/>
    </w:pPr>
    <w:rPr>
      <w:rFonts w:eastAsiaTheme="majorEastAsia"/>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834"/>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66012C"/>
    <w:rPr>
      <w:rFonts w:ascii="Times New Roman" w:eastAsiaTheme="majorEastAsia" w:hAnsi="Times New Roman" w:cs="Times New Roman"/>
      <w:b/>
      <w:bCs/>
      <w:sz w:val="24"/>
      <w:szCs w:val="26"/>
    </w:rPr>
  </w:style>
  <w:style w:type="paragraph" w:styleId="TOC1">
    <w:name w:val="toc 1"/>
    <w:basedOn w:val="Normal"/>
    <w:next w:val="Normal"/>
    <w:autoRedefine/>
    <w:uiPriority w:val="39"/>
    <w:unhideWhenUsed/>
    <w:rsid w:val="007759F0"/>
    <w:pPr>
      <w:spacing w:after="100"/>
    </w:pPr>
  </w:style>
  <w:style w:type="paragraph" w:styleId="TOC2">
    <w:name w:val="toc 2"/>
    <w:basedOn w:val="Normal"/>
    <w:next w:val="Normal"/>
    <w:autoRedefine/>
    <w:uiPriority w:val="39"/>
    <w:unhideWhenUsed/>
    <w:rsid w:val="007759F0"/>
    <w:pPr>
      <w:spacing w:after="100"/>
      <w:ind w:left="240"/>
    </w:pPr>
  </w:style>
  <w:style w:type="character" w:styleId="Hyperlink">
    <w:name w:val="Hyperlink"/>
    <w:basedOn w:val="DefaultParagraphFont"/>
    <w:uiPriority w:val="99"/>
    <w:unhideWhenUsed/>
    <w:rsid w:val="007759F0"/>
    <w:rPr>
      <w:color w:val="0000FF" w:themeColor="hyperlink"/>
      <w:u w:val="single"/>
    </w:rPr>
  </w:style>
  <w:style w:type="paragraph" w:styleId="Subtitle">
    <w:name w:val="Subtitle"/>
    <w:basedOn w:val="Normal"/>
    <w:next w:val="Normal"/>
    <w:link w:val="SubtitleChar"/>
    <w:uiPriority w:val="11"/>
    <w:qFormat/>
    <w:rsid w:val="00BE490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BE490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E4905"/>
    <w:rPr>
      <w:i/>
      <w:iCs/>
      <w:color w:val="808080" w:themeColor="text1" w:themeTint="7F"/>
    </w:rPr>
  </w:style>
  <w:style w:type="character" w:customStyle="1" w:styleId="Heading3Char">
    <w:name w:val="Heading 3 Char"/>
    <w:basedOn w:val="DefaultParagraphFont"/>
    <w:link w:val="Heading3"/>
    <w:uiPriority w:val="9"/>
    <w:rsid w:val="00BE4905"/>
    <w:rPr>
      <w:rFonts w:ascii="Times New Roman" w:eastAsiaTheme="majorEastAsia" w:hAnsi="Times New Roman" w:cs="Times New Roman"/>
      <w:bCs/>
      <w:i/>
      <w:sz w:val="24"/>
      <w:szCs w:val="24"/>
    </w:rPr>
  </w:style>
  <w:style w:type="paragraph" w:styleId="TOC3">
    <w:name w:val="toc 3"/>
    <w:basedOn w:val="Normal"/>
    <w:next w:val="Normal"/>
    <w:autoRedefine/>
    <w:uiPriority w:val="39"/>
    <w:unhideWhenUsed/>
    <w:rsid w:val="00FE12A3"/>
    <w:pPr>
      <w:spacing w:after="100"/>
      <w:ind w:left="480"/>
    </w:pPr>
  </w:style>
  <w:style w:type="paragraph" w:customStyle="1" w:styleId="Ref">
    <w:name w:val="Ref"/>
    <w:basedOn w:val="Normal"/>
    <w:link w:val="RefChar"/>
    <w:qFormat/>
    <w:rsid w:val="007F7126"/>
    <w:pPr>
      <w:spacing w:line="240" w:lineRule="auto"/>
      <w:ind w:left="284" w:hanging="284"/>
    </w:pPr>
    <w:rPr>
      <w:rFonts w:eastAsia="Times New Roman"/>
      <w:lang w:eastAsia="it-IT"/>
    </w:rPr>
  </w:style>
  <w:style w:type="character" w:customStyle="1" w:styleId="RefChar">
    <w:name w:val="Ref Char"/>
    <w:basedOn w:val="DefaultParagraphFont"/>
    <w:link w:val="Ref"/>
    <w:rsid w:val="007F7126"/>
    <w:rPr>
      <w:rFonts w:ascii="Times New Roman" w:eastAsia="Times New Roman" w:hAnsi="Times New Roman" w:cs="Times New Roman"/>
      <w:sz w:val="24"/>
      <w:szCs w:val="24"/>
      <w:lang w:eastAsia="it-IT"/>
    </w:rPr>
  </w:style>
  <w:style w:type="character" w:styleId="PlaceholderText">
    <w:name w:val="Placeholder Text"/>
    <w:basedOn w:val="DefaultParagraphFont"/>
    <w:uiPriority w:val="99"/>
    <w:semiHidden/>
    <w:rsid w:val="009F236B"/>
    <w:rPr>
      <w:color w:val="808080"/>
    </w:rPr>
  </w:style>
  <w:style w:type="paragraph" w:styleId="BalloonText">
    <w:name w:val="Balloon Text"/>
    <w:basedOn w:val="Normal"/>
    <w:link w:val="BalloonTextChar"/>
    <w:uiPriority w:val="99"/>
    <w:semiHidden/>
    <w:unhideWhenUsed/>
    <w:rsid w:val="009F23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6B"/>
    <w:rPr>
      <w:rFonts w:ascii="Tahoma" w:hAnsi="Tahoma" w:cs="Tahoma"/>
      <w:sz w:val="16"/>
      <w:szCs w:val="16"/>
    </w:rPr>
  </w:style>
  <w:style w:type="paragraph" w:styleId="DocumentMap">
    <w:name w:val="Document Map"/>
    <w:basedOn w:val="Normal"/>
    <w:link w:val="DocumentMapChar"/>
    <w:uiPriority w:val="99"/>
    <w:semiHidden/>
    <w:unhideWhenUsed/>
    <w:rsid w:val="000B2F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B2FE0"/>
    <w:rPr>
      <w:rFonts w:ascii="Tahoma" w:hAnsi="Tahoma" w:cs="Tahoma"/>
      <w:sz w:val="16"/>
      <w:szCs w:val="16"/>
    </w:rPr>
  </w:style>
  <w:style w:type="paragraph" w:styleId="ListParagraph">
    <w:name w:val="List Paragraph"/>
    <w:basedOn w:val="Normal"/>
    <w:uiPriority w:val="34"/>
    <w:qFormat/>
    <w:rsid w:val="00C3469B"/>
    <w:pPr>
      <w:ind w:left="720"/>
      <w:contextualSpacing/>
    </w:pPr>
  </w:style>
  <w:style w:type="paragraph" w:customStyle="1" w:styleId="Style3">
    <w:name w:val="Style3"/>
    <w:basedOn w:val="Heading1"/>
    <w:link w:val="Style3Char"/>
    <w:rsid w:val="006B59F2"/>
    <w:pPr>
      <w:spacing w:after="240" w:line="480" w:lineRule="auto"/>
    </w:pPr>
    <w:rPr>
      <w:rFonts w:cstheme="majorBidi"/>
      <w:lang w:eastAsia="it-IT"/>
    </w:rPr>
  </w:style>
  <w:style w:type="character" w:customStyle="1" w:styleId="Style3Char">
    <w:name w:val="Style3 Char"/>
    <w:basedOn w:val="Heading1Char"/>
    <w:link w:val="Style3"/>
    <w:rsid w:val="006B59F2"/>
    <w:rPr>
      <w:rFonts w:ascii="Times New Roman" w:eastAsiaTheme="majorEastAsia" w:hAnsi="Times New Roman" w:cstheme="majorBidi"/>
      <w:b/>
      <w:bCs/>
      <w:sz w:val="28"/>
      <w:szCs w:val="28"/>
      <w:lang w:eastAsia="it-IT"/>
    </w:rPr>
  </w:style>
  <w:style w:type="character" w:styleId="CommentReference">
    <w:name w:val="annotation reference"/>
    <w:basedOn w:val="DefaultParagraphFont"/>
    <w:uiPriority w:val="99"/>
    <w:semiHidden/>
    <w:unhideWhenUsed/>
    <w:rsid w:val="006B59F2"/>
    <w:rPr>
      <w:sz w:val="16"/>
      <w:szCs w:val="16"/>
    </w:rPr>
  </w:style>
  <w:style w:type="paragraph" w:styleId="CommentText">
    <w:name w:val="annotation text"/>
    <w:basedOn w:val="Normal"/>
    <w:link w:val="CommentTextChar"/>
    <w:uiPriority w:val="99"/>
    <w:unhideWhenUsed/>
    <w:rsid w:val="006B59F2"/>
    <w:pPr>
      <w:spacing w:after="240" w:line="240" w:lineRule="auto"/>
    </w:pPr>
    <w:rPr>
      <w:rFonts w:eastAsia="Times New Roman"/>
      <w:sz w:val="20"/>
      <w:szCs w:val="20"/>
      <w:lang w:eastAsia="it-IT"/>
    </w:rPr>
  </w:style>
  <w:style w:type="character" w:customStyle="1" w:styleId="CommentTextChar">
    <w:name w:val="Comment Text Char"/>
    <w:basedOn w:val="DefaultParagraphFont"/>
    <w:link w:val="CommentText"/>
    <w:uiPriority w:val="99"/>
    <w:rsid w:val="006B59F2"/>
    <w:rPr>
      <w:rFonts w:ascii="Times New Roman" w:eastAsia="Times New Roman" w:hAnsi="Times New Roman" w:cs="Times New Roman"/>
      <w:sz w:val="20"/>
      <w:szCs w:val="20"/>
      <w:lang w:eastAsia="it-IT"/>
    </w:rPr>
  </w:style>
  <w:style w:type="paragraph" w:styleId="Header">
    <w:name w:val="header"/>
    <w:basedOn w:val="Normal"/>
    <w:link w:val="HeaderChar"/>
    <w:uiPriority w:val="99"/>
    <w:unhideWhenUsed/>
    <w:rsid w:val="006B5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9F2"/>
    <w:rPr>
      <w:rFonts w:ascii="Times New Roman" w:hAnsi="Times New Roman" w:cs="Times New Roman"/>
      <w:sz w:val="24"/>
      <w:szCs w:val="24"/>
    </w:rPr>
  </w:style>
  <w:style w:type="paragraph" w:styleId="Footer">
    <w:name w:val="footer"/>
    <w:basedOn w:val="Normal"/>
    <w:link w:val="FooterChar"/>
    <w:uiPriority w:val="99"/>
    <w:unhideWhenUsed/>
    <w:rsid w:val="006B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9F2"/>
    <w:rPr>
      <w:rFonts w:ascii="Times New Roman" w:hAnsi="Times New Roman" w:cs="Times New Roman"/>
      <w:sz w:val="24"/>
      <w:szCs w:val="24"/>
    </w:rPr>
  </w:style>
  <w:style w:type="paragraph" w:styleId="Caption">
    <w:name w:val="caption"/>
    <w:basedOn w:val="Normal"/>
    <w:next w:val="Normal"/>
    <w:uiPriority w:val="35"/>
    <w:unhideWhenUsed/>
    <w:qFormat/>
    <w:rsid w:val="00437316"/>
    <w:pPr>
      <w:keepNext/>
      <w:spacing w:line="240" w:lineRule="auto"/>
    </w:pPr>
    <w:rPr>
      <w:rFonts w:eastAsiaTheme="minorEastAsia"/>
      <w:bCs/>
      <w:sz w:val="22"/>
      <w:szCs w:val="18"/>
    </w:rPr>
  </w:style>
  <w:style w:type="paragraph" w:customStyle="1" w:styleId="Figure">
    <w:name w:val="Figure"/>
    <w:basedOn w:val="Normal"/>
    <w:link w:val="FigureChar"/>
    <w:qFormat/>
    <w:rsid w:val="00AE251A"/>
    <w:pPr>
      <w:spacing w:after="360"/>
    </w:pPr>
    <w:rPr>
      <w:sz w:val="22"/>
    </w:rPr>
  </w:style>
  <w:style w:type="paragraph" w:customStyle="1" w:styleId="Table">
    <w:name w:val="Table"/>
    <w:basedOn w:val="Figure"/>
    <w:link w:val="TableChar"/>
    <w:qFormat/>
    <w:rsid w:val="00AE251A"/>
    <w:pPr>
      <w:spacing w:before="360" w:after="40"/>
    </w:pPr>
  </w:style>
  <w:style w:type="character" w:customStyle="1" w:styleId="FigureChar">
    <w:name w:val="Figure Char"/>
    <w:basedOn w:val="DefaultParagraphFont"/>
    <w:link w:val="Figure"/>
    <w:rsid w:val="00AE251A"/>
    <w:rPr>
      <w:rFonts w:ascii="Times New Roman" w:hAnsi="Times New Roman" w:cs="Times New Roman"/>
      <w:szCs w:val="24"/>
    </w:rPr>
  </w:style>
  <w:style w:type="character" w:customStyle="1" w:styleId="TableChar">
    <w:name w:val="Table Char"/>
    <w:basedOn w:val="FigureChar"/>
    <w:link w:val="Table"/>
    <w:rsid w:val="00AE251A"/>
    <w:rPr>
      <w:rFonts w:ascii="Times New Roman" w:hAnsi="Times New Roman" w:cs="Times New Roman"/>
      <w:szCs w:val="24"/>
    </w:rPr>
  </w:style>
  <w:style w:type="table" w:styleId="TableGrid">
    <w:name w:val="Table Grid"/>
    <w:basedOn w:val="TableNormal"/>
    <w:uiPriority w:val="59"/>
    <w:rsid w:val="000E6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intext">
    <w:name w:val="Main text"/>
    <w:basedOn w:val="Normal"/>
    <w:link w:val="MaintextChar"/>
    <w:qFormat/>
    <w:rsid w:val="009844BD"/>
    <w:pPr>
      <w:spacing w:after="240" w:line="480" w:lineRule="auto"/>
    </w:pPr>
    <w:rPr>
      <w:szCs w:val="22"/>
      <w:lang w:eastAsia="en-GB"/>
    </w:rPr>
  </w:style>
  <w:style w:type="character" w:customStyle="1" w:styleId="MaintextChar">
    <w:name w:val="Main text Char"/>
    <w:basedOn w:val="DefaultParagraphFont"/>
    <w:link w:val="Maintext"/>
    <w:rsid w:val="009844BD"/>
    <w:rPr>
      <w:rFonts w:ascii="Times New Roman" w:hAnsi="Times New Roman" w:cs="Times New Roman"/>
      <w:sz w:val="24"/>
      <w:lang w:eastAsia="en-GB"/>
    </w:rPr>
  </w:style>
</w:styles>
</file>

<file path=word/webSettings.xml><?xml version="1.0" encoding="utf-8"?>
<w:webSettings xmlns:r="http://schemas.openxmlformats.org/officeDocument/2006/relationships" xmlns:w="http://schemas.openxmlformats.org/wordprocessingml/2006/main">
  <w:divs>
    <w:div w:id="49618183">
      <w:bodyDiv w:val="1"/>
      <w:marLeft w:val="0"/>
      <w:marRight w:val="0"/>
      <w:marTop w:val="0"/>
      <w:marBottom w:val="0"/>
      <w:divBdr>
        <w:top w:val="none" w:sz="0" w:space="0" w:color="auto"/>
        <w:left w:val="none" w:sz="0" w:space="0" w:color="auto"/>
        <w:bottom w:val="none" w:sz="0" w:space="0" w:color="auto"/>
        <w:right w:val="none" w:sz="0" w:space="0" w:color="auto"/>
      </w:divBdr>
    </w:div>
    <w:div w:id="49889975">
      <w:bodyDiv w:val="1"/>
      <w:marLeft w:val="0"/>
      <w:marRight w:val="0"/>
      <w:marTop w:val="0"/>
      <w:marBottom w:val="0"/>
      <w:divBdr>
        <w:top w:val="none" w:sz="0" w:space="0" w:color="auto"/>
        <w:left w:val="none" w:sz="0" w:space="0" w:color="auto"/>
        <w:bottom w:val="none" w:sz="0" w:space="0" w:color="auto"/>
        <w:right w:val="none" w:sz="0" w:space="0" w:color="auto"/>
      </w:divBdr>
    </w:div>
    <w:div w:id="50229400">
      <w:bodyDiv w:val="1"/>
      <w:marLeft w:val="0"/>
      <w:marRight w:val="0"/>
      <w:marTop w:val="0"/>
      <w:marBottom w:val="0"/>
      <w:divBdr>
        <w:top w:val="none" w:sz="0" w:space="0" w:color="auto"/>
        <w:left w:val="none" w:sz="0" w:space="0" w:color="auto"/>
        <w:bottom w:val="none" w:sz="0" w:space="0" w:color="auto"/>
        <w:right w:val="none" w:sz="0" w:space="0" w:color="auto"/>
      </w:divBdr>
    </w:div>
    <w:div w:id="63916738">
      <w:bodyDiv w:val="1"/>
      <w:marLeft w:val="0"/>
      <w:marRight w:val="0"/>
      <w:marTop w:val="0"/>
      <w:marBottom w:val="0"/>
      <w:divBdr>
        <w:top w:val="none" w:sz="0" w:space="0" w:color="auto"/>
        <w:left w:val="none" w:sz="0" w:space="0" w:color="auto"/>
        <w:bottom w:val="none" w:sz="0" w:space="0" w:color="auto"/>
        <w:right w:val="none" w:sz="0" w:space="0" w:color="auto"/>
      </w:divBdr>
    </w:div>
    <w:div w:id="90008061">
      <w:bodyDiv w:val="1"/>
      <w:marLeft w:val="0"/>
      <w:marRight w:val="0"/>
      <w:marTop w:val="0"/>
      <w:marBottom w:val="0"/>
      <w:divBdr>
        <w:top w:val="none" w:sz="0" w:space="0" w:color="auto"/>
        <w:left w:val="none" w:sz="0" w:space="0" w:color="auto"/>
        <w:bottom w:val="none" w:sz="0" w:space="0" w:color="auto"/>
        <w:right w:val="none" w:sz="0" w:space="0" w:color="auto"/>
      </w:divBdr>
    </w:div>
    <w:div w:id="106049151">
      <w:bodyDiv w:val="1"/>
      <w:marLeft w:val="0"/>
      <w:marRight w:val="0"/>
      <w:marTop w:val="0"/>
      <w:marBottom w:val="0"/>
      <w:divBdr>
        <w:top w:val="none" w:sz="0" w:space="0" w:color="auto"/>
        <w:left w:val="none" w:sz="0" w:space="0" w:color="auto"/>
        <w:bottom w:val="none" w:sz="0" w:space="0" w:color="auto"/>
        <w:right w:val="none" w:sz="0" w:space="0" w:color="auto"/>
      </w:divBdr>
    </w:div>
    <w:div w:id="130638399">
      <w:bodyDiv w:val="1"/>
      <w:marLeft w:val="0"/>
      <w:marRight w:val="0"/>
      <w:marTop w:val="0"/>
      <w:marBottom w:val="0"/>
      <w:divBdr>
        <w:top w:val="none" w:sz="0" w:space="0" w:color="auto"/>
        <w:left w:val="none" w:sz="0" w:space="0" w:color="auto"/>
        <w:bottom w:val="none" w:sz="0" w:space="0" w:color="auto"/>
        <w:right w:val="none" w:sz="0" w:space="0" w:color="auto"/>
      </w:divBdr>
    </w:div>
    <w:div w:id="135071079">
      <w:bodyDiv w:val="1"/>
      <w:marLeft w:val="0"/>
      <w:marRight w:val="0"/>
      <w:marTop w:val="0"/>
      <w:marBottom w:val="0"/>
      <w:divBdr>
        <w:top w:val="none" w:sz="0" w:space="0" w:color="auto"/>
        <w:left w:val="none" w:sz="0" w:space="0" w:color="auto"/>
        <w:bottom w:val="none" w:sz="0" w:space="0" w:color="auto"/>
        <w:right w:val="none" w:sz="0" w:space="0" w:color="auto"/>
      </w:divBdr>
    </w:div>
    <w:div w:id="200752262">
      <w:bodyDiv w:val="1"/>
      <w:marLeft w:val="0"/>
      <w:marRight w:val="0"/>
      <w:marTop w:val="0"/>
      <w:marBottom w:val="0"/>
      <w:divBdr>
        <w:top w:val="none" w:sz="0" w:space="0" w:color="auto"/>
        <w:left w:val="none" w:sz="0" w:space="0" w:color="auto"/>
        <w:bottom w:val="none" w:sz="0" w:space="0" w:color="auto"/>
        <w:right w:val="none" w:sz="0" w:space="0" w:color="auto"/>
      </w:divBdr>
    </w:div>
    <w:div w:id="214776114">
      <w:bodyDiv w:val="1"/>
      <w:marLeft w:val="0"/>
      <w:marRight w:val="0"/>
      <w:marTop w:val="0"/>
      <w:marBottom w:val="0"/>
      <w:divBdr>
        <w:top w:val="none" w:sz="0" w:space="0" w:color="auto"/>
        <w:left w:val="none" w:sz="0" w:space="0" w:color="auto"/>
        <w:bottom w:val="none" w:sz="0" w:space="0" w:color="auto"/>
        <w:right w:val="none" w:sz="0" w:space="0" w:color="auto"/>
      </w:divBdr>
    </w:div>
    <w:div w:id="264926649">
      <w:bodyDiv w:val="1"/>
      <w:marLeft w:val="0"/>
      <w:marRight w:val="0"/>
      <w:marTop w:val="0"/>
      <w:marBottom w:val="0"/>
      <w:divBdr>
        <w:top w:val="none" w:sz="0" w:space="0" w:color="auto"/>
        <w:left w:val="none" w:sz="0" w:space="0" w:color="auto"/>
        <w:bottom w:val="none" w:sz="0" w:space="0" w:color="auto"/>
        <w:right w:val="none" w:sz="0" w:space="0" w:color="auto"/>
      </w:divBdr>
    </w:div>
    <w:div w:id="280652499">
      <w:bodyDiv w:val="1"/>
      <w:marLeft w:val="0"/>
      <w:marRight w:val="0"/>
      <w:marTop w:val="0"/>
      <w:marBottom w:val="0"/>
      <w:divBdr>
        <w:top w:val="none" w:sz="0" w:space="0" w:color="auto"/>
        <w:left w:val="none" w:sz="0" w:space="0" w:color="auto"/>
        <w:bottom w:val="none" w:sz="0" w:space="0" w:color="auto"/>
        <w:right w:val="none" w:sz="0" w:space="0" w:color="auto"/>
      </w:divBdr>
    </w:div>
    <w:div w:id="335765624">
      <w:bodyDiv w:val="1"/>
      <w:marLeft w:val="0"/>
      <w:marRight w:val="0"/>
      <w:marTop w:val="0"/>
      <w:marBottom w:val="0"/>
      <w:divBdr>
        <w:top w:val="none" w:sz="0" w:space="0" w:color="auto"/>
        <w:left w:val="none" w:sz="0" w:space="0" w:color="auto"/>
        <w:bottom w:val="none" w:sz="0" w:space="0" w:color="auto"/>
        <w:right w:val="none" w:sz="0" w:space="0" w:color="auto"/>
      </w:divBdr>
    </w:div>
    <w:div w:id="345638610">
      <w:bodyDiv w:val="1"/>
      <w:marLeft w:val="0"/>
      <w:marRight w:val="0"/>
      <w:marTop w:val="0"/>
      <w:marBottom w:val="0"/>
      <w:divBdr>
        <w:top w:val="none" w:sz="0" w:space="0" w:color="auto"/>
        <w:left w:val="none" w:sz="0" w:space="0" w:color="auto"/>
        <w:bottom w:val="none" w:sz="0" w:space="0" w:color="auto"/>
        <w:right w:val="none" w:sz="0" w:space="0" w:color="auto"/>
      </w:divBdr>
    </w:div>
    <w:div w:id="370031006">
      <w:bodyDiv w:val="1"/>
      <w:marLeft w:val="0"/>
      <w:marRight w:val="0"/>
      <w:marTop w:val="0"/>
      <w:marBottom w:val="0"/>
      <w:divBdr>
        <w:top w:val="none" w:sz="0" w:space="0" w:color="auto"/>
        <w:left w:val="none" w:sz="0" w:space="0" w:color="auto"/>
        <w:bottom w:val="none" w:sz="0" w:space="0" w:color="auto"/>
        <w:right w:val="none" w:sz="0" w:space="0" w:color="auto"/>
      </w:divBdr>
    </w:div>
    <w:div w:id="379210489">
      <w:bodyDiv w:val="1"/>
      <w:marLeft w:val="0"/>
      <w:marRight w:val="0"/>
      <w:marTop w:val="0"/>
      <w:marBottom w:val="0"/>
      <w:divBdr>
        <w:top w:val="none" w:sz="0" w:space="0" w:color="auto"/>
        <w:left w:val="none" w:sz="0" w:space="0" w:color="auto"/>
        <w:bottom w:val="none" w:sz="0" w:space="0" w:color="auto"/>
        <w:right w:val="none" w:sz="0" w:space="0" w:color="auto"/>
      </w:divBdr>
    </w:div>
    <w:div w:id="388892078">
      <w:bodyDiv w:val="1"/>
      <w:marLeft w:val="0"/>
      <w:marRight w:val="0"/>
      <w:marTop w:val="0"/>
      <w:marBottom w:val="0"/>
      <w:divBdr>
        <w:top w:val="none" w:sz="0" w:space="0" w:color="auto"/>
        <w:left w:val="none" w:sz="0" w:space="0" w:color="auto"/>
        <w:bottom w:val="none" w:sz="0" w:space="0" w:color="auto"/>
        <w:right w:val="none" w:sz="0" w:space="0" w:color="auto"/>
      </w:divBdr>
    </w:div>
    <w:div w:id="397362790">
      <w:bodyDiv w:val="1"/>
      <w:marLeft w:val="0"/>
      <w:marRight w:val="0"/>
      <w:marTop w:val="0"/>
      <w:marBottom w:val="0"/>
      <w:divBdr>
        <w:top w:val="none" w:sz="0" w:space="0" w:color="auto"/>
        <w:left w:val="none" w:sz="0" w:space="0" w:color="auto"/>
        <w:bottom w:val="none" w:sz="0" w:space="0" w:color="auto"/>
        <w:right w:val="none" w:sz="0" w:space="0" w:color="auto"/>
      </w:divBdr>
    </w:div>
    <w:div w:id="435755824">
      <w:bodyDiv w:val="1"/>
      <w:marLeft w:val="0"/>
      <w:marRight w:val="0"/>
      <w:marTop w:val="0"/>
      <w:marBottom w:val="0"/>
      <w:divBdr>
        <w:top w:val="none" w:sz="0" w:space="0" w:color="auto"/>
        <w:left w:val="none" w:sz="0" w:space="0" w:color="auto"/>
        <w:bottom w:val="none" w:sz="0" w:space="0" w:color="auto"/>
        <w:right w:val="none" w:sz="0" w:space="0" w:color="auto"/>
      </w:divBdr>
    </w:div>
    <w:div w:id="469784530">
      <w:bodyDiv w:val="1"/>
      <w:marLeft w:val="0"/>
      <w:marRight w:val="0"/>
      <w:marTop w:val="0"/>
      <w:marBottom w:val="0"/>
      <w:divBdr>
        <w:top w:val="none" w:sz="0" w:space="0" w:color="auto"/>
        <w:left w:val="none" w:sz="0" w:space="0" w:color="auto"/>
        <w:bottom w:val="none" w:sz="0" w:space="0" w:color="auto"/>
        <w:right w:val="none" w:sz="0" w:space="0" w:color="auto"/>
      </w:divBdr>
    </w:div>
    <w:div w:id="485980095">
      <w:bodyDiv w:val="1"/>
      <w:marLeft w:val="0"/>
      <w:marRight w:val="0"/>
      <w:marTop w:val="0"/>
      <w:marBottom w:val="0"/>
      <w:divBdr>
        <w:top w:val="none" w:sz="0" w:space="0" w:color="auto"/>
        <w:left w:val="none" w:sz="0" w:space="0" w:color="auto"/>
        <w:bottom w:val="none" w:sz="0" w:space="0" w:color="auto"/>
        <w:right w:val="none" w:sz="0" w:space="0" w:color="auto"/>
      </w:divBdr>
    </w:div>
    <w:div w:id="521944152">
      <w:bodyDiv w:val="1"/>
      <w:marLeft w:val="0"/>
      <w:marRight w:val="0"/>
      <w:marTop w:val="0"/>
      <w:marBottom w:val="0"/>
      <w:divBdr>
        <w:top w:val="none" w:sz="0" w:space="0" w:color="auto"/>
        <w:left w:val="none" w:sz="0" w:space="0" w:color="auto"/>
        <w:bottom w:val="none" w:sz="0" w:space="0" w:color="auto"/>
        <w:right w:val="none" w:sz="0" w:space="0" w:color="auto"/>
      </w:divBdr>
    </w:div>
    <w:div w:id="566690688">
      <w:bodyDiv w:val="1"/>
      <w:marLeft w:val="0"/>
      <w:marRight w:val="0"/>
      <w:marTop w:val="0"/>
      <w:marBottom w:val="0"/>
      <w:divBdr>
        <w:top w:val="none" w:sz="0" w:space="0" w:color="auto"/>
        <w:left w:val="none" w:sz="0" w:space="0" w:color="auto"/>
        <w:bottom w:val="none" w:sz="0" w:space="0" w:color="auto"/>
        <w:right w:val="none" w:sz="0" w:space="0" w:color="auto"/>
      </w:divBdr>
    </w:div>
    <w:div w:id="637956380">
      <w:bodyDiv w:val="1"/>
      <w:marLeft w:val="0"/>
      <w:marRight w:val="0"/>
      <w:marTop w:val="0"/>
      <w:marBottom w:val="0"/>
      <w:divBdr>
        <w:top w:val="none" w:sz="0" w:space="0" w:color="auto"/>
        <w:left w:val="none" w:sz="0" w:space="0" w:color="auto"/>
        <w:bottom w:val="none" w:sz="0" w:space="0" w:color="auto"/>
        <w:right w:val="none" w:sz="0" w:space="0" w:color="auto"/>
      </w:divBdr>
    </w:div>
    <w:div w:id="650523688">
      <w:bodyDiv w:val="1"/>
      <w:marLeft w:val="0"/>
      <w:marRight w:val="0"/>
      <w:marTop w:val="0"/>
      <w:marBottom w:val="0"/>
      <w:divBdr>
        <w:top w:val="none" w:sz="0" w:space="0" w:color="auto"/>
        <w:left w:val="none" w:sz="0" w:space="0" w:color="auto"/>
        <w:bottom w:val="none" w:sz="0" w:space="0" w:color="auto"/>
        <w:right w:val="none" w:sz="0" w:space="0" w:color="auto"/>
      </w:divBdr>
    </w:div>
    <w:div w:id="739867715">
      <w:bodyDiv w:val="1"/>
      <w:marLeft w:val="0"/>
      <w:marRight w:val="0"/>
      <w:marTop w:val="0"/>
      <w:marBottom w:val="0"/>
      <w:divBdr>
        <w:top w:val="none" w:sz="0" w:space="0" w:color="auto"/>
        <w:left w:val="none" w:sz="0" w:space="0" w:color="auto"/>
        <w:bottom w:val="none" w:sz="0" w:space="0" w:color="auto"/>
        <w:right w:val="none" w:sz="0" w:space="0" w:color="auto"/>
      </w:divBdr>
    </w:div>
    <w:div w:id="757091960">
      <w:bodyDiv w:val="1"/>
      <w:marLeft w:val="0"/>
      <w:marRight w:val="0"/>
      <w:marTop w:val="0"/>
      <w:marBottom w:val="0"/>
      <w:divBdr>
        <w:top w:val="none" w:sz="0" w:space="0" w:color="auto"/>
        <w:left w:val="none" w:sz="0" w:space="0" w:color="auto"/>
        <w:bottom w:val="none" w:sz="0" w:space="0" w:color="auto"/>
        <w:right w:val="none" w:sz="0" w:space="0" w:color="auto"/>
      </w:divBdr>
    </w:div>
    <w:div w:id="796725720">
      <w:bodyDiv w:val="1"/>
      <w:marLeft w:val="0"/>
      <w:marRight w:val="0"/>
      <w:marTop w:val="0"/>
      <w:marBottom w:val="0"/>
      <w:divBdr>
        <w:top w:val="none" w:sz="0" w:space="0" w:color="auto"/>
        <w:left w:val="none" w:sz="0" w:space="0" w:color="auto"/>
        <w:bottom w:val="none" w:sz="0" w:space="0" w:color="auto"/>
        <w:right w:val="none" w:sz="0" w:space="0" w:color="auto"/>
      </w:divBdr>
    </w:div>
    <w:div w:id="803231401">
      <w:bodyDiv w:val="1"/>
      <w:marLeft w:val="0"/>
      <w:marRight w:val="0"/>
      <w:marTop w:val="0"/>
      <w:marBottom w:val="0"/>
      <w:divBdr>
        <w:top w:val="none" w:sz="0" w:space="0" w:color="auto"/>
        <w:left w:val="none" w:sz="0" w:space="0" w:color="auto"/>
        <w:bottom w:val="none" w:sz="0" w:space="0" w:color="auto"/>
        <w:right w:val="none" w:sz="0" w:space="0" w:color="auto"/>
      </w:divBdr>
    </w:div>
    <w:div w:id="817957321">
      <w:bodyDiv w:val="1"/>
      <w:marLeft w:val="0"/>
      <w:marRight w:val="0"/>
      <w:marTop w:val="0"/>
      <w:marBottom w:val="0"/>
      <w:divBdr>
        <w:top w:val="none" w:sz="0" w:space="0" w:color="auto"/>
        <w:left w:val="none" w:sz="0" w:space="0" w:color="auto"/>
        <w:bottom w:val="none" w:sz="0" w:space="0" w:color="auto"/>
        <w:right w:val="none" w:sz="0" w:space="0" w:color="auto"/>
      </w:divBdr>
    </w:div>
    <w:div w:id="904880568">
      <w:bodyDiv w:val="1"/>
      <w:marLeft w:val="0"/>
      <w:marRight w:val="0"/>
      <w:marTop w:val="0"/>
      <w:marBottom w:val="0"/>
      <w:divBdr>
        <w:top w:val="none" w:sz="0" w:space="0" w:color="auto"/>
        <w:left w:val="none" w:sz="0" w:space="0" w:color="auto"/>
        <w:bottom w:val="none" w:sz="0" w:space="0" w:color="auto"/>
        <w:right w:val="none" w:sz="0" w:space="0" w:color="auto"/>
      </w:divBdr>
    </w:div>
    <w:div w:id="934366636">
      <w:bodyDiv w:val="1"/>
      <w:marLeft w:val="0"/>
      <w:marRight w:val="0"/>
      <w:marTop w:val="0"/>
      <w:marBottom w:val="0"/>
      <w:divBdr>
        <w:top w:val="none" w:sz="0" w:space="0" w:color="auto"/>
        <w:left w:val="none" w:sz="0" w:space="0" w:color="auto"/>
        <w:bottom w:val="none" w:sz="0" w:space="0" w:color="auto"/>
        <w:right w:val="none" w:sz="0" w:space="0" w:color="auto"/>
      </w:divBdr>
    </w:div>
    <w:div w:id="966085804">
      <w:bodyDiv w:val="1"/>
      <w:marLeft w:val="0"/>
      <w:marRight w:val="0"/>
      <w:marTop w:val="0"/>
      <w:marBottom w:val="0"/>
      <w:divBdr>
        <w:top w:val="none" w:sz="0" w:space="0" w:color="auto"/>
        <w:left w:val="none" w:sz="0" w:space="0" w:color="auto"/>
        <w:bottom w:val="none" w:sz="0" w:space="0" w:color="auto"/>
        <w:right w:val="none" w:sz="0" w:space="0" w:color="auto"/>
      </w:divBdr>
    </w:div>
    <w:div w:id="971247623">
      <w:bodyDiv w:val="1"/>
      <w:marLeft w:val="0"/>
      <w:marRight w:val="0"/>
      <w:marTop w:val="0"/>
      <w:marBottom w:val="0"/>
      <w:divBdr>
        <w:top w:val="none" w:sz="0" w:space="0" w:color="auto"/>
        <w:left w:val="none" w:sz="0" w:space="0" w:color="auto"/>
        <w:bottom w:val="none" w:sz="0" w:space="0" w:color="auto"/>
        <w:right w:val="none" w:sz="0" w:space="0" w:color="auto"/>
      </w:divBdr>
    </w:div>
    <w:div w:id="1010059306">
      <w:bodyDiv w:val="1"/>
      <w:marLeft w:val="0"/>
      <w:marRight w:val="0"/>
      <w:marTop w:val="0"/>
      <w:marBottom w:val="0"/>
      <w:divBdr>
        <w:top w:val="none" w:sz="0" w:space="0" w:color="auto"/>
        <w:left w:val="none" w:sz="0" w:space="0" w:color="auto"/>
        <w:bottom w:val="none" w:sz="0" w:space="0" w:color="auto"/>
        <w:right w:val="none" w:sz="0" w:space="0" w:color="auto"/>
      </w:divBdr>
    </w:div>
    <w:div w:id="1062095800">
      <w:bodyDiv w:val="1"/>
      <w:marLeft w:val="0"/>
      <w:marRight w:val="0"/>
      <w:marTop w:val="0"/>
      <w:marBottom w:val="0"/>
      <w:divBdr>
        <w:top w:val="none" w:sz="0" w:space="0" w:color="auto"/>
        <w:left w:val="none" w:sz="0" w:space="0" w:color="auto"/>
        <w:bottom w:val="none" w:sz="0" w:space="0" w:color="auto"/>
        <w:right w:val="none" w:sz="0" w:space="0" w:color="auto"/>
      </w:divBdr>
    </w:div>
    <w:div w:id="1070153459">
      <w:bodyDiv w:val="1"/>
      <w:marLeft w:val="0"/>
      <w:marRight w:val="0"/>
      <w:marTop w:val="0"/>
      <w:marBottom w:val="0"/>
      <w:divBdr>
        <w:top w:val="none" w:sz="0" w:space="0" w:color="auto"/>
        <w:left w:val="none" w:sz="0" w:space="0" w:color="auto"/>
        <w:bottom w:val="none" w:sz="0" w:space="0" w:color="auto"/>
        <w:right w:val="none" w:sz="0" w:space="0" w:color="auto"/>
      </w:divBdr>
    </w:div>
    <w:div w:id="1184367710">
      <w:bodyDiv w:val="1"/>
      <w:marLeft w:val="0"/>
      <w:marRight w:val="0"/>
      <w:marTop w:val="0"/>
      <w:marBottom w:val="0"/>
      <w:divBdr>
        <w:top w:val="none" w:sz="0" w:space="0" w:color="auto"/>
        <w:left w:val="none" w:sz="0" w:space="0" w:color="auto"/>
        <w:bottom w:val="none" w:sz="0" w:space="0" w:color="auto"/>
        <w:right w:val="none" w:sz="0" w:space="0" w:color="auto"/>
      </w:divBdr>
    </w:div>
    <w:div w:id="1194734571">
      <w:bodyDiv w:val="1"/>
      <w:marLeft w:val="0"/>
      <w:marRight w:val="0"/>
      <w:marTop w:val="0"/>
      <w:marBottom w:val="0"/>
      <w:divBdr>
        <w:top w:val="none" w:sz="0" w:space="0" w:color="auto"/>
        <w:left w:val="none" w:sz="0" w:space="0" w:color="auto"/>
        <w:bottom w:val="none" w:sz="0" w:space="0" w:color="auto"/>
        <w:right w:val="none" w:sz="0" w:space="0" w:color="auto"/>
      </w:divBdr>
    </w:div>
    <w:div w:id="1212571269">
      <w:bodyDiv w:val="1"/>
      <w:marLeft w:val="0"/>
      <w:marRight w:val="0"/>
      <w:marTop w:val="0"/>
      <w:marBottom w:val="0"/>
      <w:divBdr>
        <w:top w:val="none" w:sz="0" w:space="0" w:color="auto"/>
        <w:left w:val="none" w:sz="0" w:space="0" w:color="auto"/>
        <w:bottom w:val="none" w:sz="0" w:space="0" w:color="auto"/>
        <w:right w:val="none" w:sz="0" w:space="0" w:color="auto"/>
      </w:divBdr>
    </w:div>
    <w:div w:id="1366565079">
      <w:bodyDiv w:val="1"/>
      <w:marLeft w:val="0"/>
      <w:marRight w:val="0"/>
      <w:marTop w:val="0"/>
      <w:marBottom w:val="0"/>
      <w:divBdr>
        <w:top w:val="none" w:sz="0" w:space="0" w:color="auto"/>
        <w:left w:val="none" w:sz="0" w:space="0" w:color="auto"/>
        <w:bottom w:val="none" w:sz="0" w:space="0" w:color="auto"/>
        <w:right w:val="none" w:sz="0" w:space="0" w:color="auto"/>
      </w:divBdr>
    </w:div>
    <w:div w:id="1387295711">
      <w:bodyDiv w:val="1"/>
      <w:marLeft w:val="0"/>
      <w:marRight w:val="0"/>
      <w:marTop w:val="0"/>
      <w:marBottom w:val="0"/>
      <w:divBdr>
        <w:top w:val="none" w:sz="0" w:space="0" w:color="auto"/>
        <w:left w:val="none" w:sz="0" w:space="0" w:color="auto"/>
        <w:bottom w:val="none" w:sz="0" w:space="0" w:color="auto"/>
        <w:right w:val="none" w:sz="0" w:space="0" w:color="auto"/>
      </w:divBdr>
    </w:div>
    <w:div w:id="1397049386">
      <w:bodyDiv w:val="1"/>
      <w:marLeft w:val="0"/>
      <w:marRight w:val="0"/>
      <w:marTop w:val="0"/>
      <w:marBottom w:val="0"/>
      <w:divBdr>
        <w:top w:val="none" w:sz="0" w:space="0" w:color="auto"/>
        <w:left w:val="none" w:sz="0" w:space="0" w:color="auto"/>
        <w:bottom w:val="none" w:sz="0" w:space="0" w:color="auto"/>
        <w:right w:val="none" w:sz="0" w:space="0" w:color="auto"/>
      </w:divBdr>
    </w:div>
    <w:div w:id="1414625723">
      <w:bodyDiv w:val="1"/>
      <w:marLeft w:val="0"/>
      <w:marRight w:val="0"/>
      <w:marTop w:val="0"/>
      <w:marBottom w:val="0"/>
      <w:divBdr>
        <w:top w:val="none" w:sz="0" w:space="0" w:color="auto"/>
        <w:left w:val="none" w:sz="0" w:space="0" w:color="auto"/>
        <w:bottom w:val="none" w:sz="0" w:space="0" w:color="auto"/>
        <w:right w:val="none" w:sz="0" w:space="0" w:color="auto"/>
      </w:divBdr>
    </w:div>
    <w:div w:id="1429041639">
      <w:bodyDiv w:val="1"/>
      <w:marLeft w:val="0"/>
      <w:marRight w:val="0"/>
      <w:marTop w:val="0"/>
      <w:marBottom w:val="0"/>
      <w:divBdr>
        <w:top w:val="none" w:sz="0" w:space="0" w:color="auto"/>
        <w:left w:val="none" w:sz="0" w:space="0" w:color="auto"/>
        <w:bottom w:val="none" w:sz="0" w:space="0" w:color="auto"/>
        <w:right w:val="none" w:sz="0" w:space="0" w:color="auto"/>
      </w:divBdr>
    </w:div>
    <w:div w:id="1442994875">
      <w:bodyDiv w:val="1"/>
      <w:marLeft w:val="0"/>
      <w:marRight w:val="0"/>
      <w:marTop w:val="0"/>
      <w:marBottom w:val="0"/>
      <w:divBdr>
        <w:top w:val="none" w:sz="0" w:space="0" w:color="auto"/>
        <w:left w:val="none" w:sz="0" w:space="0" w:color="auto"/>
        <w:bottom w:val="none" w:sz="0" w:space="0" w:color="auto"/>
        <w:right w:val="none" w:sz="0" w:space="0" w:color="auto"/>
      </w:divBdr>
    </w:div>
    <w:div w:id="1443301281">
      <w:bodyDiv w:val="1"/>
      <w:marLeft w:val="0"/>
      <w:marRight w:val="0"/>
      <w:marTop w:val="0"/>
      <w:marBottom w:val="0"/>
      <w:divBdr>
        <w:top w:val="none" w:sz="0" w:space="0" w:color="auto"/>
        <w:left w:val="none" w:sz="0" w:space="0" w:color="auto"/>
        <w:bottom w:val="none" w:sz="0" w:space="0" w:color="auto"/>
        <w:right w:val="none" w:sz="0" w:space="0" w:color="auto"/>
      </w:divBdr>
    </w:div>
    <w:div w:id="1447389007">
      <w:bodyDiv w:val="1"/>
      <w:marLeft w:val="0"/>
      <w:marRight w:val="0"/>
      <w:marTop w:val="0"/>
      <w:marBottom w:val="0"/>
      <w:divBdr>
        <w:top w:val="none" w:sz="0" w:space="0" w:color="auto"/>
        <w:left w:val="none" w:sz="0" w:space="0" w:color="auto"/>
        <w:bottom w:val="none" w:sz="0" w:space="0" w:color="auto"/>
        <w:right w:val="none" w:sz="0" w:space="0" w:color="auto"/>
      </w:divBdr>
    </w:div>
    <w:div w:id="1484199904">
      <w:bodyDiv w:val="1"/>
      <w:marLeft w:val="0"/>
      <w:marRight w:val="0"/>
      <w:marTop w:val="0"/>
      <w:marBottom w:val="0"/>
      <w:divBdr>
        <w:top w:val="none" w:sz="0" w:space="0" w:color="auto"/>
        <w:left w:val="none" w:sz="0" w:space="0" w:color="auto"/>
        <w:bottom w:val="none" w:sz="0" w:space="0" w:color="auto"/>
        <w:right w:val="none" w:sz="0" w:space="0" w:color="auto"/>
      </w:divBdr>
    </w:div>
    <w:div w:id="1548294204">
      <w:bodyDiv w:val="1"/>
      <w:marLeft w:val="0"/>
      <w:marRight w:val="0"/>
      <w:marTop w:val="0"/>
      <w:marBottom w:val="0"/>
      <w:divBdr>
        <w:top w:val="none" w:sz="0" w:space="0" w:color="auto"/>
        <w:left w:val="none" w:sz="0" w:space="0" w:color="auto"/>
        <w:bottom w:val="none" w:sz="0" w:space="0" w:color="auto"/>
        <w:right w:val="none" w:sz="0" w:space="0" w:color="auto"/>
      </w:divBdr>
    </w:div>
    <w:div w:id="1595093526">
      <w:bodyDiv w:val="1"/>
      <w:marLeft w:val="0"/>
      <w:marRight w:val="0"/>
      <w:marTop w:val="0"/>
      <w:marBottom w:val="0"/>
      <w:divBdr>
        <w:top w:val="none" w:sz="0" w:space="0" w:color="auto"/>
        <w:left w:val="none" w:sz="0" w:space="0" w:color="auto"/>
        <w:bottom w:val="none" w:sz="0" w:space="0" w:color="auto"/>
        <w:right w:val="none" w:sz="0" w:space="0" w:color="auto"/>
      </w:divBdr>
    </w:div>
    <w:div w:id="1745492308">
      <w:bodyDiv w:val="1"/>
      <w:marLeft w:val="0"/>
      <w:marRight w:val="0"/>
      <w:marTop w:val="0"/>
      <w:marBottom w:val="0"/>
      <w:divBdr>
        <w:top w:val="none" w:sz="0" w:space="0" w:color="auto"/>
        <w:left w:val="none" w:sz="0" w:space="0" w:color="auto"/>
        <w:bottom w:val="none" w:sz="0" w:space="0" w:color="auto"/>
        <w:right w:val="none" w:sz="0" w:space="0" w:color="auto"/>
      </w:divBdr>
    </w:div>
    <w:div w:id="1793480887">
      <w:bodyDiv w:val="1"/>
      <w:marLeft w:val="0"/>
      <w:marRight w:val="0"/>
      <w:marTop w:val="0"/>
      <w:marBottom w:val="0"/>
      <w:divBdr>
        <w:top w:val="none" w:sz="0" w:space="0" w:color="auto"/>
        <w:left w:val="none" w:sz="0" w:space="0" w:color="auto"/>
        <w:bottom w:val="none" w:sz="0" w:space="0" w:color="auto"/>
        <w:right w:val="none" w:sz="0" w:space="0" w:color="auto"/>
      </w:divBdr>
    </w:div>
    <w:div w:id="1810173562">
      <w:bodyDiv w:val="1"/>
      <w:marLeft w:val="0"/>
      <w:marRight w:val="0"/>
      <w:marTop w:val="0"/>
      <w:marBottom w:val="0"/>
      <w:divBdr>
        <w:top w:val="none" w:sz="0" w:space="0" w:color="auto"/>
        <w:left w:val="none" w:sz="0" w:space="0" w:color="auto"/>
        <w:bottom w:val="none" w:sz="0" w:space="0" w:color="auto"/>
        <w:right w:val="none" w:sz="0" w:space="0" w:color="auto"/>
      </w:divBdr>
    </w:div>
    <w:div w:id="1815563898">
      <w:bodyDiv w:val="1"/>
      <w:marLeft w:val="0"/>
      <w:marRight w:val="0"/>
      <w:marTop w:val="0"/>
      <w:marBottom w:val="0"/>
      <w:divBdr>
        <w:top w:val="none" w:sz="0" w:space="0" w:color="auto"/>
        <w:left w:val="none" w:sz="0" w:space="0" w:color="auto"/>
        <w:bottom w:val="none" w:sz="0" w:space="0" w:color="auto"/>
        <w:right w:val="none" w:sz="0" w:space="0" w:color="auto"/>
      </w:divBdr>
    </w:div>
    <w:div w:id="1822427765">
      <w:bodyDiv w:val="1"/>
      <w:marLeft w:val="0"/>
      <w:marRight w:val="0"/>
      <w:marTop w:val="0"/>
      <w:marBottom w:val="0"/>
      <w:divBdr>
        <w:top w:val="none" w:sz="0" w:space="0" w:color="auto"/>
        <w:left w:val="none" w:sz="0" w:space="0" w:color="auto"/>
        <w:bottom w:val="none" w:sz="0" w:space="0" w:color="auto"/>
        <w:right w:val="none" w:sz="0" w:space="0" w:color="auto"/>
      </w:divBdr>
    </w:div>
    <w:div w:id="1848136920">
      <w:bodyDiv w:val="1"/>
      <w:marLeft w:val="0"/>
      <w:marRight w:val="0"/>
      <w:marTop w:val="0"/>
      <w:marBottom w:val="0"/>
      <w:divBdr>
        <w:top w:val="none" w:sz="0" w:space="0" w:color="auto"/>
        <w:left w:val="none" w:sz="0" w:space="0" w:color="auto"/>
        <w:bottom w:val="none" w:sz="0" w:space="0" w:color="auto"/>
        <w:right w:val="none" w:sz="0" w:space="0" w:color="auto"/>
      </w:divBdr>
    </w:div>
    <w:div w:id="1892035746">
      <w:bodyDiv w:val="1"/>
      <w:marLeft w:val="0"/>
      <w:marRight w:val="0"/>
      <w:marTop w:val="0"/>
      <w:marBottom w:val="0"/>
      <w:divBdr>
        <w:top w:val="none" w:sz="0" w:space="0" w:color="auto"/>
        <w:left w:val="none" w:sz="0" w:space="0" w:color="auto"/>
        <w:bottom w:val="none" w:sz="0" w:space="0" w:color="auto"/>
        <w:right w:val="none" w:sz="0" w:space="0" w:color="auto"/>
      </w:divBdr>
    </w:div>
    <w:div w:id="1916433553">
      <w:bodyDiv w:val="1"/>
      <w:marLeft w:val="0"/>
      <w:marRight w:val="0"/>
      <w:marTop w:val="0"/>
      <w:marBottom w:val="0"/>
      <w:divBdr>
        <w:top w:val="none" w:sz="0" w:space="0" w:color="auto"/>
        <w:left w:val="none" w:sz="0" w:space="0" w:color="auto"/>
        <w:bottom w:val="none" w:sz="0" w:space="0" w:color="auto"/>
        <w:right w:val="none" w:sz="0" w:space="0" w:color="auto"/>
      </w:divBdr>
    </w:div>
    <w:div w:id="1926063740">
      <w:bodyDiv w:val="1"/>
      <w:marLeft w:val="0"/>
      <w:marRight w:val="0"/>
      <w:marTop w:val="0"/>
      <w:marBottom w:val="0"/>
      <w:divBdr>
        <w:top w:val="none" w:sz="0" w:space="0" w:color="auto"/>
        <w:left w:val="none" w:sz="0" w:space="0" w:color="auto"/>
        <w:bottom w:val="none" w:sz="0" w:space="0" w:color="auto"/>
        <w:right w:val="none" w:sz="0" w:space="0" w:color="auto"/>
      </w:divBdr>
    </w:div>
    <w:div w:id="1990741142">
      <w:bodyDiv w:val="1"/>
      <w:marLeft w:val="0"/>
      <w:marRight w:val="0"/>
      <w:marTop w:val="0"/>
      <w:marBottom w:val="0"/>
      <w:divBdr>
        <w:top w:val="none" w:sz="0" w:space="0" w:color="auto"/>
        <w:left w:val="none" w:sz="0" w:space="0" w:color="auto"/>
        <w:bottom w:val="none" w:sz="0" w:space="0" w:color="auto"/>
        <w:right w:val="none" w:sz="0" w:space="0" w:color="auto"/>
      </w:divBdr>
    </w:div>
    <w:div w:id="2003505609">
      <w:bodyDiv w:val="1"/>
      <w:marLeft w:val="0"/>
      <w:marRight w:val="0"/>
      <w:marTop w:val="0"/>
      <w:marBottom w:val="0"/>
      <w:divBdr>
        <w:top w:val="none" w:sz="0" w:space="0" w:color="auto"/>
        <w:left w:val="none" w:sz="0" w:space="0" w:color="auto"/>
        <w:bottom w:val="none" w:sz="0" w:space="0" w:color="auto"/>
        <w:right w:val="none" w:sz="0" w:space="0" w:color="auto"/>
      </w:divBdr>
    </w:div>
    <w:div w:id="2008172356">
      <w:bodyDiv w:val="1"/>
      <w:marLeft w:val="0"/>
      <w:marRight w:val="0"/>
      <w:marTop w:val="0"/>
      <w:marBottom w:val="0"/>
      <w:divBdr>
        <w:top w:val="none" w:sz="0" w:space="0" w:color="auto"/>
        <w:left w:val="none" w:sz="0" w:space="0" w:color="auto"/>
        <w:bottom w:val="none" w:sz="0" w:space="0" w:color="auto"/>
        <w:right w:val="none" w:sz="0" w:space="0" w:color="auto"/>
      </w:divBdr>
    </w:div>
    <w:div w:id="2043286269">
      <w:bodyDiv w:val="1"/>
      <w:marLeft w:val="0"/>
      <w:marRight w:val="0"/>
      <w:marTop w:val="0"/>
      <w:marBottom w:val="0"/>
      <w:divBdr>
        <w:top w:val="none" w:sz="0" w:space="0" w:color="auto"/>
        <w:left w:val="none" w:sz="0" w:space="0" w:color="auto"/>
        <w:bottom w:val="none" w:sz="0" w:space="0" w:color="auto"/>
        <w:right w:val="none" w:sz="0" w:space="0" w:color="auto"/>
      </w:divBdr>
    </w:div>
    <w:div w:id="2080053803">
      <w:bodyDiv w:val="1"/>
      <w:marLeft w:val="0"/>
      <w:marRight w:val="0"/>
      <w:marTop w:val="0"/>
      <w:marBottom w:val="0"/>
      <w:divBdr>
        <w:top w:val="none" w:sz="0" w:space="0" w:color="auto"/>
        <w:left w:val="none" w:sz="0" w:space="0" w:color="auto"/>
        <w:bottom w:val="none" w:sz="0" w:space="0" w:color="auto"/>
        <w:right w:val="none" w:sz="0" w:space="0" w:color="auto"/>
      </w:divBdr>
    </w:div>
    <w:div w:id="2099522970">
      <w:bodyDiv w:val="1"/>
      <w:marLeft w:val="0"/>
      <w:marRight w:val="0"/>
      <w:marTop w:val="0"/>
      <w:marBottom w:val="0"/>
      <w:divBdr>
        <w:top w:val="none" w:sz="0" w:space="0" w:color="auto"/>
        <w:left w:val="none" w:sz="0" w:space="0" w:color="auto"/>
        <w:bottom w:val="none" w:sz="0" w:space="0" w:color="auto"/>
        <w:right w:val="none" w:sz="0" w:space="0" w:color="auto"/>
      </w:divBdr>
    </w:div>
    <w:div w:id="2115972966">
      <w:bodyDiv w:val="1"/>
      <w:marLeft w:val="0"/>
      <w:marRight w:val="0"/>
      <w:marTop w:val="0"/>
      <w:marBottom w:val="0"/>
      <w:divBdr>
        <w:top w:val="none" w:sz="0" w:space="0" w:color="auto"/>
        <w:left w:val="none" w:sz="0" w:space="0" w:color="auto"/>
        <w:bottom w:val="none" w:sz="0" w:space="0" w:color="auto"/>
        <w:right w:val="none" w:sz="0" w:space="0" w:color="auto"/>
      </w:divBdr>
    </w:div>
    <w:div w:id="2117628380">
      <w:bodyDiv w:val="1"/>
      <w:marLeft w:val="0"/>
      <w:marRight w:val="0"/>
      <w:marTop w:val="0"/>
      <w:marBottom w:val="0"/>
      <w:divBdr>
        <w:top w:val="none" w:sz="0" w:space="0" w:color="auto"/>
        <w:left w:val="none" w:sz="0" w:space="0" w:color="auto"/>
        <w:bottom w:val="none" w:sz="0" w:space="0" w:color="auto"/>
        <w:right w:val="none" w:sz="0" w:space="0" w:color="auto"/>
      </w:divBdr>
    </w:div>
    <w:div w:id="214350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ia.fs.fed.us/tools-data/other_data/index.php" TargetMode="External"/><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hyperlink" Target="http://icp-forests.ne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DAF81D3-932B-4214-A70B-3A92865F7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3382</TotalTime>
  <Pages>18</Pages>
  <Words>19238</Words>
  <Characters>109663</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Jucker</dc:creator>
  <cp:lastModifiedBy>0011919</cp:lastModifiedBy>
  <cp:revision>207</cp:revision>
  <cp:lastPrinted>2014-09-05T07:57:00Z</cp:lastPrinted>
  <dcterms:created xsi:type="dcterms:W3CDTF">2015-12-14T13:09:00Z</dcterms:created>
  <dcterms:modified xsi:type="dcterms:W3CDTF">2016-06-20T07:44:00Z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tommasojucker@gmail.com@www.mendeley.com</vt:lpwstr>
  </property>
  <property fmtid="{D5CDD505-2E9C-101B-9397-08002B2CF9AE}" pid="4" name="Mendeley Citation Style_1">
    <vt:lpwstr>http://www.zotero.org/styles/global-change-biology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http://www.zotero.org/styles/ecology-letters</vt:lpwstr>
  </property>
  <property fmtid="{D5CDD505-2E9C-101B-9397-08002B2CF9AE}" pid="10" name="Mendeley Recent Style Name 2_1">
    <vt:lpwstr>Ecology Letters</vt:lpwstr>
  </property>
  <property fmtid="{D5CDD505-2E9C-101B-9397-08002B2CF9AE}" pid="11" name="Mendeley Recent Style Id 3_1">
    <vt:lpwstr>http://www.zotero.org/styles/global-change-biology</vt:lpwstr>
  </property>
  <property fmtid="{D5CDD505-2E9C-101B-9397-08002B2CF9AE}" pid="12" name="Mendeley Recent Style Name 3_1">
    <vt:lpwstr>Global Change Biology</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http://www.zotero.org/styles/journal-of-ecology</vt:lpwstr>
  </property>
  <property fmtid="{D5CDD505-2E9C-101B-9397-08002B2CF9AE}" pid="18" name="Mendeley Recent Style Name 6_1">
    <vt:lpwstr>Journal of Ecology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