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“Hook” Intro</w:t>
      </w:r>
    </w:p>
    <w:p w:rsidR="00000000" w:rsidDel="00000000" w:rsidP="00000000" w:rsidRDefault="00000000" w:rsidRPr="00000000" w14:paraId="00000002">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today’s data-driven world, understanding customer behavior is essential for creating impactful marketing campaigns. According to a study by Smith &amp; Johnson (2022), leveraging customer insights significantly enhances campaign performance and engagement. This report delves into how demographic and transactional data can be utilized to analyze buying behavior, segment customers effectively, and tailor campaigns for maximum impact. By harnessing insights from critical variables such as income, family composition, and purchasing patterns, businesses can uncover opportunities to enhance customer engagement and improve overall campaign success.</w:t>
      </w:r>
    </w:p>
    <w:p w:rsidR="00000000" w:rsidDel="00000000" w:rsidP="00000000" w:rsidRDefault="00000000" w:rsidRPr="00000000" w14:paraId="00000003">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dataset, compiled by a marketing analytics team, merges demographic information, transactional records, and responses to marketing initiatives, offering valuable insights into customer behavior. The primary objective is to analyze this data to formulate strategies that boost the effectiveness of marketing campaigns.</w:t>
      </w:r>
    </w:p>
    <w:p w:rsidR="00000000" w:rsidDel="00000000" w:rsidP="00000000" w:rsidRDefault="00000000" w:rsidRPr="00000000" w14:paraId="00000004">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Key columns in the dataset encompass demographic details like Income, which reflects the customer’s annual household income, and household information such as Kidhome and Teenhome, indicating the number of young children and teenagers in the household. Transactional data includes spending metrics such as MntWines and MntMeatProducts, detailing expenditures across various product categories over the past two years. Behavioral engagement is captured through variables like NumWebPurchases, NumStorePurchases, and NumWebVisitsMonth, tracking purchases and website activity. Customer responses to marketing efforts are documented in columns such as AcceptedCmp1-5, which monitor participation in previous campaigns, and the Response column, the target variable indicating acceptance of the latest campaign offer. The Recency column, measuring the number of days since the last purchase, adds further context to understanding customer engagement.</w:t>
      </w:r>
    </w:p>
    <w:p w:rsidR="00000000" w:rsidDel="00000000" w:rsidP="00000000" w:rsidRDefault="00000000" w:rsidRPr="00000000" w14:paraId="00000005">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left="0" w:firstLine="0"/>
        <w:rPr>
          <w:rFonts w:ascii="Montserrat" w:cs="Montserrat" w:eastAsia="Montserrat" w:hAnsi="Montserrat"/>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