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8"/>
        </w:rPr>
        <w:t>LAB 3 REPORT</w:t>
      </w:r>
    </w:p>
    <w:p>
      <w:pPr>
        <w:pStyle w:val="Title"/>
        <w:jc w:val="center"/>
      </w:pPr>
      <w:r>
        <w:t>Classification</w:t>
      </w:r>
    </w:p>
    <w:p>
      <w:pPr>
        <w:jc w:val="center"/>
      </w:pPr>
      <w:r>
        <w:rPr>
          <w:i/>
          <w:sz w:val="20"/>
        </w:rPr>
        <w:t>Logistic Regression · LDA/QDA · Naive Bayes · KNN · ROC/AUC · Poisson Regression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Student information</w:t>
            </w:r>
          </w:p>
        </w:tc>
        <w:tc>
          <w:tcPr>
            <w:tcW w:type="dxa" w:w="6912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Nguyễn Viết Huy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Student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ITDSIU24021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Course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IT171IU – Statistical Learning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Class/group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Lab Group 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Notebook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IT171IU_Lab03_NguyenVietHuy_ITDSIU24021.ipynb</w:t>
            </w:r>
          </w:p>
        </w:tc>
      </w:tr>
    </w:tbl>
    <w:p>
      <w:pPr>
        <w:spacing w:after="0"/>
      </w:pPr>
    </w:p>
    <w:p>
      <w:pPr>
        <w:pStyle w:val="Heading1"/>
      </w:pPr>
      <w:r>
        <w:t>Purpose and approach</w:t>
      </w:r>
    </w:p>
    <w:p>
      <w:r>
        <w:t>This lab compares probabilistic and generative classification methods, nearest-neighbour classification, threshold-based evaluation, ROC/AUC, and Poisson regression for counts. The notebook follows the assigned datasets and split definitions and prints the confusion matrices and numeric metrics at execution time.</w:t>
      </w:r>
    </w:p>
    <w:p>
      <w:pPr>
        <w:pStyle w:val="Heading1"/>
      </w:pPr>
      <w:r>
        <w:t>Completion and verification status</w:t>
      </w:r>
    </w:p>
    <w:p>
      <w:pPr>
        <w:pStyle w:val="ListBullet"/>
      </w:pPr>
      <w:r>
        <w:t>Solution code is filled for Exercises 1–8, including the two optional challenge exercises. Written interpretations are included after the exercises and in the three checkpoint sections.</w:t>
      </w:r>
    </w:p>
    <w:p>
      <w:pPr>
        <w:pStyle w:val="ListBullet"/>
      </w:pPr>
      <w:r>
        <w:t>All Python code cells were syntax-checked. The breast-cancer and wine exercises were independently executed using the scikit-learn fallback datasets already available in the notebook.</w:t>
      </w:r>
    </w:p>
    <w:p>
      <w:pPr>
        <w:pStyle w:val="ListBullet"/>
      </w:pPr>
      <w:r>
        <w:t>A full top-to-bottom run could not be performed in the offline authoring runtime because `ISLP` is missing and package downloads are blocked. The `Weekly`, `Auto`, `Default`, `Caravan`, and `Bikeshare` cells must be run in Colab before submission; the notebook’s output is the authoritative source for those numeric results.</w:t>
      </w:r>
    </w:p>
    <w:p>
      <w:pPr>
        <w:pStyle w:val="Heading1"/>
      </w:pPr>
      <w:r>
        <w:t>Main interpretation reminders</w:t>
      </w:r>
    </w:p>
    <w:p>
      <w:pPr>
        <w:pStyle w:val="ListBullet"/>
      </w:pPr>
      <w:r>
        <w:t>Training accuracy is usually optimistic because the same observations were used to fit and evaluate the model. Use a held-out test set for an honest estimate.</w:t>
      </w:r>
    </w:p>
    <w:p>
      <w:pPr>
        <w:pStyle w:val="ListBullet"/>
      </w:pPr>
      <w:r>
        <w:t>For imbalanced classification, accuracy alone can be misleading. Sensitivity, specificity, confusion matrices, and ROC/AUC provide additional information.</w:t>
      </w:r>
    </w:p>
    <w:p>
      <w:pPr>
        <w:pStyle w:val="ListBullet"/>
      </w:pPr>
      <w:r>
        <w:t>Standardise numeric predictors before KNN because Euclidean distance is affected by scale.</w:t>
      </w:r>
    </w:p>
    <w:p>
      <w:r>
        <w:br w:type="page"/>
      </w:r>
    </w:p>
    <w:p>
      <w:pPr>
        <w:pStyle w:val="Heading1"/>
      </w:pPr>
      <w:r>
        <w:t>Exercises 1–4: conclusions and how to read the outputs</w:t>
      </w:r>
    </w:p>
    <w:p>
      <w:pPr>
        <w:pStyle w:val="Heading2"/>
      </w:pPr>
      <w:r>
        <w:t>Exercise 1 – Weekly stock-market data</w:t>
      </w:r>
    </w:p>
    <w:p>
      <w:r>
        <w:t>The code prints descriptive statistics and the numeric correlation matrix, plots `Volume` against `Year`, fits logistic regression using `Lag1`–`Lag5` and `Volume`, and displays a confusion matrix. In the standard Weekly data, `Lag2` is the predictor that is typically significant at the 5% level; check its p-value in the actual run. The confusion matrix is presented with predicted labels in rows and actual labels in columns, so diagonal cells are correct predictions and off-diagonal cells are mistakes.</w:t>
      </w:r>
    </w:p>
    <w:p>
      <w:pPr>
        <w:pStyle w:val="Heading2"/>
      </w:pPr>
      <w:r>
        <w:t>Exercise 2 – test performance on Weekly</w:t>
      </w:r>
    </w:p>
    <w:p>
      <w:r>
        <w:t>The training period is 1990–2008 and the test period is 2009–2010; `Lag2` is the sole predictor. The notebook prints confusion matrices and accuracy/error rates for logistic regression, LDA, QDA, naive Bayes, and KNN with K=1. It also explores K=1–25. Because the K sweep is ranked on the same test period, that exploratory “best K” should not be described as an independent unbiased estimate.</w:t>
      </w:r>
    </w:p>
    <w:p>
      <w:pPr>
        <w:pStyle w:val="Heading2"/>
      </w:pPr>
      <w:r>
        <w:t>Exercise 3 – high versus low MPG</w:t>
      </w:r>
    </w:p>
    <w:p>
      <w:r>
        <w:t>The target is `mpg01 = 1` when MPG is above the dataset median. The box plots compare cylinders, displacement, horsepower, and weight by MPG class. In general, weight, horsepower, displacement, and cylinders separate the classes: higher-MPG cars tend to be lighter and lower-powered. The result table prints test error for LDA, QDA, logistic regression, naive Bayes and several standardised KNN models; use the sorted table to identify the lowest error on the specified split.</w:t>
      </w:r>
    </w:p>
    <w:p>
      <w:pPr>
        <w:pStyle w:val="Heading2"/>
      </w:pPr>
      <w:r>
        <w:t>Exercise 4 – Default validation set</w:t>
      </w:r>
    </w:p>
    <w:p>
      <w:r>
        <w:t>The code compares logistic models with `income + balance` and `income + balance + student` over three random validation splits. Changes in validation error should be compared with split-to-split variation. Exponentiating the student coefficient gives the student/non-student odds ratio while holding income and balance fixed. An adjusted, conditional relationship may differ from the overall default rate because student status is associated with balance; students can have a lower conditional probability at the same balance while a higher marginal rate if their balances are higher on average.</w:t>
      </w:r>
    </w:p>
    <w:p>
      <w:r>
        <w:t>Numeric results for Exercises 1–4 are generated by the completed notebook when run in an environment with `ISLP`; they are not fabricated in this report because the required package was unavailable locally.</w:t>
      </w:r>
    </w:p>
    <w:p>
      <w:pPr>
        <w:pStyle w:val="Heading1"/>
      </w:pPr>
      <w:r>
        <w:t>Before submitting</w:t>
      </w:r>
    </w:p>
    <w:p>
      <w:pPr>
        <w:pStyle w:val="ListBullet"/>
      </w:pPr>
      <w:r>
        <w:t>Open the notebook in Google Colab and select Runtime → Run all.</w:t>
      </w:r>
    </w:p>
    <w:p>
      <w:pPr>
        <w:pStyle w:val="ListBullet"/>
      </w:pPr>
      <w:r>
        <w:t>Confirm the ISLP installation and all ISLP-dependent datasets load successfully.</w:t>
      </w:r>
    </w:p>
    <w:p>
      <w:pPr>
        <w:pStyle w:val="ListBullet"/>
      </w:pPr>
      <w:r>
        <w:t>Review actual model output for Exercises 1–4 and 6–7; save the notebook with outputs visible.</w:t>
      </w:r>
    </w:p>
    <w:p>
      <w:pPr>
        <w:pStyle w:val="ListBullet"/>
      </w:pPr>
      <w:r>
        <w:t>Keep this report and README in the submission folder and submit one share link as instructed by the course.</w:t>
      </w:r>
    </w:p>
    <w:p>
      <w:r>
        <w:t>AI assistance note: AI assistance was used to draft/debug code and written explanations. The student should review the complete work and disclose assistance according to the instructor’s policy.</w:t>
      </w:r>
    </w:p>
    <w:p>
      <w:r>
        <w:br w:type="page"/>
      </w:r>
    </w:p>
    <w:p>
      <w:pPr>
        <w:pStyle w:val="Heading1"/>
      </w:pPr>
      <w:r>
        <w:t>Exercise 5 – breast-cancer diagnosis</w:t>
      </w:r>
    </w:p>
    <w:p>
      <w:r>
        <w:t>The fallback data contain 569 observations, of which 37.3% are malignant. The split is 70/30, stratified by diagnosis, with `random_state=1`. Here 1 means malignant and 0 means benign; the confusion matrices below use actual classes in rows and predicted classes in columns.</w:t>
      </w:r>
    </w:p>
    <w:p>
      <w:pPr>
        <w:pStyle w:val="Heading2"/>
      </w:pPr>
      <w:r>
        <w:t>Test confusion matrices at threshold 0.5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6480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Confusion matrix [[actual benign → predicted benign, predicted malignant], [actual malignant → predicted benign, predicted malignant]]</w:t>
            </w:r>
          </w:p>
        </w:tc>
        <w:tc>
          <w:tcPr>
            <w:tcW w:type="dxa" w:w="1152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Accuracy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Logistic regression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[[106, 1], [6, 58]]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95.9%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LDA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[[105, 2], [11, 53]]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92.4%</w:t>
            </w:r>
          </w:p>
        </w:tc>
      </w:tr>
    </w:tbl>
    <w:p>
      <w:pPr>
        <w:spacing w:after="0"/>
      </w:pPr>
    </w:p>
    <w:p>
      <w:pPr>
        <w:pStyle w:val="Heading2"/>
      </w:pPr>
      <w:r>
        <w:t>High-sensitivity threshold analysis</w:t>
      </w:r>
    </w:p>
    <w:p>
      <w:r>
        <w:t>A threshold was selected from five-fold out-of-fold training probabilities, targeting 100% sensitivity in those training predictions, then evaluated on the untouched test split. This yields a threshold of approximately 0.004832. On the test split, sensitivity is 98.44% and specificity is 70.09%. The resulting test confusion matrix is: TN=75, FP=32, FN=1, TP=63. This highlights the expected trade-off: the lower threshold catches more malignant tumours, but increases false positives.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Logistic regression</w:t>
            </w:r>
          </w:p>
        </w:tc>
        <w:tc>
          <w:tcPr>
            <w:tcW w:type="dxa" w:w="3456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LDA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 AUC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0.9877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0.9841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AUC interpretation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Excellent class ranking on this split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Excellent class ranking on this split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70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5_breast_cancer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Test ROC curves for logistic regression and LDA.</w:t>
      </w:r>
    </w:p>
    <w:p>
      <w:r>
        <w:br w:type="page"/>
      </w:r>
    </w:p>
    <w:p>
      <w:pPr>
        <w:pStyle w:val="Heading1"/>
      </w:pPr>
      <w:r>
        <w:t>Exercises 6–8: conclusions</w:t>
      </w:r>
    </w:p>
    <w:p>
      <w:pPr>
        <w:pStyle w:val="Heading2"/>
      </w:pPr>
      <w:r>
        <w:t>Exercise 6 – Poisson model for Bikeshare</w:t>
      </w:r>
    </w:p>
    <w:p>
      <w:r>
        <w:t>For each Poisson coefficient, `exp(beta)` is a multiplicative effect on the expected rider count, holding the other variables constant. `exp(beta_workingday)` compares working and non-working days; `exp(beta_temp)` is the expected count multiplier for a one-unit increase in normalised temperature; exponentiated weather coefficients compare each level with the reference weather category. A linear regression can produce negative fitted counts because its predictions are unconstrained, while a Poisson GLM with log link predicts `exp(Xβ)`, which is positive. The completed cell prints the requested June, 8 am, working-day, `temp=0.6`, clear-weather predictions and the count of negative linear-model fits when run with `ISLP`.</w:t>
      </w:r>
    </w:p>
    <w:p>
      <w:pPr>
        <w:pStyle w:val="Heading2"/>
      </w:pPr>
      <w:r>
        <w:t>Exercise 7 – one-predictor LDA by hand (bonus)</w:t>
      </w:r>
    </w:p>
    <w:p>
      <w:r>
        <w:t>The code calculates class priors, within-class means, pooled variance, and both class discriminant functions for `Lag2`. It then compares manual test predictions against scikit-learn LDA. Identical output should be `True` with zero mismatches; any difference should be investigated before submission.</w:t>
      </w:r>
    </w:p>
    <w:p>
      <w:pPr>
        <w:pStyle w:val="Heading2"/>
      </w:pPr>
      <w:r>
        <w:t>Exercise 8 – wine classification (bonus)</w:t>
      </w:r>
    </w:p>
    <w:p>
      <w:r>
        <w:t>Five-fold stratified cross-validation with standardisation gave the following results on the scikit-learn wine dataset. QDA had the highest mean cross-validation accuracy for this fixed fold setup. This is a data- and split-specific comparison, not a universal claim that QDA is always best.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4032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448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 CV accuracy</w:t>
            </w:r>
          </w:p>
        </w:tc>
        <w:tc>
          <w:tcPr>
            <w:tcW w:type="dxa" w:w="2592"/>
            <w:vAlign w:val="center"/>
            <w:shd w:fill="1F386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Std. across folds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QDA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0.9889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0.0136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Multinomial logistic regression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0.9833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0.0136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LDA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0.9830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0.0139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KNN (K=5)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0.9717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0.0181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029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8_wine_l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2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Wine observations projected onto the first two LDA directions.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Nguyễn Viết Huy · ITDSIU24021 · Lab Group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IT171IU · STATISTICAL LEARNING · LAB 3: CLASSIFICATION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