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Use Case “PLACE ORDER”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Use case code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UC003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Brief description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use case describes the interaction between the customer and the AIMS software when the customer wishes to select the rush order delivery option when placing an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Actors: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Customer – Initiates the order and provides necessary details for delivery.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Preconditions: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customer’s delivery address must be within eligible districts of Hanoi for rush order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Basic Flow of Events:                         </w:t>
        <w:tab/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1. System verifies if delivery address and products are eligible for expedited shipping.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2. System requests additional expedited shipping information from customer.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Place Order</w:t>
      </w:r>
      <w:r w:rsidDel="00000000" w:rsidR="00000000" w:rsidRPr="00000000">
        <w:rPr>
          <w:rtl w:val="0"/>
        </w:rPr>
        <w:t xml:space="preserve"> use case continues.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Alternative Flows: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1: Alternative flow of events in use case "Place Order"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575"/>
        <w:gridCol w:w="2685"/>
        <w:gridCol w:w="2745"/>
        <w:gridCol w:w="1125"/>
        <w:tblGridChange w:id="0">
          <w:tblGrid>
            <w:gridCol w:w="720"/>
            <w:gridCol w:w="1575"/>
            <w:gridCol w:w="2685"/>
            <w:gridCol w:w="2745"/>
            <w:gridCol w:w="112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 location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step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products or delivery address ineligible for expedited shipping.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 System informs customer that expedited shipping is unavailable for some or all items.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2. Customer revises delivery information or product selection.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1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Input Data: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2: Input data of delivery information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575"/>
        <w:gridCol w:w="1530"/>
        <w:gridCol w:w="1260"/>
        <w:gridCol w:w="1305"/>
        <w:gridCol w:w="2640"/>
        <w:tblGridChange w:id="0">
          <w:tblGrid>
            <w:gridCol w:w="570"/>
            <w:gridCol w:w="1575"/>
            <w:gridCol w:w="1530"/>
            <w:gridCol w:w="1260"/>
            <w:gridCol w:w="1305"/>
            <w:gridCol w:w="26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 Fields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Valid Condition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Recipient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person receiving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Non-empty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Viet Anh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Customer's 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email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vietanh@gmail.com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Contact number for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0123456789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Province/City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from predefined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Hanoi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Street address for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 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123 Main St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Credit Card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Payment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card information as per VNPay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 of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date time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“Sun Sep 22 2024 23:37:27 GMT+0700 (Indochina Time)”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Instructions for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“Put the package in front of the door”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Output Data: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Post conditions: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selected products or delivery address are eligible for rush order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