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imes New Roman" w:hAnsi="Times New Roman" w:cs="Times New Roman" w:eastAsia="Times New Roman"/>
          <w:b/>
          <w:sz w:val="32"/>
        </w:rPr>
        <w:t>CHƯƠNG 5 – THỰC NGHIỆM VÀ ĐÁNH GIÁ KIẾN TRÚC MULTI-AGENT</w:t>
      </w:r>
    </w:p>
    <w:p>
      <w:pPr>
        <w:spacing w:before="200" w:after="120"/>
      </w:pPr>
      <w:r>
        <w:rPr>
          <w:rFonts w:ascii="Times New Roman" w:hAnsi="Times New Roman" w:cs="Times New Roman" w:eastAsia="Times New Roman"/>
          <w:b/>
          <w:sz w:val="28"/>
        </w:rPr>
        <w:t>5.1 Thiết kế thực nghiệm</w:t>
      </w:r>
    </w:p>
    <w:p>
      <w:pPr>
        <w:spacing w:before="200" w:after="120"/>
      </w:pPr>
      <w:r>
        <w:rPr>
          <w:rFonts w:ascii="Times New Roman" w:hAnsi="Times New Roman" w:cs="Times New Roman" w:eastAsia="Times New Roman"/>
          <w:b/>
          <w:sz w:val="26"/>
        </w:rPr>
        <w:t>5.1.1 Câu hỏi nghiên cứu và chiến lược phân rã</w:t>
      </w:r>
    </w:p>
    <w:p>
      <w:pPr>
        <w:ind w:firstLine="567"/>
        <w:jc w:val="both"/>
      </w:pPr>
      <w:r>
        <w:t>Luận văn đặt câu hỏi nghiên cứu trung tâm: kiến trúc Multi-Agent có hỗ trợ hiệu quả các hoạt động hỗ trợ học tập trong môi trường giáo dục số hay không. Để tránh việc “hỗ trợ hiệu quả” là khái niệm trừu tượng khó đo lường, luận văn vận hành hóa nó thành các biến số định lượng có thể quan sát được trong môi trường phòng thí nghiệm. Phân rã thực hiện theo hai tầng có mối quan hệ biện chứng với nhau: tầng tác nhân đơn lẻ (Specialist Level) khảo sát từng agent khi được cô lập trong phạm vi nghiệp vụ hẹp, nhằm xác nhận mỗi agent có hoàn thành đúng chức năng được giao hay không; tầng kiến trúc hệ thống (Architectural Level) khảo sát năng lực điều phối khi nhiều agent cùng xử lý một tác vụ phức tạp, nơi kiến trúc phải chứng minh được tính chính xác trong định tuyến và khả năng hoàn thành tác vụ đầu-cuối.</w:t>
      </w:r>
    </w:p>
    <w:p>
      <w:pPr>
        <w:ind w:firstLine="567"/>
        <w:jc w:val="both"/>
      </w:pPr>
      <w:r>
        <w:t>Hai tầng trên được cụ thể hóa bằng hai câu hỏi phụ đóng vai trò là các chiều không gian kiểm thử cho toàn bộ chương. SQ1 khảo sát chuyên môn hóa chức năng, đặt vấn đề xem các agent chuyên biệt có thực hiện đúng và đầy đủ chức năng được phân công hay không. SQ2 khảo sát phối hợp liên agent, đặt vấn đề xem khi một yêu cầu đòi hỏi nhiều agent phối hợp thì kiến trúc có định tuyến đúng agent và giữ được ngữ cảnh xuyên suốt chuỗi xử lý hay không. Cách phân rã này đảm bảo mỗi thực nghiệm đều ánh xạ trực tiếp tới một câu hỏi phụ, và kết quả tổng hợp tại Mục 5.4 hội tụ về câu hỏi trung tâm. Cần lưu ý rằng các thực nghiệm trong chương đánh giá hành vi của agent với tư cách là đơn vị điều phối và chuyên môn hóa, chứ không đánh giá công nghệ nền tảng như mô hình ngôn ngữ hay công nghệ OCR như những đối tượng độc lập.</w:t>
      </w:r>
    </w:p>
    <w:p>
      <w:pPr>
        <w:spacing w:before="200" w:after="120"/>
      </w:pPr>
      <w:r>
        <w:rPr>
          <w:rFonts w:ascii="Times New Roman" w:hAnsi="Times New Roman" w:cs="Times New Roman" w:eastAsia="Times New Roman"/>
          <w:b/>
          <w:sz w:val="26"/>
        </w:rPr>
        <w:t>5.1.2 Môi trường thực nghiệm và bộ dữ liệu</w:t>
      </w:r>
    </w:p>
    <w:p>
      <w:pPr>
        <w:ind w:firstLine="567"/>
        <w:jc w:val="both"/>
      </w:pPr>
      <w:r>
        <w:t>Hệ thống được triển khai trên máy trạm cá nhân chạy hệ điều hành Windows 11, với bộ xử lý trung hạng và 16 GB bộ nhớ, kết nối Internet qua đường truyền băng thông rộng. Việc lựa chọn cấu hình này có chủ đích nhằm minh chứng rằng hệ thống không đòi hỏi hạ tầng chuyên dụng đắt tiền mà vẫn vận hành được trong điều kiện của một nhóm nghiên cứu nhỏ, phù hợp với bối cảnh triển khai thực tế tại các cơ sở đào tạo. Bảng 5.1 tóm tắt cấu hình môi trường phần cứng và phần mềm.</w:t>
      </w:r>
    </w:p>
    <w:p>
      <w:pPr>
        <w:spacing w:before="160" w:after="40"/>
        <w:jc w:val="center"/>
      </w:pPr>
      <w:r>
        <w:rPr>
          <w:rFonts w:ascii="Times New Roman" w:hAnsi="Times New Roman" w:cs="Times New Roman" w:eastAsia="Times New Roman"/>
          <w:b/>
          <w:i/>
          <w:sz w:val="24"/>
        </w:rPr>
        <w:t>Bảng 5.1. Môi trường phần cứng và phần mềm</w:t>
      </w:r>
    </w:p>
    <w:tbl>
      <w:tblPr>
        <w:tblW w:type="auto" w:w="0"/>
        <w:jc w:val="center"/>
        <w:tblLook w:firstColumn="1" w:firstRow="1" w:lastColumn="0" w:lastRow="0" w:noHBand="0" w:noVBand="1" w:val="04A0"/>
      </w:tblPr>
      <w:tblGrid>
        <w:gridCol w:w="4320"/>
        <w:gridCol w:w="432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Thành phần</w:t>
            </w:r>
          </w:p>
        </w:tc>
        <w:tc>
          <w:tcPr>
            <w:tcW w:type="dxa" w:w="6236"/>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Cấu hình</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Hệ điều hành</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Windows 11 Pro 10.0.22631</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Bộ xử lý / RAM</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Intel Core i7 / AMD Ryzen 7, 16 GB</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Backend</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FastAPI + Uvicorn (Python 3.10+)</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Frontend</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Next.js 16, React 19, TypeScript</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Cơ sở dữ liệu</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SQLite (dev) / PostgreSQL (prod)</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Kho vector / LLM</w:t>
            </w:r>
          </w:p>
        </w:tc>
        <w:tc>
          <w:tcPr>
            <w:tcW w:type="dxa" w:w="6236"/>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ChromaDB / Groq llama-3.3-70b + Gemini fallback</w:t>
            </w:r>
          </w:p>
        </w:tc>
      </w:tr>
    </w:tbl>
    <w:p>
      <w:pPr>
        <w:spacing w:after="40"/>
      </w:pPr>
    </w:p>
    <w:p>
      <w:pPr>
        <w:ind w:firstLine="567"/>
        <w:jc w:val="both"/>
      </w:pPr>
      <w:r>
        <w:t>Bộ dữ liệu thực nghiệm được xây dựng để phản ánh một kịch bản giảng dạy thực tế có cấu trúc hoàn chỉnh, bao gồm đủ cả hai vai trò người dùng là giảng viên và sinh viên. Việc đảm bảo sự hiện diện của cả hai vai trò là quan trọng vì hai Hub Agent của hệ thống được thiết kế để phục vụ hai nhóm người dùng khác nhau, và nếu thiếu một trong hai thì việc đánh giá năng lực điều phối sẽ không trọn vẹn. Bảng 5.2 trình bày quy mô bộ dữ liệu cùng vai trò tương ứng trong đánh giá.</w:t>
      </w:r>
    </w:p>
    <w:p>
      <w:pPr>
        <w:spacing w:before="160" w:after="40"/>
        <w:jc w:val="center"/>
      </w:pPr>
      <w:r>
        <w:rPr>
          <w:rFonts w:ascii="Times New Roman" w:hAnsi="Times New Roman" w:cs="Times New Roman" w:eastAsia="Times New Roman"/>
          <w:b/>
          <w:i/>
          <w:sz w:val="24"/>
        </w:rPr>
        <w:t>Bảng 5.2. Bộ dữ liệu thực nghiệm</w:t>
      </w:r>
    </w:p>
    <w:tbl>
      <w:tblPr>
        <w:tblW w:type="auto" w:w="0"/>
        <w:jc w:val="center"/>
        <w:tblLook w:firstColumn="1" w:firstRow="1" w:lastColumn="0" w:lastRow="0" w:noHBand="0" w:noVBand="1" w:val="04A0"/>
      </w:tblPr>
      <w:tblGrid>
        <w:gridCol w:w="2880"/>
        <w:gridCol w:w="2880"/>
        <w:gridCol w:w="2880"/>
      </w:tblGrid>
      <w:tr>
        <w:tc>
          <w:tcPr>
            <w:tcW w:type="dxa" w:w="340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Loại dữ liệu</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Quy mô</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Vai trò</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Môn học / Lớp học</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 / 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Miền tri thức, đối tượng điều phối</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Giảng viên / Sinh viên</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 / 35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Người dùng Nova / Orbit</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học liệu</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12</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Đầu vào cho Content</w:t>
            </w:r>
          </w:p>
        </w:tc>
      </w:tr>
      <w:tr>
        <w:tc>
          <w:tcPr>
            <w:tcW w:type="dxa" w:w="340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Câu hỏi / Đánh giá / Kế hoạch</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48 / 56 / 35</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Đầu ra của 3 agent</w:t>
            </w:r>
          </w:p>
        </w:tc>
      </w:tr>
    </w:tbl>
    <w:p>
      <w:pPr>
        <w:spacing w:after="40"/>
      </w:pPr>
    </w:p>
    <w:p>
      <w:pPr>
        <w:ind w:firstLine="567"/>
        <w:jc w:val="both"/>
      </w:pPr>
      <w:r>
        <w:t>Mỗi bản ghi trong bộ dữ liệu được gắn với đúng agent chịu trách nhiệm xử lý. Đối với các tác vụ sinh văn bản, mỗi ca kiểm thử được xây dựng kèm một đáp án tham chiếu và tập từ khóa kỳ vọng, tạo cơ sở cho việc đánh giá định lượng ở các mục tiếp theo.</w:t>
      </w:r>
    </w:p>
    <w:p>
      <w:pPr>
        <w:spacing w:before="200" w:after="120"/>
      </w:pPr>
      <w:r>
        <w:rPr>
          <w:rFonts w:ascii="Times New Roman" w:hAnsi="Times New Roman" w:cs="Times New Roman" w:eastAsia="Times New Roman"/>
          <w:b/>
          <w:sz w:val="26"/>
        </w:rPr>
        <w:t>5.1.3 Bộ chỉ số đánh giá</w:t>
      </w:r>
    </w:p>
    <w:p>
      <w:pPr>
        <w:ind w:firstLine="567"/>
        <w:jc w:val="both"/>
      </w:pPr>
      <w:r>
        <w:t>Việc lựa chọn chỉ số đánh giá tuân theo hai tiêu chí: phải gắn trực tiếp với câu hỏi nghiên cứu, và phải súc tích để tránh hiện tượng người đọc bị ngợp trước khối lượng chỉ số quá lớn. Do đó, thay vì sử dụng hàng chục chỉ số phức tạp, luận văn quyết định chỉ giữ lại năm chỉ số cốt lõi, nhưng được chọn sao cho bao quát cả hai khía cạnh cần đo lường là chất lượng hoàn thành và chi phí thực thi. Bảng 5.3 định nghĩa năm chỉ số và vai trò của chúng đối với các câu hỏi phụ.</w:t>
      </w:r>
    </w:p>
    <w:p>
      <w:pPr>
        <w:spacing w:before="160" w:after="40"/>
        <w:jc w:val="center"/>
      </w:pPr>
      <w:r>
        <w:rPr>
          <w:rFonts w:ascii="Times New Roman" w:hAnsi="Times New Roman" w:cs="Times New Roman" w:eastAsia="Times New Roman"/>
          <w:b/>
          <w:i/>
          <w:sz w:val="24"/>
        </w:rPr>
        <w:t>Bảng 5.3. Năm chỉ số đánh giá</w:t>
      </w:r>
    </w:p>
    <w:tbl>
      <w:tblPr>
        <w:tblW w:type="auto" w:w="0"/>
        <w:jc w:val="center"/>
        <w:tblLook w:firstColumn="1" w:firstRow="1" w:lastColumn="0" w:lastRow="0" w:noHBand="0" w:noVBand="1" w:val="04A0"/>
      </w:tblPr>
      <w:tblGrid>
        <w:gridCol w:w="2160"/>
        <w:gridCol w:w="2160"/>
        <w:gridCol w:w="2160"/>
        <w:gridCol w:w="2160"/>
      </w:tblGrid>
      <w:tr>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Chỉ số</w:t>
            </w:r>
          </w:p>
        </w:tc>
        <w:tc>
          <w:tcPr>
            <w:tcW w:type="dxa" w:w="1020"/>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Ký hiệu</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Định nghĩa</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Phục vụ</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Task Success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TSR</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tác vụ hoàn thành đúng / tổng số</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Pass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PR</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tác vụ đạt ngưỡng chất lượng</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End-to-End Success Rate</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E2E</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Tỷ lệ chuỗi đa agent hoàn thành đầy đủ</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SQ2</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Latency</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Thời gian xử lý một yêu cầu (ms)</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w:t>
            </w:r>
          </w:p>
        </w:tc>
      </w:tr>
      <w:tr>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Token Consumption</w:t>
            </w:r>
          </w:p>
        </w:tc>
        <w:tc>
          <w:tcPr>
            <w:tcW w:type="dxa" w:w="1020"/>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TC</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token (prompt + completion)</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w:t>
            </w:r>
          </w:p>
        </w:tc>
      </w:tr>
    </w:tbl>
    <w:p>
      <w:pPr>
        <w:spacing w:after="40"/>
      </w:pPr>
    </w:p>
    <w:p>
      <w:pPr>
        <w:ind w:firstLine="567"/>
        <w:jc w:val="both"/>
      </w:pPr>
      <w:r>
        <w:t>Trong đó, TSR và PR phục vụ SQ1 vì chúng đo chất lượng ở cấp agent đơn lẻ, còn E2E phục vụ SQ2 vì nó đo khả năng phối hợp liên agent. Hai chỉ số còn lại là Latency và Token đo chi phí thực thi, đảm bảo kiến trúc không chỉ hiệu quả về mặt chức năng mà còn khả thi về mặt chi phí — một điều kiện cần để kết quả nghiên cứu có giá trị ứng dụng trong môi trường sản xuất.</w:t>
      </w:r>
    </w:p>
    <w:p>
      <w:pPr>
        <w:spacing w:before="200" w:after="120"/>
      </w:pPr>
      <w:r>
        <w:rPr>
          <w:rFonts w:ascii="Times New Roman" w:hAnsi="Times New Roman" w:cs="Times New Roman" w:eastAsia="Times New Roman"/>
          <w:b/>
          <w:sz w:val="28"/>
        </w:rPr>
        <w:t>5.2 Đánh giá agent chuyên biệt — SQ1</w:t>
      </w:r>
    </w:p>
    <w:p>
      <w:pPr>
        <w:ind w:firstLine="567"/>
        <w:jc w:val="both"/>
      </w:pPr>
      <w:r>
        <w:t>Phần này dành cho việc trả lời câu hỏi phụ thứ nhất. Sáu agent được đánh giá trên năm chỉ số ở Bảng 5.3: Planning, Content, Assessment, Evaluation, Orbit (Hub sinh viên) và Nova (Hub giảng viên). Đối với từng agent, luận văn trình bày một số mẫu ca kiểm thử, sau đó đến bảng kết quả định lượng và phần phân tích. Một nhận định quan trọng cần đặt ra ngay từ đầu là: agent càng xử lý nghiệp vụ phức tạp càng có khả năng sai cao hơn. Trong số sáu agent, chỉ Planning đạt kết quả hoàn hảo 100% do tác vụ cấu trúc rõ ràng và ít phải suy luận; các agent còn lại đạt trong khoảng 84–94%; Nova thấp nhất do phải đồng thời phân loại nhiều ý định, trích xuất thực thể và điều khiển giao diện. Phân bố này hợp lý và phản ánh đúng bậc độ khó của từng vai trò.</w:t>
      </w:r>
    </w:p>
    <w:p>
      <w:pPr>
        <w:spacing w:before="200" w:after="120"/>
      </w:pPr>
      <w:r>
        <w:rPr>
          <w:rFonts w:ascii="Times New Roman" w:hAnsi="Times New Roman" w:cs="Times New Roman" w:eastAsia="Times New Roman"/>
          <w:b/>
          <w:sz w:val="26"/>
        </w:rPr>
        <w:t>5.2.1 Planning Agent</w:t>
      </w:r>
    </w:p>
    <w:p>
      <w:pPr>
        <w:ind w:firstLine="567"/>
        <w:jc w:val="both"/>
      </w:pPr>
      <w:r>
        <w:t>Planning Agent đảm nhiệm việc tạo và điều chỉnh kế hoạch học tập cá nhân hóa. Nhiệm vụ của agent này mang tính cấu trúc rõ ràng — chủ yếu là sắp xếp tài liệu theo thứ tự ưu tiên và cập nhật lịch học — nên mức độ phức tạp thấp và khả năng sai ít. Để đánh giá, luận văn xây dựng các ca kiểm thử bao phủ cả chế độ tạo mới và chế độ điều chỉnh (Bảng 5.4).</w:t>
      </w:r>
    </w:p>
    <w:p>
      <w:pPr>
        <w:spacing w:before="160" w:after="40"/>
        <w:jc w:val="center"/>
      </w:pPr>
      <w:r>
        <w:rPr>
          <w:rFonts w:ascii="Times New Roman" w:hAnsi="Times New Roman" w:cs="Times New Roman" w:eastAsia="Times New Roman"/>
          <w:b/>
          <w:i/>
          <w:sz w:val="24"/>
        </w:rPr>
        <w:t>Bảng 5.4. Mẫu ca kiểm thử Planning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kế hoạch học mới”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Lộ trình theo tài liệu chưa qua</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“Ưu tiên môn LPTHDT tuần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LPTHDT đẩy lên đầu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“Thêm 2 tài liệu CSDL vào tuần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tài liệu xuất hiện trong plan</w:t>
            </w:r>
          </w:p>
        </w:tc>
      </w:tr>
    </w:tbl>
    <w:p>
      <w:pPr>
        <w:spacing w:after="40"/>
      </w:pPr>
    </w:p>
    <w:p>
      <w:pPr>
        <w:spacing w:before="160" w:after="40"/>
        <w:jc w:val="center"/>
      </w:pPr>
      <w:r>
        <w:rPr>
          <w:rFonts w:ascii="Times New Roman" w:hAnsi="Times New Roman" w:cs="Times New Roman" w:eastAsia="Times New Roman"/>
          <w:b/>
          <w:i/>
          <w:sz w:val="24"/>
        </w:rPr>
        <w:t>Bảng 5.5. Kết quả Planning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2.787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758</w:t>
            </w:r>
          </w:p>
        </w:tc>
      </w:tr>
    </w:tbl>
    <w:p>
      <w:pPr>
        <w:spacing w:after="40"/>
      </w:pPr>
    </w:p>
    <w:p>
      <w:pPr>
        <w:ind w:firstLine="567"/>
        <w:jc w:val="both"/>
      </w:pPr>
      <w:r>
        <w:t>Planning Agent là agent duy nhất đạt Pass Rate 100% và TSR 1,00. Kết quả này phản ánh đúng đặc thù nghiệp vụ: vì tác vụ chủ yếu là thao tác cấu trúc trên dữ liệu đã có, agent ít phải suy luận phức tạp nên gần như không mắc lỗi. Độ trễ 2.787 ms và mức tiêu thụ 758 token nằm trong vùng hợp lý, cho thấy agent vừa chính xác vừa nhẹ về chi phí. Đây cũng là mức cao nhất trong toàn bộ sáu agent được đánh giá.</w:t>
      </w:r>
    </w:p>
    <w:p>
      <w:pPr>
        <w:spacing w:before="200" w:after="120"/>
      </w:pPr>
      <w:r>
        <w:rPr>
          <w:rFonts w:ascii="Times New Roman" w:hAnsi="Times New Roman" w:cs="Times New Roman" w:eastAsia="Times New Roman"/>
          <w:b/>
          <w:sz w:val="26"/>
        </w:rPr>
        <w:t>5.2.2 Content Agent</w:t>
      </w:r>
    </w:p>
    <w:p>
      <w:pPr>
        <w:ind w:firstLine="567"/>
        <w:jc w:val="both"/>
      </w:pPr>
      <w:r>
        <w:t>Content Agent xử lý học liệu và truy xuất ngữ cảnh cho các agent hạ nguồn như Tutor và Evaluation. Khác với các agent trực tiếp tạo sản phẩm cho người dùng, Content Agent hoạt động ở lớp nền, với các thao tác mang tính cục bộ như chia nhỏ tài liệu, lưu vào kho vector và nhận diện môn học. Tính cục bộ này khiến agent ít phụ thuộc vào suy luận phức tạp và do đó ít sai.</w:t>
      </w:r>
    </w:p>
    <w:p>
      <w:pPr>
        <w:spacing w:before="160" w:after="40"/>
        <w:jc w:val="center"/>
      </w:pPr>
      <w:r>
        <w:rPr>
          <w:rFonts w:ascii="Times New Roman" w:hAnsi="Times New Roman" w:cs="Times New Roman" w:eastAsia="Times New Roman"/>
          <w:b/>
          <w:i/>
          <w:sz w:val="24"/>
        </w:rPr>
        <w:t>Bảng 5.6. Mẫu ca kiểm thử Content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Upload OOP.pdf</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Chunking + lưu vector + nhận diện môn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thuộc môn gì?”</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Trả về môn tương ứng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Truy vấn “kế thừa trong OOP”</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Top-K đoạn chứa nội dung kế thừa</w:t>
            </w:r>
          </w:p>
        </w:tc>
      </w:tr>
    </w:tbl>
    <w:p>
      <w:pPr>
        <w:spacing w:after="40"/>
      </w:pPr>
    </w:p>
    <w:p>
      <w:pPr>
        <w:spacing w:before="160" w:after="40"/>
        <w:jc w:val="center"/>
      </w:pPr>
      <w:r>
        <w:rPr>
          <w:rFonts w:ascii="Times New Roman" w:hAnsi="Times New Roman" w:cs="Times New Roman" w:eastAsia="Times New Roman"/>
          <w:b/>
          <w:i/>
          <w:sz w:val="24"/>
        </w:rPr>
        <w:t>Bảng 5.7. Kết quả Content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94%</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2.590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656</w:t>
            </w:r>
          </w:p>
        </w:tc>
      </w:tr>
    </w:tbl>
    <w:p>
      <w:pPr>
        <w:spacing w:after="40"/>
      </w:pPr>
    </w:p>
    <w:p>
      <w:pPr>
        <w:ind w:firstLine="567"/>
        <w:jc w:val="both"/>
      </w:pPr>
      <w:r>
        <w:t>Content Agent đạt Pass Rate 94% và TSR 1,00, cao thứ hai chỉ sau Planning. Sai lệch nhỏ xuất hiện ở một số ca nhận diện môn học khi tài liệu chứa nội dung liên môn. Độ trễ 2.590 ms và mức tiêu thụ 656 token đều thấp, phản ánh đúng tính chất thao tác cục bộ của agent. Kết quả khẳng định vai trò nền tảng của Content Agent: cung cấp ngữ cảnh chính xác và nhanh chóng cho các agent hạ nguồn.</w:t>
      </w:r>
    </w:p>
    <w:p>
      <w:pPr>
        <w:spacing w:before="200" w:after="120"/>
      </w:pPr>
      <w:r>
        <w:rPr>
          <w:rFonts w:ascii="Times New Roman" w:hAnsi="Times New Roman" w:cs="Times New Roman" w:eastAsia="Times New Roman"/>
          <w:b/>
          <w:sz w:val="26"/>
        </w:rPr>
        <w:t>5.2.3 Assessment Agent</w:t>
      </w:r>
    </w:p>
    <w:p>
      <w:pPr>
        <w:ind w:firstLine="567"/>
        <w:jc w:val="both"/>
      </w:pPr>
      <w:r>
        <w:t>Assessment Agent sinh đề kiểm tra và xây dựng ngân hàng câu hỏi, đóng vai trò cung cấp nguyên liệu đầu vào cho toàn bộ quy trình đánh giá. Tác vụ sinh câu hỏi đòi hỏi agent phải kiểm soát đồng thời nhiều yếu tố như độ phủ chủ đề, độ nhất quán về độ khó và tính đúng đắn của đáp án, do đó khả năng sai cao hơn Planning và Content.</w:t>
      </w:r>
    </w:p>
    <w:p>
      <w:pPr>
        <w:spacing w:before="160" w:after="40"/>
        <w:jc w:val="center"/>
      </w:pPr>
      <w:r>
        <w:rPr>
          <w:rFonts w:ascii="Times New Roman" w:hAnsi="Times New Roman" w:cs="Times New Roman" w:eastAsia="Times New Roman"/>
          <w:b/>
          <w:i/>
          <w:sz w:val="24"/>
        </w:rPr>
        <w:t>Bảng 5.8. Mẫu ca kiểm thử Assessment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10 câu trắc nghiệm LPTHDT”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 câu đủ content, options, đáp án, giải thích</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“Sinh đề 15 câu từ OOP.pdf”</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15 câu gắn đúng nguồn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2 mã đề khó cho CSDL”</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bộ độ khó nhất quán</w:t>
            </w:r>
          </w:p>
        </w:tc>
      </w:tr>
    </w:tbl>
    <w:p>
      <w:pPr>
        <w:spacing w:after="40"/>
      </w:pPr>
    </w:p>
    <w:p>
      <w:pPr>
        <w:spacing w:before="160" w:after="40"/>
        <w:jc w:val="center"/>
      </w:pPr>
      <w:r>
        <w:rPr>
          <w:rFonts w:ascii="Times New Roman" w:hAnsi="Times New Roman" w:cs="Times New Roman" w:eastAsia="Times New Roman"/>
          <w:b/>
          <w:i/>
          <w:sz w:val="24"/>
        </w:rPr>
        <w:t>Bảng 5.9. Kết quả Assessment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93%</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2.739</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745</w:t>
            </w:r>
          </w:p>
        </w:tc>
      </w:tr>
    </w:tbl>
    <w:p>
      <w:pPr>
        <w:spacing w:after="40"/>
      </w:pPr>
    </w:p>
    <w:p>
      <w:pPr>
        <w:ind w:firstLine="567"/>
        <w:jc w:val="both"/>
      </w:pPr>
      <w:r>
        <w:t>Assessment Agent đạt Pass Rate 93% và TSR 1,00. Sai lệch nhỏ chủ yếu xuất hiện ở các ca yêu cầu sinh số lượng câu hỏi lớn, nơi độ khó chưa hoàn toàn nhất quán giữa các câu. Dù vậy, kết quả vẫn ở mức cao, khẳng định agent cung cấp nguồn câu hỏi đủ đầy và đáng tin cậy để phục vụ Evaluation ở các chuỗi phối hợp.</w:t>
      </w:r>
    </w:p>
    <w:p>
      <w:pPr>
        <w:spacing w:before="200" w:after="120"/>
      </w:pPr>
      <w:r>
        <w:rPr>
          <w:rFonts w:ascii="Times New Roman" w:hAnsi="Times New Roman" w:cs="Times New Roman" w:eastAsia="Times New Roman"/>
          <w:b/>
          <w:sz w:val="26"/>
        </w:rPr>
        <w:t>5.2.4 Evaluation Agent</w:t>
      </w:r>
    </w:p>
    <w:p>
      <w:pPr>
        <w:ind w:firstLine="567"/>
        <w:jc w:val="both"/>
      </w:pPr>
      <w:r>
        <w:t>Evaluation Agent phân tích tiến độ học tập, bao gồm việc xác định môn yếu, phát hiện tài liệu quá hạn và gợi ý thứ tự ôn tập. Tác vụ này đòi hỏi agent phải tổng hợp dữ liệu điểm số từ nhiều nguồn và đưa ra phán đoán sư phạm, nên độ phức tạp cao hơn so với các agent thao tác cấu trúc thuần túy.</w:t>
      </w:r>
    </w:p>
    <w:p>
      <w:pPr>
        <w:spacing w:before="160" w:after="40"/>
        <w:jc w:val="center"/>
      </w:pPr>
      <w:r>
        <w:rPr>
          <w:rFonts w:ascii="Times New Roman" w:hAnsi="Times New Roman" w:cs="Times New Roman" w:eastAsia="Times New Roman"/>
          <w:b/>
          <w:i/>
          <w:sz w:val="24"/>
        </w:rPr>
        <w:t>Bảng 5.10. Mẫu ca kiểm thử Evaluation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Đáp án tham chiếu</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“Môn nào tôi đang yếu nhất?”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Chỉ môn điểm TB thấp nhất + đề xuất ôn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“Tài liệu nào quá hạn chưa?”</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Liệt kê tài liệu trễ hạn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“Nên ôn gì trước kỳ thi?”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Ưu tiên tài liệu điểm thấp, chưa đạt</w:t>
            </w:r>
          </w:p>
        </w:tc>
      </w:tr>
    </w:tbl>
    <w:p>
      <w:pPr>
        <w:spacing w:after="40"/>
      </w:pPr>
    </w:p>
    <w:p>
      <w:pPr>
        <w:spacing w:before="160" w:after="40"/>
        <w:jc w:val="center"/>
      </w:pPr>
      <w:r>
        <w:rPr>
          <w:rFonts w:ascii="Times New Roman" w:hAnsi="Times New Roman" w:cs="Times New Roman" w:eastAsia="Times New Roman"/>
          <w:b/>
          <w:i/>
          <w:sz w:val="24"/>
        </w:rPr>
        <w:t>Bảng 5.11. Kết quả Evaluation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91%</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2.673</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674</w:t>
            </w:r>
          </w:p>
        </w:tc>
      </w:tr>
    </w:tbl>
    <w:p>
      <w:pPr>
        <w:spacing w:after="40"/>
      </w:pPr>
    </w:p>
    <w:p>
      <w:pPr>
        <w:ind w:firstLine="567"/>
        <w:jc w:val="both"/>
      </w:pPr>
      <w:r>
        <w:t>Evaluation Agent đạt Pass Rate 91% và TSR 1,00. Hạn chế quan sát được chủ yếu nằm ở các tình huống biên khi dữ liệu điểm có tính mâu thuẫn nội bộ, khiến agent đôi khi đưa ra phán đoán chưa hoàn toàn nhất quán về môn yếu nhất. Đây là điểm cần cải thiện nhưng không làm mất đi giá trị tổng thể của agent trong vai trò phân tích năng lực người học.</w:t>
      </w:r>
    </w:p>
    <w:p>
      <w:pPr>
        <w:spacing w:before="200" w:after="120"/>
      </w:pPr>
      <w:r>
        <w:rPr>
          <w:rFonts w:ascii="Times New Roman" w:hAnsi="Times New Roman" w:cs="Times New Roman" w:eastAsia="Times New Roman"/>
          <w:b/>
          <w:sz w:val="26"/>
        </w:rPr>
        <w:t>5.2.5 Orbit Agent (Hub sinh viên)</w:t>
      </w:r>
    </w:p>
    <w:p>
      <w:pPr>
        <w:ind w:firstLine="567"/>
        <w:jc w:val="both"/>
      </w:pPr>
      <w:r>
        <w:t>Orbit là Hub Agent dành cho sinh viên, đảm nhiệm việc điều phối mọi yêu cầu từ phía người học. Khác với các agent chuyên biệt chỉ xử lý một miền hẹp, Orbit phải phân loại ý định của câu hỏi và định tuyến đến đúng agent chuyên biệt, đồng thời xây dựng phản hồi mang tính cá nhân hóa nhờ hồ sơ ngữ cảnh động. Chính việc phải đảm nhiệm thêm vai trò điều phối khiến kết quả của Orbit thấp hơn nhóm agent chuyên biệt thuần túy.</w:t>
      </w:r>
    </w:p>
    <w:p>
      <w:pPr>
        <w:spacing w:before="160" w:after="40"/>
        <w:jc w:val="center"/>
      </w:pPr>
      <w:r>
        <w:rPr>
          <w:rFonts w:ascii="Times New Roman" w:hAnsi="Times New Roman" w:cs="Times New Roman" w:eastAsia="Times New Roman"/>
          <w:b/>
          <w:i/>
          <w:sz w:val="24"/>
        </w:rPr>
        <w:t>Bảng 5.12. Mẫu ca kiểm thử Orbit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Định tuyến đến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“Kết quả học của tôi?”</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“Sắp xếp lại lịch học”</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tài liệu môn này”</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Tutor / Content Agent</w:t>
            </w:r>
          </w:p>
        </w:tc>
      </w:tr>
    </w:tbl>
    <w:p>
      <w:pPr>
        <w:spacing w:after="40"/>
      </w:pPr>
    </w:p>
    <w:p>
      <w:pPr>
        <w:spacing w:before="160" w:after="40"/>
        <w:jc w:val="center"/>
      </w:pPr>
      <w:r>
        <w:rPr>
          <w:rFonts w:ascii="Times New Roman" w:hAnsi="Times New Roman" w:cs="Times New Roman" w:eastAsia="Times New Roman"/>
          <w:b/>
          <w:i/>
          <w:sz w:val="24"/>
        </w:rPr>
        <w:t>Bảng 5.13. Kết quả Orbit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88%</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2.564</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611</w:t>
            </w:r>
          </w:p>
        </w:tc>
      </w:tr>
    </w:tbl>
    <w:p>
      <w:pPr>
        <w:spacing w:after="40"/>
      </w:pPr>
    </w:p>
    <w:p>
      <w:pPr>
        <w:ind w:firstLine="567"/>
        <w:jc w:val="both"/>
      </w:pPr>
      <w:r>
        <w:t>Orbit Agent đạt Pass Rate 88% và TSR 1,00. Mức này thấp hơn nhóm chuyên biệt là điều dễ hiểu, vì bước phân loại ý định và định tuyến vốn tiềm ẩn rủi ro sai lệch, đặc biệt ở ranh giới giữa các ý định gần nhau về mặt ngữ nghĩa. Tuy nhiên, Orbit vẫn duy trì chất lượng cá nhân hóa tốt nhờ cơ chế hồ sơ ngữ cảnh động.</w:t>
      </w:r>
    </w:p>
    <w:p>
      <w:pPr>
        <w:spacing w:before="200" w:after="120"/>
      </w:pPr>
      <w:r>
        <w:rPr>
          <w:rFonts w:ascii="Times New Roman" w:hAnsi="Times New Roman" w:cs="Times New Roman" w:eastAsia="Times New Roman"/>
          <w:b/>
          <w:sz w:val="26"/>
        </w:rPr>
        <w:t>5.2.6 Nova Agent (Hub giảng viên)</w:t>
      </w:r>
    </w:p>
    <w:p>
      <w:pPr>
        <w:ind w:firstLine="567"/>
        <w:jc w:val="both"/>
      </w:pPr>
      <w:r>
        <w:t>Nova là Hub Agent dành cho giảng viên và là agent phức tạp nhất trong toàn bộ hệ thống. Nova phải đồng thời thực hiện ba việc: phân loại ý định trong bảy loại khác nhau, trích xuất các thực thể như tên lớp và tên môn học từ câu hỏi tiếng Việt, và điều khiển giao diện người dùng thông qua cơ chế siêu dữ liệu hành động. Chính sự phức tạp đa chiều này khiến Nova là agent có kết quả thấp nhất, phản ánh đúng thực tế rằng tác vụ càng đa năng thì khả năng sai càng cao.</w:t>
      </w:r>
    </w:p>
    <w:p>
      <w:pPr>
        <w:spacing w:before="160" w:after="40"/>
        <w:jc w:val="center"/>
      </w:pPr>
      <w:r>
        <w:rPr>
          <w:rFonts w:ascii="Times New Roman" w:hAnsi="Times New Roman" w:cs="Times New Roman" w:eastAsia="Times New Roman"/>
          <w:b/>
          <w:i/>
          <w:sz w:val="24"/>
        </w:rPr>
        <w:t>Bảng 5.14. Mẫu ca kiểm thử Nova Agent</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Đầu vào</w:t>
            </w:r>
          </w:p>
        </w:tc>
        <w:tc>
          <w:tcPr>
            <w:tcW w:type="dxa" w:w="4252"/>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Kỳ vọng: ý định + giao diện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“Tình hình lớp IT1 thế nào?”</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quan lớp + mở biểu đồ</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20 câu cho LPTHDT”</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 mở tab đề</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“Nhóm sinh viên yếu nhất IT1”</w:t>
            </w:r>
          </w:p>
        </w:tc>
        <w:tc>
          <w:tcPr>
            <w:tcW w:type="dxa" w:w="4252"/>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Phân tích + mở tab phân tích</w:t>
            </w:r>
          </w:p>
        </w:tc>
      </w:tr>
    </w:tbl>
    <w:p>
      <w:pPr>
        <w:spacing w:after="40"/>
      </w:pPr>
    </w:p>
    <w:p>
      <w:pPr>
        <w:spacing w:before="160" w:after="40"/>
        <w:jc w:val="center"/>
      </w:pPr>
      <w:r>
        <w:rPr>
          <w:rFonts w:ascii="Times New Roman" w:hAnsi="Times New Roman" w:cs="Times New Roman" w:eastAsia="Times New Roman"/>
          <w:b/>
          <w:i/>
          <w:sz w:val="24"/>
        </w:rPr>
        <w:t>Bảng 5.15. Kết quả Nova Agent</w:t>
      </w:r>
    </w:p>
    <w:tbl>
      <w:tblPr>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84%</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2.668</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767</w:t>
            </w:r>
          </w:p>
        </w:tc>
      </w:tr>
    </w:tbl>
    <w:p>
      <w:pPr>
        <w:spacing w:after="40"/>
      </w:pPr>
    </w:p>
    <w:p>
      <w:pPr>
        <w:ind w:firstLine="567"/>
        <w:jc w:val="both"/>
      </w:pPr>
      <w:r>
        <w:t>Nova Agent đạt Pass Rate thấp nhất hệ thống ở mức 84% và TSR 1,00. Phần lớn sai lệch tập trung ở ranh giới mờ giữa hai ý định gần nhau là tổng quan lớp và phân tích chi tiết lớp — hai ý định này về mặt ngữ nghĩa rất khó phân biệt rõ ràng ngay cả với người. Dù vậy, cần lưu ý rằng mọi sai lệch đều nằm trong cùng một cụm chức năng, do đó người dùng vẫn nhận được phản hồi có liên quan và tác vụ không bị sập.</w:t>
      </w:r>
    </w:p>
    <w:p>
      <w:pPr>
        <w:spacing w:before="200" w:after="120"/>
      </w:pPr>
      <w:r>
        <w:rPr>
          <w:rFonts w:ascii="Times New Roman" w:hAnsi="Times New Roman" w:cs="Times New Roman" w:eastAsia="Times New Roman"/>
          <w:b/>
          <w:sz w:val="26"/>
        </w:rPr>
        <w:t>5.2.7 Tổng hợp kết quả SQ1</w:t>
      </w:r>
    </w:p>
    <w:p>
      <w:pPr>
        <w:ind w:firstLine="567"/>
        <w:jc w:val="both"/>
      </w:pPr>
      <w:r>
        <w:t>Bảng 5.16 tổng hợp kết quả của cả sáu agent theo năm chỉ số, tạo cơ sở cho việc rút ra kết luận về câu hỏi phụ thứ nhất.</w:t>
      </w:r>
    </w:p>
    <w:p>
      <w:pPr>
        <w:spacing w:before="160" w:after="40"/>
        <w:jc w:val="center"/>
      </w:pPr>
      <w:r>
        <w:rPr>
          <w:rFonts w:ascii="Times New Roman" w:hAnsi="Times New Roman" w:cs="Times New Roman" w:eastAsia="Times New Roman"/>
          <w:b/>
          <w:i/>
          <w:sz w:val="24"/>
        </w:rPr>
        <w:t>Bảng 5.16. Tổng hợp kết quả các agent</w:t>
      </w:r>
    </w:p>
    <w:tbl>
      <w:tblPr>
        <w:tblW w:type="auto" w:w="0"/>
        <w:jc w:val="center"/>
        <w:tblLook w:firstColumn="1" w:firstRow="1" w:lastColumn="0" w:lastRow="0" w:noHBand="0" w:noVBand="1" w:val="04A0"/>
      </w:tblPr>
      <w:tblGrid>
        <w:gridCol w:w="1728"/>
        <w:gridCol w:w="1728"/>
        <w:gridCol w:w="1728"/>
        <w:gridCol w:w="1728"/>
        <w:gridCol w:w="1728"/>
      </w:tblGrid>
      <w:tr>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Agent</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TSR</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PR</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2.787</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758</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Content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94%</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2.590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656</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Assessment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93%</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2.739</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745</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91%</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2.673</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674</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(Hub)</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88%</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2.564</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611</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(Hub)</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84%</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2.668</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767</w:t>
            </w:r>
          </w:p>
        </w:tc>
      </w:tr>
      <w:tr>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Trung bình</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91,7%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2.670</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702</w:t>
            </w:r>
          </w:p>
        </w:tc>
      </w:tr>
    </w:tbl>
    <w:p>
      <w:pPr>
        <w:spacing w:after="40"/>
      </w:pPr>
    </w:p>
    <w:p>
      <w:pPr>
        <w:ind w:firstLine="567"/>
        <w:jc w:val="both"/>
      </w:pPr>
      <w:r>
        <w:t>Phân tích bảng tổng hợp cho thấy hai nhận xét quan trọng. Thứ nhất, TSR trung bình là 1,00, nghĩa là toàn bộ sáu agent đều hoàn thành được yêu cầu ở mức cơ bản. Thứ hai, Pass Rate dao động từ 84% đến 100% theo đúng bậc độ phức tạp nghiệp vụ: Planning đạt mức hoàn hảo 100% do tác vụ cấu trúc rõ ràng, năm agent còn lại nằm trong khoảng 84–94%, và Nova thấp nhất ở 84% do phải xử lý đa năng nhất. Phân bố này không những hợp lý mà còn củng cố giá trị của kiến trúc phân tách: mỗi agent phụ trách một miền hẹp nên đạt chất lượng cao trong chính miền đó. Câu trả lời cho SQ1 do đó là có, ở mức tích cực.</w:t>
      </w:r>
    </w:p>
    <w:p>
      <w:pPr>
        <w:spacing w:before="200" w:after="120"/>
      </w:pPr>
      <w:r>
        <w:rPr>
          <w:rFonts w:ascii="Times New Roman" w:hAnsi="Times New Roman" w:cs="Times New Roman" w:eastAsia="Times New Roman"/>
          <w:b/>
          <w:sz w:val="28"/>
        </w:rPr>
        <w:t>5.3 Đánh giá kiến trúc — SQ2</w:t>
      </w:r>
    </w:p>
    <w:p>
      <w:pPr>
        <w:ind w:firstLine="567"/>
        <w:jc w:val="both"/>
      </w:pPr>
      <w:r>
        <w:t>Đây là phần trọng tâm của chương, vì câu hỏi nghiên cứu trung tâm hỏi về kiến trúc Multi-Agent chứ không phải về từng agent riêng lẻ. Việc đánh giá từng agent ở Mục 5.2 là điều kiện cần nhưng chưa đủ; điều kiện đủ là phải chứng minh được rằng khi nhiều agent phải phối hợp với nhau để giải một tác vụ phức tạp, kiến trúc vẫn hoạt động được. Phần này đánh giá ba thuộc tính kiến trúc theo trình tự từ đơn giản đến phức tạp: năng lực định tuyến, năng lực phối hợp liên agent, và vai trò điều phối tập trung của mô hình Agent Hub. Chỉ số trọng tâm ở phần này là End-to-End Success Rate.</w:t>
      </w:r>
    </w:p>
    <w:p>
      <w:pPr>
        <w:spacing w:before="200" w:after="120"/>
      </w:pPr>
      <w:r>
        <w:rPr>
          <w:rFonts w:ascii="Times New Roman" w:hAnsi="Times New Roman" w:cs="Times New Roman" w:eastAsia="Times New Roman"/>
          <w:b/>
          <w:sz w:val="26"/>
        </w:rPr>
        <w:t>5.3.1 Đánh giá năng lực định tuyến</w:t>
      </w:r>
    </w:p>
    <w:p>
      <w:pPr>
        <w:ind w:firstLine="567"/>
        <w:jc w:val="both"/>
      </w:pPr>
      <w:r>
        <w:t>Thực nghiệm đo năng lực định tuyến của cả hai Hub Agent, tức là khả năng chuyển một yêu cầu tự nhiên đến đúng agent chuyên biệt. Đây là thuộc tính nền tảng, vì nếu định tuyến sai ngay từ đầu thì mọi cơ chế phối hợp phía sau đều không có ý nghĩa. Bảng 5.17 trình bày các ca kiểm thử định tuyến đại diện, và Bảng 5.18 tổng hợp kết quả.</w:t>
      </w:r>
    </w:p>
    <w:p>
      <w:pPr>
        <w:spacing w:before="160" w:after="40"/>
        <w:jc w:val="center"/>
      </w:pPr>
      <w:r>
        <w:rPr>
          <w:rFonts w:ascii="Times New Roman" w:hAnsi="Times New Roman" w:cs="Times New Roman" w:eastAsia="Times New Roman"/>
          <w:b/>
          <w:i/>
          <w:sz w:val="24"/>
        </w:rPr>
        <w:t>Bảng 5.17. Mẫu ca kiểm thử định tuyến</w:t>
      </w:r>
    </w:p>
    <w:tbl>
      <w:tblPr>
        <w:tblW w:type="auto" w:w="0"/>
        <w:jc w:val="center"/>
        <w:tblLook w:firstColumn="1" w:firstRow="1" w:lastColumn="0" w:lastRow="0" w:noHBand="0" w:noVBand="1" w:val="04A0"/>
      </w:tblPr>
      <w:tblGrid>
        <w:gridCol w:w="1728"/>
        <w:gridCol w:w="1728"/>
        <w:gridCol w:w="1728"/>
        <w:gridCol w:w="1728"/>
        <w:gridCol w:w="1728"/>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Yêu cầu</w:t>
            </w:r>
          </w:p>
        </w:tc>
        <w:tc>
          <w:tcPr>
            <w:tcW w:type="dxa" w:w="141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Hub</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Đích</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Kết quả</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“Kết quả học của tôi”</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Evaluation</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“Sắp xếp lại lịch học”</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Planning</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cho lớp IT1”</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Assessment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w:t>
            </w:r>
          </w:p>
        </w:tc>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“Tóm tắt tài liệu”</w:t>
            </w:r>
          </w:p>
        </w:tc>
        <w:tc>
          <w:tcPr>
            <w:tcW w:type="dxa" w:w="141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Tutor/Content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Đúng</w:t>
            </w:r>
          </w:p>
        </w:tc>
      </w:tr>
    </w:tbl>
    <w:p>
      <w:pPr>
        <w:spacing w:after="40"/>
      </w:pPr>
    </w:p>
    <w:p>
      <w:pPr>
        <w:spacing w:before="160" w:after="40"/>
        <w:jc w:val="center"/>
      </w:pPr>
      <w:r>
        <w:rPr>
          <w:rFonts w:ascii="Times New Roman" w:hAnsi="Times New Roman" w:cs="Times New Roman" w:eastAsia="Times New Roman"/>
          <w:b/>
          <w:i/>
          <w:sz w:val="24"/>
        </w:rPr>
        <w:t>Bảng 5.18. Kết quả định tuyến 2 Hub</w:t>
      </w:r>
    </w:p>
    <w:tbl>
      <w:tblPr>
        <w:tblW w:type="auto" w:w="0"/>
        <w:jc w:val="center"/>
        <w:tblLook w:firstColumn="1" w:firstRow="1" w:lastColumn="0" w:lastRow="0" w:noHBand="0" w:noVBand="1" w:val="04A0"/>
      </w:tblPr>
      <w:tblGrid>
        <w:gridCol w:w="2160"/>
        <w:gridCol w:w="2160"/>
        <w:gridCol w:w="2160"/>
        <w:gridCol w:w="216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Hub</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Số yêu cầu</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Đúng</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Tỷ lệ</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22</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0,88</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21</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Tổng hợp</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50</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43</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0,86</w:t>
            </w:r>
          </w:p>
        </w:tc>
      </w:tr>
    </w:tbl>
    <w:p>
      <w:pPr>
        <w:spacing w:after="40"/>
      </w:pPr>
    </w:p>
    <w:p>
      <w:pPr>
        <w:ind w:firstLine="567"/>
        <w:jc w:val="both"/>
      </w:pPr>
      <w:r>
        <w:t>Một nhận xét quan trọng từ phân tích các ca sai là toàn bộ lỗi định tuyến đều tập trung ở ranh giới mờ giữa các ý định có ngữ nghĩa gần nhau, chẳng hạn ranh giới giữa tổng quan lớp và phân tích chi tiết lớp. Quan trọng hơn, không có trường hợp nào agent bị định tuyến sang một miền nghiệp vụ hoàn toàn khác và không liên quan. Điều này có ý nghĩa thực tiễn lớn: ngay cả khi xảy ra sai lệch, lỗi vẫn nằm trong cùng một cụm chức năng, do đó người dùng vẫn nhận được phản hồi có liên quan và tác vụ không bị sập.</w:t>
      </w:r>
    </w:p>
    <w:p>
      <w:pPr>
        <w:spacing w:before="200" w:after="120"/>
      </w:pPr>
      <w:r>
        <w:rPr>
          <w:rFonts w:ascii="Times New Roman" w:hAnsi="Times New Roman" w:cs="Times New Roman" w:eastAsia="Times New Roman"/>
          <w:b/>
          <w:sz w:val="26"/>
        </w:rPr>
        <w:t>5.3.2 Đánh giá năng lực phối hợp liên agent</w:t>
      </w:r>
    </w:p>
    <w:p>
      <w:pPr>
        <w:ind w:firstLine="567"/>
        <w:jc w:val="both"/>
      </w:pPr>
      <w:r>
        <w:t>Nếu năng lực định tuyến đo hành vi của từng Hub độc lập, thì năng lực phối hợp liên agent đo hành vi của toàn bộ kiến trúc khi nhiều agent cùng làm việc. Đây là phần khó nhất và cũng ý nghĩa nhất, vì nó trả lời trực tiếp câu hỏi liệu kiến trúc Multi-Agent có thực sự cần thiết hay không. Thực nghiệm ở phần này tập trung vào các tác vụ mà về mặt bản chất không agent đơn lẻ nào tự xử lý được, bắt buộc phải có sự phối hợp. Hai chuỗi phối hợp tiêu biểu được lựa chọn để đánh giá (Hình 5.1).</w:t>
      </w:r>
    </w:p>
    <w:p>
      <w:pPr>
        <w:spacing w:after="160"/>
        <w:jc w:val="center"/>
      </w:pPr>
      <w:r>
        <w:rPr>
          <w:rFonts w:ascii="Times New Roman" w:hAnsi="Times New Roman" w:cs="Times New Roman" w:eastAsia="Times New Roman"/>
          <w:b/>
          <w:i/>
          <w:sz w:val="24"/>
        </w:rPr>
        <w:t>Hình 5.1. Hai chuỗi phối hợp tiêu biểu</w:t>
      </w:r>
    </w:p>
    <w:p>
      <w:pPr>
        <w:spacing w:before="80" w:after="80"/>
        <w:ind w:left="850"/>
      </w:pPr>
      <w:r>
        <w:rPr>
          <w:rFonts w:ascii="Consolas" w:hAnsi="Consolas" w:cs="Consolas" w:eastAsia="Consolas"/>
          <w:sz w:val="20"/>
        </w:rPr>
        <w:t>Chuỗi A: Nova ──► Assessment ──► Evaluation   (tạo đề → chấm/phân tích)</w:t>
        <w:br/>
        <w:t>Chuỗi B: Nova ──► Planning ──► Content        (lập kế hoạch → truy xuất học liệu)</w:t>
      </w:r>
    </w:p>
    <w:p>
      <w:pPr>
        <w:ind w:firstLine="567"/>
        <w:jc w:val="both"/>
      </w:pPr>
      <w:r>
        <w:t>Chuỗi A là chuỗi đánh giá đầu-cuối: Nova tiếp nhận yêu cầu giảng viên, chuyển sang Assessment sinh đề, rồi sang Evaluation chấm và phân tích. Chuỗi B là chuỗi kế hoạch học tập: Nova tiếp nhận yêu cầu, chuyển sang Planning lập kế hoạch, rồi sang Content truy xuất học liệu. Hai chuỗi được lựa chọn vì chúng đại diện cho hai luồng nghiệp vụ cốt lõi của nền tảng. Để đo lường, luận văn sử dụng End-to-End Success Rate, định nghĩa là tỷ lệ chuỗi hoàn thành đầy đủ mọi mắt xích mà không cần can thiệp. Bảng 5.19 trình bày các kịch bản đầu-cuối và Bảng 5.20 trình bày kết quả.</w:t>
      </w:r>
    </w:p>
    <w:p>
      <w:pPr>
        <w:spacing w:before="160" w:after="40"/>
        <w:jc w:val="center"/>
      </w:pPr>
      <w:r>
        <w:rPr>
          <w:rFonts w:ascii="Times New Roman" w:hAnsi="Times New Roman" w:cs="Times New Roman" w:eastAsia="Times New Roman"/>
          <w:b/>
          <w:i/>
          <w:sz w:val="24"/>
        </w:rPr>
        <w:t>Bảng 5.19. Mẫu kịch bản phối hợp đầu-cuối</w:t>
      </w:r>
    </w:p>
    <w:tbl>
      <w:tblPr>
        <w:tblW w:type="auto" w:w="0"/>
        <w:jc w:val="center"/>
        <w:tblLook w:firstColumn="1" w:firstRow="1" w:lastColumn="0" w:lastRow="0" w:noHBand="0" w:noVBand="1" w:val="04A0"/>
      </w:tblPr>
      <w:tblGrid>
        <w:gridCol w:w="2880"/>
        <w:gridCol w:w="2880"/>
        <w:gridCol w:w="2880"/>
      </w:tblGrid>
      <w:tr>
        <w:tc>
          <w:tcPr>
            <w:tcW w:type="dxa" w:w="567"/>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w:t>
            </w:r>
          </w:p>
        </w:tc>
        <w:tc>
          <w:tcPr>
            <w:tcW w:type="dxa" w:w="45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Kịch bản</w:t>
            </w:r>
          </w:p>
        </w:tc>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Chuỗi agent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“Tạo đề cho IT1 rồi phân tích kết quả”</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Assessment → Evaluation</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“Lập kế hoạch ôn cho sinh viên A theo tài liệu”</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Planning → Content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“Tìm môn kém rồi tạo đề ôn”</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Evaluation → Assessment</w:t>
            </w:r>
          </w:p>
        </w:tc>
      </w:tr>
      <w:tr>
        <w:tc>
          <w:tcPr>
            <w:tcW w:type="dxa" w:w="567"/>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w:t>
            </w:r>
          </w:p>
        </w:tc>
        <w:tc>
          <w:tcPr>
            <w:tcW w:type="dxa" w:w="45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“Điều chỉnh kế hoạch theo kết quả của tôi”</w:t>
            </w:r>
          </w:p>
        </w:tc>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 Evaluation → Planning</w:t>
            </w:r>
          </w:p>
        </w:tc>
      </w:tr>
    </w:tbl>
    <w:p>
      <w:pPr>
        <w:spacing w:after="40"/>
      </w:pPr>
    </w:p>
    <w:p>
      <w:pPr>
        <w:spacing w:before="160" w:after="40"/>
        <w:jc w:val="center"/>
      </w:pPr>
      <w:r>
        <w:rPr>
          <w:rFonts w:ascii="Times New Roman" w:hAnsi="Times New Roman" w:cs="Times New Roman" w:eastAsia="Times New Roman"/>
          <w:b/>
          <w:i/>
          <w:sz w:val="24"/>
        </w:rPr>
        <w:t>Bảng 5.20. Kết quả phối hợp liên agent</w:t>
      </w:r>
    </w:p>
    <w:tbl>
      <w:tblPr>
        <w:tblW w:type="auto" w:w="0"/>
        <w:jc w:val="center"/>
        <w:tblLook w:firstColumn="1" w:firstRow="1" w:lastColumn="0" w:lastRow="0" w:noHBand="0" w:noVBand="1" w:val="04A0"/>
      </w:tblPr>
      <w:tblGrid>
        <w:gridCol w:w="2160"/>
        <w:gridCol w:w="2160"/>
        <w:gridCol w:w="2160"/>
        <w:gridCol w:w="2160"/>
      </w:tblGrid>
      <w:tr>
        <w:tc>
          <w:tcPr>
            <w:tcW w:type="dxa" w:w="3969"/>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Chuỗi</w:t>
            </w:r>
          </w:p>
        </w:tc>
        <w:tc>
          <w:tcPr>
            <w:tcW w:type="dxa" w:w="113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E2E</w:t>
            </w:r>
          </w:p>
        </w:tc>
        <w:tc>
          <w:tcPr>
            <w:tcW w:type="dxa" w:w="226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Latency (ms)</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Token</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Assessment → Evaluation</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0,86</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5.120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2.860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Planning → Content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4.860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2.180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Nova → Evaluation → Assessment</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5.340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2.940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Orbit → Evaluation → Planning</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0,83</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4.640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2.320</w:t>
            </w:r>
          </w:p>
        </w:tc>
      </w:tr>
      <w:tr>
        <w:tc>
          <w:tcPr>
            <w:tcW w:type="dxa" w:w="3969"/>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Trung bình</w:t>
            </w:r>
          </w:p>
        </w:tc>
        <w:tc>
          <w:tcPr>
            <w:tcW w:type="dxa" w:w="113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0,845</w:t>
            </w:r>
          </w:p>
        </w:tc>
        <w:tc>
          <w:tcPr>
            <w:tcW w:type="dxa" w:w="226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4.990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2.575</w:t>
            </w:r>
          </w:p>
        </w:tc>
      </w:tr>
    </w:tbl>
    <w:p>
      <w:pPr>
        <w:spacing w:after="40"/>
      </w:pPr>
    </w:p>
    <w:p>
      <w:pPr>
        <w:ind w:firstLine="567"/>
        <w:jc w:val="both"/>
      </w:pPr>
      <w:r>
        <w:t>Bốn chuỗi phối hợp đạt E2E trung bình 0,845, dao động trong khoảng hẹp từ 0,83 đến 0,86. Độ trễ trung bình của một chuỗi ba bước là khoảng 4.990 ms và mức tiêu thụ 2.575 token — đây là chi phí của toàn bộ chuỗi gồm ba lần gọi agent, nên khi quy về mỗi bước thì hoàn toàn hợp lý. Ý nghĩa của kết quả này rất quan trọng đối với câu hỏi nghiên cứu: nó chứng minh rằng khi một yêu cầu vượt quá khả năng của bất kỳ agent đơn lẻ nào, kiến trúc vẫn phối hợp được nhiều agent để hoàn thành tác vụ với tỷ lệ đầu-cuối 84,5%. Đây là bằng chứng thực nghiệm mạnh mẽ nhất cho việc kiến trúc Multi-Agent hỗ trợ hiệu quả hoạt động học tập ở cấp độ kiến trúc.</w:t>
      </w:r>
    </w:p>
    <w:p>
      <w:pPr>
        <w:spacing w:before="200" w:after="120"/>
      </w:pPr>
      <w:r>
        <w:rPr>
          <w:rFonts w:ascii="Times New Roman" w:hAnsi="Times New Roman" w:cs="Times New Roman" w:eastAsia="Times New Roman"/>
          <w:b/>
          <w:sz w:val="26"/>
        </w:rPr>
        <w:t>5.3.3 Đánh giá vai trò điều phối tập trung của Agent Hub</w:t>
      </w:r>
    </w:p>
    <w:p>
      <w:pPr>
        <w:ind w:firstLine="567"/>
        <w:jc w:val="both"/>
      </w:pPr>
      <w:r>
        <w:t>Phần này trình bày đóng góp nghiên cứu chính của luận văn, đó là việc đánh giá mô hình Agent Hub so với kiến trúc đơn thể truyền thống. Câu hỏi đặt ra là liệu việc tổ chức hệ thống theo mô hình có một trung tâm điều phối có mang lại lợi ích thực sự về điều phối, mở rộng và giảm khớp nối hay không. Để trả lời, luận văn triển khai một đường cơ sở đơn thể xử lý cùng tập chức năng, rồi đo các tiêu chí khi thêm một agent mới. Bảng 5.21 trình bày kết quả so sánh.</w:t>
      </w:r>
    </w:p>
    <w:p>
      <w:pPr>
        <w:spacing w:before="160" w:after="40"/>
        <w:jc w:val="center"/>
      </w:pPr>
      <w:r>
        <w:rPr>
          <w:rFonts w:ascii="Times New Roman" w:hAnsi="Times New Roman" w:cs="Times New Roman" w:eastAsia="Times New Roman"/>
          <w:b/>
          <w:i/>
          <w:sz w:val="24"/>
        </w:rPr>
        <w:t>Bảng 5.21. So sánh Agent Hub vs monolithic</w:t>
      </w:r>
    </w:p>
    <w:tbl>
      <w:tblPr>
        <w:tblW w:type="auto" w:w="0"/>
        <w:jc w:val="center"/>
        <w:tblLook w:firstColumn="1" w:firstRow="1" w:lastColumn="0" w:lastRow="0" w:noHBand="0" w:noVBand="1" w:val="04A0"/>
      </w:tblPr>
      <w:tblGrid>
        <w:gridCol w:w="2160"/>
        <w:gridCol w:w="2160"/>
        <w:gridCol w:w="2160"/>
        <w:gridCol w:w="2160"/>
      </w:tblGrid>
      <w:tr>
        <w:tc>
          <w:tcPr>
            <w:tcW w:type="dxa" w:w="3118"/>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Tiêu chí</w:t>
            </w:r>
          </w:p>
        </w:tc>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Monolithic</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Agent Hub</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Chênh lệch</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Điểm tiếp xúc người dùng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5</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2 (Nova, Orbit)</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−60%</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Dòng code sửa khi thêm agent</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~320</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~40</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−87%</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Kiểm thử độc lập</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Không</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Có</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Coupling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Cao</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Thấp (Hub + Blackboard)</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Giảm</w:t>
            </w:r>
          </w:p>
        </w:tc>
      </w:tr>
      <w:tr>
        <w:tc>
          <w:tcPr>
            <w:tcW w:type="dxa" w:w="3118"/>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Routing tập trung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Không</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Có</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w:t>
            </w:r>
          </w:p>
        </w:tc>
      </w:tr>
    </w:tbl>
    <w:p>
      <w:pPr>
        <w:spacing w:after="40"/>
      </w:pPr>
    </w:p>
    <w:p>
      <w:pPr>
        <w:ind w:firstLine="567"/>
        <w:jc w:val="both"/>
      </w:pPr>
      <w:r>
        <w:t>Phân tích bảng so sánh cho phép rút ra ba kết luận về ba thuộc tính cốt lõi. Thứ nhất, về khả năng điều phối, một điểm tiếp xúc duy nhất tiếp nhận mọi yêu cầu và đạt tỷ lệ định tuyến 0,86. Thứ hai, về khả năng mở rộng, chi phí thêm một agent mới giảm 87%, từ khoảng 320 dòng xuống chỉ còn khoảng 40 dòng — một lợi thế có ý nghĩa lớn cho khả năng phát triển lâu dài của hệ thống. Thứ ba, về giảm khớp nối, các agent phối hợp qua Hub theo cơ chế đồng bộ và qua cơ sở dữ liệu dùng chung theo mô hình Blackboard ở cơ chế bất đồng bộ; nghĩa là Nova có thể ghi một chỉ thị học tập vào cơ sở dữ liệu, còn Orbit đọc chỉ thị đó khi đốc thúc sinh viên mà hai agent hoàn toàn không cần đồng bộ thời gian hay biết về sự tồn tại của nhau.</w:t>
      </w:r>
    </w:p>
    <w:p>
      <w:pPr>
        <w:spacing w:before="200" w:after="120"/>
      </w:pPr>
      <w:r>
        <w:rPr>
          <w:rFonts w:ascii="Times New Roman" w:hAnsi="Times New Roman" w:cs="Times New Roman" w:eastAsia="Times New Roman"/>
          <w:b/>
          <w:sz w:val="26"/>
        </w:rPr>
        <w:t>5.4 Trả lời câu hỏi nghiên cứu</w:t>
      </w:r>
    </w:p>
    <w:p>
      <w:pPr>
        <w:ind w:firstLine="567"/>
        <w:jc w:val="both"/>
      </w:pPr>
      <w:r>
        <w:t>Sau khi đã có kết quả chi tiết ở hai mục trước, phần này tổng hợp bằng chứng để trả lời trực tiếp câu hỏi nghiên cứu trung tâm. Bảng 5.22 tổng hợp kết quả theo hai câu hỏi phụ.</w:t>
      </w:r>
    </w:p>
    <w:p>
      <w:pPr>
        <w:spacing w:before="160" w:after="40"/>
        <w:jc w:val="center"/>
      </w:pPr>
      <w:r>
        <w:rPr>
          <w:rFonts w:ascii="Times New Roman" w:hAnsi="Times New Roman" w:cs="Times New Roman" w:eastAsia="Times New Roman"/>
          <w:b/>
          <w:i/>
          <w:sz w:val="24"/>
        </w:rPr>
        <w:t>Bảng 5.22. Tổng hợp kết quả theo câu hỏi phụ</w:t>
      </w:r>
    </w:p>
    <w:tbl>
      <w:tblPr>
        <w:tblW w:type="auto" w:w="0"/>
        <w:jc w:val="center"/>
        <w:tblLook w:firstColumn="1" w:firstRow="1" w:lastColumn="0" w:lastRow="0" w:noHBand="0" w:noVBand="1" w:val="04A0"/>
      </w:tblPr>
      <w:tblGrid>
        <w:gridCol w:w="2160"/>
        <w:gridCol w:w="2160"/>
        <w:gridCol w:w="2160"/>
        <w:gridCol w:w="2160"/>
      </w:tblGrid>
      <w:tr>
        <w:tc>
          <w:tcPr>
            <w:tcW w:type="dxa" w:w="2835"/>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Câu hỏi phụ</w:t>
            </w:r>
          </w:p>
        </w:tc>
        <w:tc>
          <w:tcPr>
            <w:tcW w:type="dxa" w:w="255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Chỉ số</w:t>
            </w:r>
          </w:p>
        </w:tc>
        <w:tc>
          <w:tcPr>
            <w:tcW w:type="dxa" w:w="1984"/>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Kết quả</w:t>
            </w:r>
          </w:p>
        </w:tc>
        <w:tc>
          <w:tcPr>
            <w:tcW w:type="dxa" w:w="1701"/>
            <w:shd w:val="clear" w:color="auto" w:fill="D9E2F3"/>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sz w:val="24"/>
              </w:rPr>
              <w:t>Đánh giá</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SQ1 — Chuyên môn hóa</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TSR / PR</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1,00 / 91,7%</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SQ2 — Phối hợp</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E2E / Routing</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0,845 / 0,86</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r>
        <w:tc>
          <w:tcPr>
            <w:tcW w:type="dxa" w:w="2835"/>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Mở rộng kiến trúc</w:t>
            </w:r>
          </w:p>
        </w:tc>
        <w:tc>
          <w:tcPr>
            <w:tcW w:type="dxa" w:w="255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Chi phí thêm agent</w:t>
            </w:r>
          </w:p>
        </w:tc>
        <w:tc>
          <w:tcPr>
            <w:tcW w:type="dxa" w:w="1984"/>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−87% code</w:t>
            </w:r>
          </w:p>
        </w:tc>
        <w:tc>
          <w:tcPr>
            <w:tcW w:type="dxa" w:w="1701"/>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sz w:val="24"/>
              </w:rPr>
              <w:t>Tích cực</w:t>
            </w:r>
          </w:p>
        </w:tc>
      </w:tr>
    </w:tbl>
    <w:p>
      <w:pPr>
        <w:spacing w:after="40"/>
      </w:pPr>
    </w:p>
    <w:p>
      <w:pPr>
        <w:ind w:firstLine="567"/>
        <w:jc w:val="both"/>
      </w:pPr>
      <w:r>
        <w:t>Đối với SQ1, bằng chứng là TSR trung bình 1,00 và Pass Rate trung bình 91,7%, không agent nào ở mức không thể chấp nhận được, và phân bố pass rate phản ánh đúng bậc độ phức tạp nghiệp vụ. Câu trả lời cho SQ1 là tích cực. Đối với SQ2, bằng chứng là E2E 0,845 và tỷ lệ định tuyến 0,86, cho thấy kiến trúc không chỉ định tuyến đúng agent mà còn hoàn thành đầy đủ các chuỗi tác vụ phức tạp. Câu trả lời cho SQ2 cũng tích cực.</w:t>
      </w:r>
    </w:p>
    <w:p>
      <w:pPr>
        <w:ind w:firstLine="567"/>
        <w:jc w:val="both"/>
      </w:pPr>
      <w:r>
        <w:t>Từ các bằng chứng trên, luận văn kết luận: kiến trúc Multi-Agent hỗ trợ hiệu quả các hoạt động hỗ trợ học tập trong môi trường giáo dục số thông qua ba cơ chế. Cơ chế thứ nhất là chuyên môn hóa chức năng, mỗi agent hoàn thành đúng nhiệm vụ với TSR 1,00 và Pass Rate 91,7%. Cơ chế thứ hai là phối hợp liên agent, các chuỗi đa agent hoàn thành tác vụ phức tạp với E2E 0,845. Cơ chế thứ ba là điều phối tập trung bởi Agent Hub, một điểm tiếp xúc duy nhất định tuyến chính xác 0,86, đồng thời giảm 87% chi phí mở rộng so với kiến trúc đơn thể, với chi phí thực thi hợp lý. Câu hỏi nghiên cứu trung tâm được trả lời là có.</w:t>
      </w:r>
    </w:p>
    <w:p>
      <w:pPr>
        <w:spacing w:before="200" w:after="120"/>
      </w:pPr>
      <w:r>
        <w:rPr>
          <w:rFonts w:ascii="Times New Roman" w:hAnsi="Times New Roman" w:cs="Times New Roman" w:eastAsia="Times New Roman"/>
          <w:b/>
          <w:sz w:val="28"/>
        </w:rPr>
        <w:t>5.5 Thảo luận</w:t>
      </w:r>
    </w:p>
    <w:p>
      <w:pPr>
        <w:spacing w:before="200" w:after="120"/>
      </w:pPr>
      <w:r>
        <w:rPr>
          <w:rFonts w:ascii="Times New Roman" w:hAnsi="Times New Roman" w:cs="Times New Roman" w:eastAsia="Times New Roman"/>
          <w:b/>
          <w:sz w:val="26"/>
        </w:rPr>
        <w:t>5.5.1 Về hiệu quả của kiến trúc Multi-Agent</w:t>
      </w:r>
    </w:p>
    <w:p>
      <w:pPr>
        <w:ind w:firstLine="567"/>
        <w:jc w:val="both"/>
      </w:pPr>
      <w:r>
        <w:t>Kết quả cho thấy kiến trúc Multi-Agent mang lại hiệu quả thông qua sự phân tách rõ ràng giữa vai trò điều phối do các Hub Agent đảm nhận và vai trò chuyên môn do các agent chuyên biệt đảm nhận. Pass Rate dao động từ 84% đến 100% theo đúng bậc độ phức tạp nghiệp vụ: Planning đạt mức hoàn hảo 100% do tác vụ cấu trúc rõ ràng, năm agent còn lại nằm trong khoảng 84–94%, và Nova thấp nhất ở 84% do phải xử lý đa năng nhất. Đáng chú ý, hiệu quả không dừng lại ở từng agent riêng lẻ: khi yêu cầu vượt khả năng của bất kỳ agent đơn lẻ nào, kiến trúc vẫn phối hợp nhiều agent để hoàn thành tác vụ với E2E 0,845. Điều này hợp lý hóa lựa chọn kiến trúc phân tán thay vì một agent đơn thể bao trùm, vì đơn thể không thể xử lý được các tác vụ đòi hỏi nhiều năng lực chuyên môn khác nhau với chất lượng tương đương.</w:t>
      </w:r>
    </w:p>
    <w:p>
      <w:pPr>
        <w:spacing w:before="200" w:after="120"/>
      </w:pPr>
      <w:r>
        <w:rPr>
          <w:rFonts w:ascii="Times New Roman" w:hAnsi="Times New Roman" w:cs="Times New Roman" w:eastAsia="Times New Roman"/>
          <w:b/>
          <w:sz w:val="26"/>
        </w:rPr>
        <w:t>5.5.2 Về vai trò của Agent Hub</w:t>
      </w:r>
    </w:p>
    <w:p>
      <w:pPr>
        <w:ind w:firstLine="567"/>
        <w:jc w:val="both"/>
      </w:pPr>
      <w:r>
        <w:t>Agent Hub là đóng góp chính của luận văn. Hub đóng vai trò điểm tiếp xúc duy nhất, che giấu phần nội bộ phức tạp của hệ thống. Lợi ích thể hiện qua ba phương diện: định tuyến tập trung đạt 0,86, chi phí mở rộng giảm 87%, và mức độ khớp nối thấp nhờ phối hợp qua Hub và mô hình Blackboard. Tuy nhiên, luận văn cũng công bố một đánh đổi tất yếu: việc Hub đóng vai trò trung tâm đồng nghĩa nó trở thành điểm lỗi đơn. Để giảm nhẹ rủi ro này, hệ thống được trang bị cơ chế suy giảm mềm — khi LLM chính gặp giới hạn tốc độ thì chuyển sang mô hình dự phòng, khi thành phần lưu trữ gặp lỗi thì chuyển sang đáp ứng theo mẫu cố định — nhờ đó tính sẵn sàng được duy trì ở mức chấp nhận được.</w:t>
      </w:r>
    </w:p>
    <w:p>
      <w:pPr>
        <w:spacing w:before="200" w:after="120"/>
      </w:pPr>
      <w:r>
        <w:rPr>
          <w:rFonts w:ascii="Times New Roman" w:hAnsi="Times New Roman" w:cs="Times New Roman" w:eastAsia="Times New Roman"/>
          <w:b/>
          <w:sz w:val="26"/>
        </w:rPr>
        <w:t>5.5.3 Hạn chế và đe dọa tính hiệu lực</w:t>
      </w:r>
    </w:p>
    <w:p>
      <w:pPr>
        <w:ind w:firstLine="567"/>
        <w:jc w:val="both"/>
      </w:pPr>
      <w:r>
        <w:t>Một nghiên cứu nghiêm túc cần công bố giới hạn, và luận văn trình bày ba nhóm đe dọa tính hiệu lực. Nhóm thứ nhất là hiệu lực nội: chất lượng phản hồi phụ thuộc lớn vào LLM, và khi mô hình tạo thông tin sai thì hệ thống chưa có cơ chế tự phát hiện triệt để; việc đánh giá cũng có thể chịu thiên kiến người chấm. Nhóm thứ hai là hiệu lực ngoại: quy mô đánh giá còn giới hạn với 35 sinh viên và 12 tài liệu, chưa đủ lớn để khái quát hóa mạnh. Nhóm thứ ba là hiệu lực cấu trúc: bộ năm chỉ số tập trung vào chất lượng hoàn thành và chi phí, chưa đo trực tiếp chất lượng sư phạm sâu. Ngoài ra, giao tiếp Nova→Orbit hiện bất đồng bộ qua cơ sở dữ liệu, chưa có cơ chế thông báo thời gian thực, làm trễ một số phản hồi theo hướng từ giảng viên đến sinh viên.</w:t>
      </w:r>
    </w:p>
    <w:p>
      <w:pPr>
        <w:spacing w:before="200" w:after="120"/>
      </w:pPr>
      <w:r>
        <w:rPr>
          <w:rFonts w:ascii="Times New Roman" w:hAnsi="Times New Roman" w:cs="Times New Roman" w:eastAsia="Times New Roman"/>
          <w:b/>
          <w:sz w:val="28"/>
        </w:rPr>
        <w:t>5.6 Kết luận chương</w:t>
      </w:r>
    </w:p>
    <w:p>
      <w:pPr>
        <w:ind w:firstLine="567"/>
        <w:jc w:val="both"/>
      </w:pPr>
      <w:r>
        <w:t>Chương năm đã trình bày phương pháp thực nghiệm và kết quả đánh giá kiến trúc Multi-Agent, xoay quanh một câu hỏi nghiên cứu duy nhất về hiệu quả hỗ trợ học tập, với bộ năm chỉ số cốt lõi là TSR, PR, E2E, Latency và Token, bao quát cả chất lượng hoàn thành và chi phí thực thi. Ở cấp độ tác nhân đơn lẻ, các agent chuyên biệt hoàn thành đúng chức năng với TSR trung bình 1,00 và Pass Rate trung bình 91,7%, trong đó Planning đạt mức hoàn hảo 100% do tác vụ cấu trúc rõ ràng, năm agent còn lại nằm trong khoảng 84–94%, và Nova thấp nhất ở 84% do phức tạp nhất. Ở cấp độ kiến trúc, khả năng phối hợp đạt E2E 0,845 và tỷ lệ định tuyến 0,86, chứng minh kiến trúc hoàn thành được các tác vụ phức tạp mà không agent đơn lẻ nào tự xử lý được. Đóng góp nghiên cứu, mô hình Agent Hub, giảm 87% chi phí mở rộng so với kiến trúc đơn thể. Từ các bằng chứng thực nghiệm, luận văn kết luận kiến trúc Multi-Agent dạng Hub hỗ trợ hiệu quả các hoạt động hỗ trợ học tập trong môi trường giáo dục số thông qua ba cơ chế: chuyên môn hóa chức năng, phối hợp liên agent, và điều phối tập trung bởi Agent Hub.</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