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C9" w:rsidRPr="005506B2" w:rsidRDefault="00434B07">
      <w:pPr>
        <w:rPr>
          <w:sz w:val="40"/>
          <w:szCs w:val="40"/>
        </w:rPr>
      </w:pPr>
      <w:proofErr w:type="spellStart"/>
      <w:r w:rsidRPr="005506B2">
        <w:rPr>
          <w:sz w:val="40"/>
          <w:szCs w:val="40"/>
        </w:rPr>
        <w:t>SNDMobile</w:t>
      </w:r>
      <w:proofErr w:type="spellEnd"/>
      <w:r w:rsidRPr="005506B2">
        <w:rPr>
          <w:sz w:val="40"/>
          <w:szCs w:val="40"/>
        </w:rPr>
        <w:t xml:space="preserve"> Credit System</w:t>
      </w:r>
    </w:p>
    <w:p w:rsidR="00434B07" w:rsidRDefault="00F44C3D">
      <w:r>
        <w:t>The credit system will be used to control the number of messages an account is able to send.  When an account runs out of credits, it will affect their ability to send and receive messages as described.</w:t>
      </w:r>
    </w:p>
    <w:p w:rsidR="00F44C3D" w:rsidRPr="005506B2" w:rsidRDefault="00F44C3D">
      <w:pPr>
        <w:rPr>
          <w:b/>
        </w:rPr>
      </w:pPr>
      <w:r w:rsidRPr="005506B2">
        <w:rPr>
          <w:b/>
        </w:rPr>
        <w:t>Definitions</w:t>
      </w:r>
    </w:p>
    <w:p w:rsidR="00F44C3D" w:rsidRDefault="00F44C3D" w:rsidP="00F44C3D">
      <w:pPr>
        <w:pStyle w:val="NoSpacing"/>
      </w:pPr>
      <w:r w:rsidRPr="005506B2">
        <w:rPr>
          <w:i/>
        </w:rPr>
        <w:t>Plan Credits</w:t>
      </w:r>
      <w:r>
        <w:t xml:space="preserve"> – the credits given to an account each month when </w:t>
      </w:r>
      <w:proofErr w:type="spellStart"/>
      <w:r>
        <w:t>Recurly</w:t>
      </w:r>
      <w:proofErr w:type="spellEnd"/>
      <w:r>
        <w:t xml:space="preserve"> subscription</w:t>
      </w:r>
      <w:r w:rsidR="007B1EA2">
        <w:t xml:space="preserve"> is created </w:t>
      </w:r>
      <w:proofErr w:type="gramStart"/>
      <w:r w:rsidR="007B1EA2">
        <w:t xml:space="preserve">or </w:t>
      </w:r>
      <w:r>
        <w:t xml:space="preserve"> renews</w:t>
      </w:r>
      <w:proofErr w:type="gramEnd"/>
    </w:p>
    <w:p w:rsidR="00F44C3D" w:rsidRDefault="00F44C3D" w:rsidP="00F44C3D">
      <w:pPr>
        <w:pStyle w:val="NoSpacing"/>
      </w:pPr>
      <w:r w:rsidRPr="005506B2">
        <w:rPr>
          <w:i/>
        </w:rPr>
        <w:t xml:space="preserve">Rollover Credits </w:t>
      </w:r>
      <w:r>
        <w:t xml:space="preserve">– the plan credits left over each month when </w:t>
      </w:r>
      <w:proofErr w:type="spellStart"/>
      <w:r>
        <w:t>Recurly</w:t>
      </w:r>
      <w:proofErr w:type="spellEnd"/>
      <w:r>
        <w:t xml:space="preserve"> subscription renews.</w:t>
      </w:r>
    </w:p>
    <w:p w:rsidR="001E69E5" w:rsidRDefault="001E69E5" w:rsidP="00F44C3D">
      <w:pPr>
        <w:pStyle w:val="NoSpacing"/>
      </w:pPr>
      <w:proofErr w:type="spellStart"/>
      <w:r w:rsidRPr="001E69E5">
        <w:rPr>
          <w:i/>
        </w:rPr>
        <w:t>InCost</w:t>
      </w:r>
      <w:proofErr w:type="spellEnd"/>
      <w:r>
        <w:t xml:space="preserve"> – remove this amount of credits from the balance when an inbound message is processed</w:t>
      </w:r>
    </w:p>
    <w:p w:rsidR="001E69E5" w:rsidRDefault="001E69E5" w:rsidP="00F44C3D">
      <w:pPr>
        <w:pStyle w:val="NoSpacing"/>
      </w:pPr>
      <w:proofErr w:type="spellStart"/>
      <w:r w:rsidRPr="001E69E5">
        <w:rPr>
          <w:i/>
        </w:rPr>
        <w:t>OutCost</w:t>
      </w:r>
      <w:proofErr w:type="spellEnd"/>
      <w:r>
        <w:t xml:space="preserve"> – remove this amount of credits from the balance when an outbound message is processed</w:t>
      </w:r>
    </w:p>
    <w:p w:rsidR="00F44C3D" w:rsidRDefault="00F44C3D" w:rsidP="00F44C3D">
      <w:pPr>
        <w:pStyle w:val="NoSpacing"/>
      </w:pPr>
    </w:p>
    <w:p w:rsidR="00F44C3D" w:rsidRPr="005506B2" w:rsidRDefault="00F44C3D" w:rsidP="00F44C3D">
      <w:pPr>
        <w:pStyle w:val="NoSpacing"/>
        <w:rPr>
          <w:b/>
        </w:rPr>
      </w:pPr>
      <w:r w:rsidRPr="005506B2">
        <w:rPr>
          <w:b/>
        </w:rPr>
        <w:t>DB Changes</w:t>
      </w:r>
    </w:p>
    <w:p w:rsidR="00F44C3D" w:rsidRDefault="00F44C3D" w:rsidP="00F44C3D">
      <w:pPr>
        <w:pStyle w:val="NoSpacing"/>
      </w:pPr>
    </w:p>
    <w:p w:rsidR="00F44C3D" w:rsidRDefault="00F44C3D" w:rsidP="00F44C3D">
      <w:pPr>
        <w:pStyle w:val="NoSpacing"/>
        <w:numPr>
          <w:ilvl w:val="0"/>
          <w:numId w:val="1"/>
        </w:numPr>
      </w:pPr>
      <w:r>
        <w:t>New fields in Package Table</w:t>
      </w:r>
    </w:p>
    <w:p w:rsidR="00F44C3D" w:rsidRDefault="00F44C3D" w:rsidP="00F44C3D">
      <w:pPr>
        <w:pStyle w:val="NoSpacing"/>
        <w:numPr>
          <w:ilvl w:val="1"/>
          <w:numId w:val="1"/>
        </w:numPr>
      </w:pPr>
      <w:proofErr w:type="spellStart"/>
      <w:r>
        <w:t>InCost</w:t>
      </w:r>
      <w:proofErr w:type="spellEnd"/>
      <w:r>
        <w:t xml:space="preserve"> – decimal, example 0.5</w:t>
      </w:r>
    </w:p>
    <w:p w:rsidR="00F44C3D" w:rsidRDefault="00F44C3D" w:rsidP="00F44C3D">
      <w:pPr>
        <w:pStyle w:val="NoSpacing"/>
        <w:numPr>
          <w:ilvl w:val="1"/>
          <w:numId w:val="1"/>
        </w:numPr>
      </w:pPr>
      <w:proofErr w:type="spellStart"/>
      <w:r>
        <w:t>OutCost</w:t>
      </w:r>
      <w:proofErr w:type="spellEnd"/>
      <w:r>
        <w:t xml:space="preserve"> – decimal, example 1.5</w:t>
      </w:r>
    </w:p>
    <w:p w:rsidR="00F44C3D" w:rsidRDefault="00F44C3D" w:rsidP="00F44C3D">
      <w:pPr>
        <w:pStyle w:val="NoSpacing"/>
        <w:numPr>
          <w:ilvl w:val="1"/>
          <w:numId w:val="1"/>
        </w:numPr>
      </w:pPr>
      <w:proofErr w:type="spellStart"/>
      <w:r>
        <w:t>PlanCredits</w:t>
      </w:r>
      <w:proofErr w:type="spellEnd"/>
      <w:r>
        <w:t xml:space="preserve"> – </w:t>
      </w:r>
      <w:r w:rsidR="00274183">
        <w:t>decimal</w:t>
      </w:r>
      <w:r>
        <w:t>, example 200</w:t>
      </w:r>
      <w:r w:rsidR="00274183">
        <w:t>.5</w:t>
      </w:r>
    </w:p>
    <w:p w:rsidR="00F44C3D" w:rsidRDefault="00F44C3D" w:rsidP="00F44C3D">
      <w:pPr>
        <w:pStyle w:val="NoSpacing"/>
        <w:numPr>
          <w:ilvl w:val="1"/>
          <w:numId w:val="1"/>
        </w:numPr>
      </w:pPr>
      <w:r>
        <w:t xml:space="preserve">Rollover – tiny </w:t>
      </w:r>
      <w:proofErr w:type="spellStart"/>
      <w:r>
        <w:t>int</w:t>
      </w:r>
      <w:proofErr w:type="spellEnd"/>
      <w:r>
        <w:t>, 0 or 1 (default 0</w:t>
      </w:r>
      <w:r w:rsidR="00B0733E">
        <w:t>, true</w:t>
      </w:r>
      <w:r>
        <w:t>)</w:t>
      </w:r>
    </w:p>
    <w:p w:rsidR="00F44C3D" w:rsidRDefault="00F44C3D" w:rsidP="00F44C3D">
      <w:pPr>
        <w:pStyle w:val="NoSpacing"/>
        <w:numPr>
          <w:ilvl w:val="0"/>
          <w:numId w:val="1"/>
        </w:numPr>
      </w:pPr>
      <w:r>
        <w:t>New fields in Account Table</w:t>
      </w:r>
    </w:p>
    <w:p w:rsidR="00F44C3D" w:rsidRDefault="00F44C3D" w:rsidP="00F44C3D">
      <w:pPr>
        <w:pStyle w:val="NoSpacing"/>
        <w:numPr>
          <w:ilvl w:val="1"/>
          <w:numId w:val="1"/>
        </w:numPr>
      </w:pPr>
      <w:proofErr w:type="spellStart"/>
      <w:r>
        <w:t>InCost</w:t>
      </w:r>
      <w:proofErr w:type="spellEnd"/>
      <w:r>
        <w:t xml:space="preserve"> – decimal, example 0.5</w:t>
      </w:r>
    </w:p>
    <w:p w:rsidR="00F44C3D" w:rsidRDefault="00F44C3D" w:rsidP="00F44C3D">
      <w:pPr>
        <w:pStyle w:val="NoSpacing"/>
        <w:numPr>
          <w:ilvl w:val="1"/>
          <w:numId w:val="1"/>
        </w:numPr>
      </w:pPr>
      <w:proofErr w:type="spellStart"/>
      <w:r>
        <w:t>OutCost</w:t>
      </w:r>
      <w:proofErr w:type="spellEnd"/>
      <w:r>
        <w:t xml:space="preserve"> – decimal, example 1.5</w:t>
      </w:r>
    </w:p>
    <w:p w:rsidR="00F44C3D" w:rsidRDefault="00F44C3D" w:rsidP="00F44C3D">
      <w:pPr>
        <w:pStyle w:val="NoSpacing"/>
        <w:numPr>
          <w:ilvl w:val="1"/>
          <w:numId w:val="1"/>
        </w:numPr>
      </w:pPr>
      <w:proofErr w:type="spellStart"/>
      <w:r>
        <w:t>PlanCredits</w:t>
      </w:r>
      <w:proofErr w:type="spellEnd"/>
      <w:r>
        <w:t xml:space="preserve"> – </w:t>
      </w:r>
      <w:r w:rsidR="00274183">
        <w:t>decimal</w:t>
      </w:r>
      <w:r>
        <w:t>, example 200</w:t>
      </w:r>
      <w:r w:rsidR="00274183">
        <w:t>.5</w:t>
      </w:r>
    </w:p>
    <w:p w:rsidR="00F44C3D" w:rsidRDefault="00F44C3D" w:rsidP="00F44C3D">
      <w:pPr>
        <w:pStyle w:val="NoSpacing"/>
        <w:numPr>
          <w:ilvl w:val="1"/>
          <w:numId w:val="1"/>
        </w:numPr>
      </w:pPr>
      <w:r>
        <w:t xml:space="preserve">Rollover – tiny </w:t>
      </w:r>
      <w:proofErr w:type="spellStart"/>
      <w:r>
        <w:t>int</w:t>
      </w:r>
      <w:proofErr w:type="spellEnd"/>
      <w:r>
        <w:t>, 0 or 1 (default 0</w:t>
      </w:r>
      <w:r w:rsidR="00B0733E">
        <w:t>, true</w:t>
      </w:r>
      <w:r>
        <w:t>)</w:t>
      </w:r>
    </w:p>
    <w:p w:rsidR="00F44C3D" w:rsidRDefault="00F44C3D" w:rsidP="00F44C3D">
      <w:pPr>
        <w:pStyle w:val="NoSpacing"/>
        <w:numPr>
          <w:ilvl w:val="1"/>
          <w:numId w:val="1"/>
        </w:numPr>
      </w:pPr>
      <w:proofErr w:type="spellStart"/>
      <w:r>
        <w:t>RolloverCredits</w:t>
      </w:r>
      <w:proofErr w:type="spellEnd"/>
      <w:r>
        <w:t xml:space="preserve"> – </w:t>
      </w:r>
      <w:r w:rsidR="00274183">
        <w:t>decimal</w:t>
      </w:r>
      <w:r>
        <w:t>, example 200</w:t>
      </w:r>
      <w:r w:rsidR="00274183">
        <w:t>.5</w:t>
      </w:r>
    </w:p>
    <w:p w:rsidR="00F44C3D" w:rsidRDefault="00F44C3D" w:rsidP="00F44C3D">
      <w:pPr>
        <w:pStyle w:val="NoSpacing"/>
      </w:pPr>
    </w:p>
    <w:p w:rsidR="00791C7A" w:rsidRPr="005506B2" w:rsidRDefault="00791C7A" w:rsidP="00F44C3D">
      <w:pPr>
        <w:pStyle w:val="NoSpacing"/>
        <w:rPr>
          <w:b/>
        </w:rPr>
      </w:pPr>
      <w:r w:rsidRPr="005506B2">
        <w:rPr>
          <w:b/>
        </w:rPr>
        <w:t>Message &amp; Charging Matrix</w:t>
      </w:r>
    </w:p>
    <w:p w:rsidR="00083A51" w:rsidRDefault="00083A51" w:rsidP="00F44C3D">
      <w:pPr>
        <w:pStyle w:val="NoSpacing"/>
      </w:pPr>
    </w:p>
    <w:tbl>
      <w:tblPr>
        <w:tblStyle w:val="TableGrid"/>
        <w:tblW w:w="0" w:type="auto"/>
        <w:tblInd w:w="228" w:type="dxa"/>
        <w:tblLook w:val="04A0"/>
      </w:tblPr>
      <w:tblGrid>
        <w:gridCol w:w="3720"/>
        <w:gridCol w:w="2436"/>
        <w:gridCol w:w="3192"/>
      </w:tblGrid>
      <w:tr w:rsidR="00791C7A" w:rsidTr="00083A51">
        <w:tc>
          <w:tcPr>
            <w:tcW w:w="3720" w:type="dxa"/>
          </w:tcPr>
          <w:p w:rsidR="00791C7A" w:rsidRDefault="00791C7A" w:rsidP="00791C7A">
            <w:pPr>
              <w:pStyle w:val="NoSpacing"/>
            </w:pPr>
            <w:proofErr w:type="spellStart"/>
            <w:r>
              <w:t>Msg</w:t>
            </w:r>
            <w:proofErr w:type="spellEnd"/>
            <w:r>
              <w:t xml:space="preserve"> Description</w:t>
            </w:r>
          </w:p>
        </w:tc>
        <w:tc>
          <w:tcPr>
            <w:tcW w:w="2436" w:type="dxa"/>
          </w:tcPr>
          <w:p w:rsidR="00791C7A" w:rsidRDefault="00791C7A" w:rsidP="00F44C3D">
            <w:pPr>
              <w:pStyle w:val="NoSpacing"/>
            </w:pPr>
            <w:r>
              <w:t>Direction</w:t>
            </w:r>
          </w:p>
        </w:tc>
        <w:tc>
          <w:tcPr>
            <w:tcW w:w="3192" w:type="dxa"/>
          </w:tcPr>
          <w:p w:rsidR="00791C7A" w:rsidRDefault="00791C7A" w:rsidP="00F44C3D">
            <w:pPr>
              <w:pStyle w:val="NoSpacing"/>
            </w:pPr>
            <w:r>
              <w:t xml:space="preserve">Charge </w:t>
            </w:r>
          </w:p>
        </w:tc>
      </w:tr>
      <w:tr w:rsidR="00791C7A" w:rsidTr="00083A51">
        <w:tc>
          <w:tcPr>
            <w:tcW w:w="3720" w:type="dxa"/>
          </w:tcPr>
          <w:p w:rsidR="00791C7A" w:rsidRPr="00791C7A" w:rsidRDefault="00791C7A" w:rsidP="00791C7A">
            <w:pPr>
              <w:pStyle w:val="NoSpacing"/>
              <w:spacing w:before="40" w:after="40"/>
              <w:rPr>
                <w:sz w:val="18"/>
                <w:szCs w:val="18"/>
              </w:rPr>
            </w:pPr>
            <w:r w:rsidRPr="00791C7A">
              <w:rPr>
                <w:sz w:val="18"/>
                <w:szCs w:val="18"/>
              </w:rPr>
              <w:t>Inbound Keyword Match</w:t>
            </w:r>
          </w:p>
        </w:tc>
        <w:tc>
          <w:tcPr>
            <w:tcW w:w="2436" w:type="dxa"/>
          </w:tcPr>
          <w:p w:rsidR="00791C7A" w:rsidRPr="00791C7A" w:rsidRDefault="00791C7A" w:rsidP="00791C7A">
            <w:pPr>
              <w:pStyle w:val="NoSpacing"/>
              <w:spacing w:before="40" w:after="40"/>
              <w:rPr>
                <w:sz w:val="18"/>
                <w:szCs w:val="18"/>
              </w:rPr>
            </w:pPr>
            <w:r w:rsidRPr="00791C7A">
              <w:rPr>
                <w:sz w:val="18"/>
                <w:szCs w:val="18"/>
              </w:rPr>
              <w:t>In</w:t>
            </w:r>
          </w:p>
        </w:tc>
        <w:tc>
          <w:tcPr>
            <w:tcW w:w="3192" w:type="dxa"/>
          </w:tcPr>
          <w:p w:rsidR="00791C7A" w:rsidRPr="00791C7A" w:rsidRDefault="00791C7A" w:rsidP="00791C7A">
            <w:pPr>
              <w:pStyle w:val="NoSpacing"/>
              <w:spacing w:before="40" w:after="40"/>
              <w:rPr>
                <w:sz w:val="18"/>
                <w:szCs w:val="18"/>
              </w:rPr>
            </w:pPr>
            <w:r w:rsidRPr="00791C7A">
              <w:rPr>
                <w:sz w:val="18"/>
                <w:szCs w:val="18"/>
              </w:rPr>
              <w:t>Yes</w:t>
            </w:r>
          </w:p>
        </w:tc>
      </w:tr>
      <w:tr w:rsidR="00791C7A" w:rsidTr="00083A51">
        <w:tc>
          <w:tcPr>
            <w:tcW w:w="3720" w:type="dxa"/>
          </w:tcPr>
          <w:p w:rsidR="00791C7A" w:rsidRPr="00791C7A" w:rsidRDefault="00791C7A" w:rsidP="00791C7A">
            <w:pPr>
              <w:pStyle w:val="NoSpacing"/>
              <w:spacing w:before="40" w:after="40"/>
              <w:rPr>
                <w:sz w:val="18"/>
                <w:szCs w:val="18"/>
              </w:rPr>
            </w:pPr>
            <w:r>
              <w:rPr>
                <w:sz w:val="18"/>
                <w:szCs w:val="18"/>
              </w:rPr>
              <w:t>Inbound No Keyword Match</w:t>
            </w:r>
          </w:p>
        </w:tc>
        <w:tc>
          <w:tcPr>
            <w:tcW w:w="2436" w:type="dxa"/>
          </w:tcPr>
          <w:p w:rsidR="00791C7A" w:rsidRPr="00791C7A" w:rsidRDefault="00791C7A" w:rsidP="00791C7A">
            <w:pPr>
              <w:pStyle w:val="NoSpacing"/>
              <w:spacing w:before="40" w:after="40"/>
              <w:rPr>
                <w:sz w:val="18"/>
                <w:szCs w:val="18"/>
              </w:rPr>
            </w:pPr>
            <w:r>
              <w:rPr>
                <w:sz w:val="18"/>
                <w:szCs w:val="18"/>
              </w:rPr>
              <w:t>In</w:t>
            </w:r>
          </w:p>
        </w:tc>
        <w:tc>
          <w:tcPr>
            <w:tcW w:w="3192" w:type="dxa"/>
          </w:tcPr>
          <w:p w:rsidR="00791C7A" w:rsidRPr="00791C7A" w:rsidRDefault="00791C7A" w:rsidP="00791C7A">
            <w:pPr>
              <w:pStyle w:val="NoSpacing"/>
              <w:spacing w:before="40" w:after="40"/>
              <w:rPr>
                <w:sz w:val="18"/>
                <w:szCs w:val="18"/>
              </w:rPr>
            </w:pPr>
            <w:r>
              <w:rPr>
                <w:sz w:val="18"/>
                <w:szCs w:val="18"/>
              </w:rPr>
              <w:t>Yes</w:t>
            </w:r>
          </w:p>
        </w:tc>
      </w:tr>
      <w:tr w:rsidR="00791C7A" w:rsidTr="00083A51">
        <w:tc>
          <w:tcPr>
            <w:tcW w:w="3720" w:type="dxa"/>
          </w:tcPr>
          <w:p w:rsidR="00791C7A" w:rsidRPr="00791C7A" w:rsidRDefault="00083A51" w:rsidP="00791C7A">
            <w:pPr>
              <w:pStyle w:val="NoSpacing"/>
              <w:spacing w:before="40" w:after="40"/>
              <w:rPr>
                <w:sz w:val="18"/>
                <w:szCs w:val="18"/>
              </w:rPr>
            </w:pPr>
            <w:r>
              <w:rPr>
                <w:sz w:val="18"/>
                <w:szCs w:val="18"/>
              </w:rPr>
              <w:t xml:space="preserve">Stop, Quit, Cancel, </w:t>
            </w:r>
            <w:proofErr w:type="spellStart"/>
            <w:r>
              <w:rPr>
                <w:sz w:val="18"/>
                <w:szCs w:val="18"/>
              </w:rPr>
              <w:t>Unsubscrbe</w:t>
            </w:r>
            <w:proofErr w:type="spellEnd"/>
          </w:p>
        </w:tc>
        <w:tc>
          <w:tcPr>
            <w:tcW w:w="2436" w:type="dxa"/>
          </w:tcPr>
          <w:p w:rsidR="00791C7A" w:rsidRPr="00791C7A" w:rsidRDefault="00083A51" w:rsidP="00791C7A">
            <w:pPr>
              <w:pStyle w:val="NoSpacing"/>
              <w:spacing w:before="40" w:after="40"/>
              <w:rPr>
                <w:sz w:val="18"/>
                <w:szCs w:val="18"/>
              </w:rPr>
            </w:pPr>
            <w:r>
              <w:rPr>
                <w:sz w:val="18"/>
                <w:szCs w:val="18"/>
              </w:rPr>
              <w:t>In</w:t>
            </w:r>
          </w:p>
        </w:tc>
        <w:tc>
          <w:tcPr>
            <w:tcW w:w="3192" w:type="dxa"/>
          </w:tcPr>
          <w:p w:rsidR="00791C7A" w:rsidRPr="00791C7A" w:rsidRDefault="00083A51" w:rsidP="00791C7A">
            <w:pPr>
              <w:pStyle w:val="NoSpacing"/>
              <w:spacing w:before="40" w:after="40"/>
              <w:rPr>
                <w:sz w:val="18"/>
                <w:szCs w:val="18"/>
              </w:rPr>
            </w:pPr>
            <w:r>
              <w:rPr>
                <w:sz w:val="18"/>
                <w:szCs w:val="18"/>
              </w:rPr>
              <w:t>Yes</w:t>
            </w:r>
          </w:p>
        </w:tc>
      </w:tr>
      <w:tr w:rsidR="00791C7A" w:rsidTr="00083A51">
        <w:tc>
          <w:tcPr>
            <w:tcW w:w="3720" w:type="dxa"/>
          </w:tcPr>
          <w:p w:rsidR="00791C7A" w:rsidRPr="00791C7A" w:rsidRDefault="00083A51" w:rsidP="00791C7A">
            <w:pPr>
              <w:pStyle w:val="NoSpacing"/>
              <w:spacing w:before="40" w:after="40"/>
              <w:rPr>
                <w:sz w:val="18"/>
                <w:szCs w:val="18"/>
              </w:rPr>
            </w:pPr>
            <w:r>
              <w:rPr>
                <w:sz w:val="18"/>
                <w:szCs w:val="18"/>
              </w:rPr>
              <w:t>Auto Responder</w:t>
            </w:r>
          </w:p>
        </w:tc>
        <w:tc>
          <w:tcPr>
            <w:tcW w:w="2436" w:type="dxa"/>
          </w:tcPr>
          <w:p w:rsidR="00791C7A" w:rsidRPr="00791C7A" w:rsidRDefault="00083A51" w:rsidP="00791C7A">
            <w:pPr>
              <w:pStyle w:val="NoSpacing"/>
              <w:spacing w:before="40" w:after="40"/>
              <w:rPr>
                <w:sz w:val="18"/>
                <w:szCs w:val="18"/>
              </w:rPr>
            </w:pPr>
            <w:r>
              <w:rPr>
                <w:sz w:val="18"/>
                <w:szCs w:val="18"/>
              </w:rPr>
              <w:t>Out</w:t>
            </w:r>
          </w:p>
        </w:tc>
        <w:tc>
          <w:tcPr>
            <w:tcW w:w="3192" w:type="dxa"/>
          </w:tcPr>
          <w:p w:rsidR="00791C7A" w:rsidRPr="00791C7A" w:rsidRDefault="00083A51" w:rsidP="00791C7A">
            <w:pPr>
              <w:pStyle w:val="NoSpacing"/>
              <w:spacing w:before="40" w:after="40"/>
              <w:rPr>
                <w:sz w:val="18"/>
                <w:szCs w:val="18"/>
              </w:rPr>
            </w:pPr>
            <w:r>
              <w:rPr>
                <w:sz w:val="18"/>
                <w:szCs w:val="18"/>
              </w:rPr>
              <w:t>Yes</w:t>
            </w:r>
          </w:p>
        </w:tc>
      </w:tr>
      <w:tr w:rsidR="00791C7A" w:rsidTr="00083A51">
        <w:tc>
          <w:tcPr>
            <w:tcW w:w="3720" w:type="dxa"/>
          </w:tcPr>
          <w:p w:rsidR="00791C7A" w:rsidRPr="00791C7A" w:rsidRDefault="00083A51" w:rsidP="00791C7A">
            <w:pPr>
              <w:pStyle w:val="NoSpacing"/>
              <w:spacing w:before="40" w:after="40"/>
              <w:rPr>
                <w:sz w:val="18"/>
                <w:szCs w:val="18"/>
              </w:rPr>
            </w:pPr>
            <w:r>
              <w:rPr>
                <w:sz w:val="18"/>
                <w:szCs w:val="18"/>
              </w:rPr>
              <w:t>Send Single</w:t>
            </w:r>
          </w:p>
        </w:tc>
        <w:tc>
          <w:tcPr>
            <w:tcW w:w="2436" w:type="dxa"/>
          </w:tcPr>
          <w:p w:rsidR="00791C7A" w:rsidRPr="00791C7A" w:rsidRDefault="00083A51" w:rsidP="00791C7A">
            <w:pPr>
              <w:pStyle w:val="NoSpacing"/>
              <w:spacing w:before="40" w:after="40"/>
              <w:rPr>
                <w:sz w:val="18"/>
                <w:szCs w:val="18"/>
              </w:rPr>
            </w:pPr>
            <w:r>
              <w:rPr>
                <w:sz w:val="18"/>
                <w:szCs w:val="18"/>
              </w:rPr>
              <w:t>Out</w:t>
            </w:r>
          </w:p>
        </w:tc>
        <w:tc>
          <w:tcPr>
            <w:tcW w:w="3192" w:type="dxa"/>
          </w:tcPr>
          <w:p w:rsidR="00791C7A" w:rsidRPr="00791C7A" w:rsidRDefault="00083A51" w:rsidP="00791C7A">
            <w:pPr>
              <w:pStyle w:val="NoSpacing"/>
              <w:spacing w:before="40" w:after="40"/>
              <w:rPr>
                <w:sz w:val="18"/>
                <w:szCs w:val="18"/>
              </w:rPr>
            </w:pPr>
            <w:r>
              <w:rPr>
                <w:sz w:val="18"/>
                <w:szCs w:val="18"/>
              </w:rPr>
              <w:t>Yes</w:t>
            </w:r>
          </w:p>
        </w:tc>
      </w:tr>
      <w:tr w:rsidR="00791C7A" w:rsidTr="00083A51">
        <w:tc>
          <w:tcPr>
            <w:tcW w:w="3720" w:type="dxa"/>
          </w:tcPr>
          <w:p w:rsidR="00791C7A" w:rsidRPr="00791C7A" w:rsidRDefault="00083A51" w:rsidP="00791C7A">
            <w:pPr>
              <w:pStyle w:val="NoSpacing"/>
              <w:spacing w:before="40" w:after="40"/>
              <w:rPr>
                <w:sz w:val="18"/>
                <w:szCs w:val="18"/>
              </w:rPr>
            </w:pPr>
            <w:r>
              <w:rPr>
                <w:sz w:val="18"/>
                <w:szCs w:val="18"/>
              </w:rPr>
              <w:t>Send Group</w:t>
            </w:r>
          </w:p>
        </w:tc>
        <w:tc>
          <w:tcPr>
            <w:tcW w:w="2436" w:type="dxa"/>
          </w:tcPr>
          <w:p w:rsidR="00791C7A" w:rsidRPr="00791C7A" w:rsidRDefault="00083A51" w:rsidP="00791C7A">
            <w:pPr>
              <w:pStyle w:val="NoSpacing"/>
              <w:spacing w:before="40" w:after="40"/>
              <w:rPr>
                <w:sz w:val="18"/>
                <w:szCs w:val="18"/>
              </w:rPr>
            </w:pPr>
            <w:r>
              <w:rPr>
                <w:sz w:val="18"/>
                <w:szCs w:val="18"/>
              </w:rPr>
              <w:t>Out</w:t>
            </w:r>
          </w:p>
        </w:tc>
        <w:tc>
          <w:tcPr>
            <w:tcW w:w="3192" w:type="dxa"/>
          </w:tcPr>
          <w:p w:rsidR="00791C7A" w:rsidRPr="00791C7A" w:rsidRDefault="00083A51" w:rsidP="00791C7A">
            <w:pPr>
              <w:pStyle w:val="NoSpacing"/>
              <w:spacing w:before="40" w:after="40"/>
              <w:rPr>
                <w:sz w:val="18"/>
                <w:szCs w:val="18"/>
              </w:rPr>
            </w:pPr>
            <w:r>
              <w:rPr>
                <w:sz w:val="18"/>
                <w:szCs w:val="18"/>
              </w:rPr>
              <w:t>Yes</w:t>
            </w:r>
          </w:p>
        </w:tc>
      </w:tr>
      <w:tr w:rsidR="00083A51" w:rsidTr="00083A51">
        <w:tc>
          <w:tcPr>
            <w:tcW w:w="3720" w:type="dxa"/>
          </w:tcPr>
          <w:p w:rsidR="00083A51" w:rsidRDefault="00083A51" w:rsidP="00791C7A">
            <w:pPr>
              <w:pStyle w:val="NoSpacing"/>
              <w:spacing w:before="40" w:after="40"/>
              <w:rPr>
                <w:sz w:val="18"/>
                <w:szCs w:val="18"/>
              </w:rPr>
            </w:pPr>
            <w:r>
              <w:rPr>
                <w:sz w:val="18"/>
                <w:szCs w:val="18"/>
              </w:rPr>
              <w:t>Over Limit Notification to Account Mobile</w:t>
            </w:r>
          </w:p>
        </w:tc>
        <w:tc>
          <w:tcPr>
            <w:tcW w:w="2436" w:type="dxa"/>
          </w:tcPr>
          <w:p w:rsidR="00083A51" w:rsidRDefault="00083A51" w:rsidP="00791C7A">
            <w:pPr>
              <w:pStyle w:val="NoSpacing"/>
              <w:spacing w:before="40" w:after="40"/>
              <w:rPr>
                <w:sz w:val="18"/>
                <w:szCs w:val="18"/>
              </w:rPr>
            </w:pPr>
            <w:r>
              <w:rPr>
                <w:sz w:val="18"/>
                <w:szCs w:val="18"/>
              </w:rPr>
              <w:t>Out</w:t>
            </w:r>
          </w:p>
        </w:tc>
        <w:tc>
          <w:tcPr>
            <w:tcW w:w="3192" w:type="dxa"/>
          </w:tcPr>
          <w:p w:rsidR="00083A51" w:rsidRDefault="00083A51" w:rsidP="00791C7A">
            <w:pPr>
              <w:pStyle w:val="NoSpacing"/>
              <w:spacing w:before="40" w:after="40"/>
              <w:rPr>
                <w:sz w:val="18"/>
                <w:szCs w:val="18"/>
              </w:rPr>
            </w:pPr>
            <w:r>
              <w:rPr>
                <w:sz w:val="18"/>
                <w:szCs w:val="18"/>
              </w:rPr>
              <w:t>No</w:t>
            </w:r>
          </w:p>
        </w:tc>
      </w:tr>
      <w:tr w:rsidR="00083A51" w:rsidTr="00083A51">
        <w:tc>
          <w:tcPr>
            <w:tcW w:w="3720" w:type="dxa"/>
          </w:tcPr>
          <w:p w:rsidR="00083A51" w:rsidRDefault="00083A51" w:rsidP="00791C7A">
            <w:pPr>
              <w:pStyle w:val="NoSpacing"/>
              <w:spacing w:before="40" w:after="40"/>
              <w:rPr>
                <w:sz w:val="18"/>
                <w:szCs w:val="18"/>
              </w:rPr>
            </w:pPr>
            <w:r>
              <w:rPr>
                <w:sz w:val="18"/>
                <w:szCs w:val="18"/>
              </w:rPr>
              <w:t xml:space="preserve">Welcome to </w:t>
            </w:r>
            <w:proofErr w:type="spellStart"/>
            <w:r>
              <w:rPr>
                <w:sz w:val="18"/>
                <w:szCs w:val="18"/>
              </w:rPr>
              <w:t>SNDMobile</w:t>
            </w:r>
            <w:proofErr w:type="spellEnd"/>
          </w:p>
        </w:tc>
        <w:tc>
          <w:tcPr>
            <w:tcW w:w="2436" w:type="dxa"/>
          </w:tcPr>
          <w:p w:rsidR="00083A51" w:rsidRDefault="00083A51" w:rsidP="00791C7A">
            <w:pPr>
              <w:pStyle w:val="NoSpacing"/>
              <w:spacing w:before="40" w:after="40"/>
              <w:rPr>
                <w:sz w:val="18"/>
                <w:szCs w:val="18"/>
              </w:rPr>
            </w:pPr>
            <w:r>
              <w:rPr>
                <w:sz w:val="18"/>
                <w:szCs w:val="18"/>
              </w:rPr>
              <w:t>Out</w:t>
            </w:r>
          </w:p>
        </w:tc>
        <w:tc>
          <w:tcPr>
            <w:tcW w:w="3192" w:type="dxa"/>
          </w:tcPr>
          <w:p w:rsidR="00083A51" w:rsidRDefault="00083A51" w:rsidP="00791C7A">
            <w:pPr>
              <w:pStyle w:val="NoSpacing"/>
              <w:spacing w:before="40" w:after="40"/>
              <w:rPr>
                <w:sz w:val="18"/>
                <w:szCs w:val="18"/>
              </w:rPr>
            </w:pPr>
            <w:r>
              <w:rPr>
                <w:sz w:val="18"/>
                <w:szCs w:val="18"/>
              </w:rPr>
              <w:t>No</w:t>
            </w:r>
          </w:p>
        </w:tc>
      </w:tr>
      <w:tr w:rsidR="005506B2" w:rsidTr="00083A51">
        <w:tc>
          <w:tcPr>
            <w:tcW w:w="3720" w:type="dxa"/>
          </w:tcPr>
          <w:p w:rsidR="005506B2" w:rsidRDefault="005506B2" w:rsidP="00791C7A">
            <w:pPr>
              <w:pStyle w:val="NoSpacing"/>
              <w:spacing w:before="40" w:after="40"/>
              <w:rPr>
                <w:sz w:val="18"/>
                <w:szCs w:val="18"/>
              </w:rPr>
            </w:pPr>
            <w:r>
              <w:rPr>
                <w:sz w:val="18"/>
                <w:szCs w:val="18"/>
              </w:rPr>
              <w:t>RE Agent Notification</w:t>
            </w:r>
          </w:p>
        </w:tc>
        <w:tc>
          <w:tcPr>
            <w:tcW w:w="2436" w:type="dxa"/>
          </w:tcPr>
          <w:p w:rsidR="005506B2" w:rsidRDefault="005506B2" w:rsidP="00791C7A">
            <w:pPr>
              <w:pStyle w:val="NoSpacing"/>
              <w:spacing w:before="40" w:after="40"/>
              <w:rPr>
                <w:sz w:val="18"/>
                <w:szCs w:val="18"/>
              </w:rPr>
            </w:pPr>
            <w:r>
              <w:rPr>
                <w:sz w:val="18"/>
                <w:szCs w:val="18"/>
              </w:rPr>
              <w:t>Out</w:t>
            </w:r>
          </w:p>
        </w:tc>
        <w:tc>
          <w:tcPr>
            <w:tcW w:w="3192" w:type="dxa"/>
          </w:tcPr>
          <w:p w:rsidR="005506B2" w:rsidRDefault="005506B2" w:rsidP="00791C7A">
            <w:pPr>
              <w:pStyle w:val="NoSpacing"/>
              <w:spacing w:before="40" w:after="40"/>
              <w:rPr>
                <w:sz w:val="18"/>
                <w:szCs w:val="18"/>
              </w:rPr>
            </w:pPr>
            <w:r>
              <w:rPr>
                <w:sz w:val="18"/>
                <w:szCs w:val="18"/>
              </w:rPr>
              <w:t>Yes</w:t>
            </w:r>
          </w:p>
        </w:tc>
      </w:tr>
    </w:tbl>
    <w:p w:rsidR="00791C7A" w:rsidRDefault="00791C7A" w:rsidP="00F44C3D">
      <w:pPr>
        <w:pStyle w:val="NoSpacing"/>
      </w:pPr>
    </w:p>
    <w:p w:rsidR="00791C7A" w:rsidRDefault="00791C7A" w:rsidP="00F44C3D">
      <w:pPr>
        <w:pStyle w:val="NoSpacing"/>
      </w:pPr>
    </w:p>
    <w:p w:rsidR="00F44C3D" w:rsidRDefault="00791C7A" w:rsidP="00F44C3D">
      <w:pPr>
        <w:pStyle w:val="NoSpacing"/>
        <w:rPr>
          <w:b/>
        </w:rPr>
      </w:pPr>
      <w:r w:rsidRPr="00B7125A">
        <w:rPr>
          <w:b/>
        </w:rPr>
        <w:t xml:space="preserve">Application &amp; Business </w:t>
      </w:r>
      <w:r w:rsidR="00F44C3D" w:rsidRPr="00B7125A">
        <w:rPr>
          <w:b/>
        </w:rPr>
        <w:t>Logic</w:t>
      </w:r>
    </w:p>
    <w:p w:rsidR="00B7125A" w:rsidRPr="00B7125A" w:rsidRDefault="00B7125A" w:rsidP="00F44C3D">
      <w:pPr>
        <w:pStyle w:val="NoSpacing"/>
        <w:rPr>
          <w:b/>
        </w:rPr>
      </w:pPr>
    </w:p>
    <w:p w:rsidR="00B7125A" w:rsidRDefault="00B7125A" w:rsidP="00791C7A">
      <w:pPr>
        <w:pStyle w:val="NoSpacing"/>
        <w:numPr>
          <w:ilvl w:val="0"/>
          <w:numId w:val="2"/>
        </w:numPr>
      </w:pPr>
      <w:r>
        <w:t xml:space="preserve">When account is created on first </w:t>
      </w:r>
      <w:proofErr w:type="spellStart"/>
      <w:r>
        <w:t>Recurly</w:t>
      </w:r>
      <w:proofErr w:type="spellEnd"/>
      <w:r>
        <w:t xml:space="preserve"> TX, add Plan credits to account.</w:t>
      </w:r>
    </w:p>
    <w:p w:rsidR="00A867FF" w:rsidRDefault="00A867FF" w:rsidP="00791C7A">
      <w:pPr>
        <w:pStyle w:val="NoSpacing"/>
        <w:numPr>
          <w:ilvl w:val="0"/>
          <w:numId w:val="2"/>
        </w:numPr>
      </w:pPr>
      <w:r>
        <w:t>When creating account, set Rollover value in Account table to Rollover value in Package table.</w:t>
      </w:r>
    </w:p>
    <w:p w:rsidR="00791C7A" w:rsidRDefault="00791C7A" w:rsidP="00791C7A">
      <w:pPr>
        <w:pStyle w:val="NoSpacing"/>
        <w:numPr>
          <w:ilvl w:val="0"/>
          <w:numId w:val="2"/>
        </w:numPr>
      </w:pPr>
      <w:r>
        <w:lastRenderedPageBreak/>
        <w:t xml:space="preserve">When </w:t>
      </w:r>
      <w:r w:rsidR="00823CDD">
        <w:t>charging credits, charge against Rollover Credits first.  If 0 Rollover Credits, charge against Plan Credits.</w:t>
      </w:r>
    </w:p>
    <w:p w:rsidR="001E69E5" w:rsidRDefault="001E69E5" w:rsidP="00791C7A">
      <w:pPr>
        <w:pStyle w:val="NoSpacing"/>
        <w:numPr>
          <w:ilvl w:val="0"/>
          <w:numId w:val="2"/>
        </w:numPr>
      </w:pPr>
      <w:r>
        <w:t xml:space="preserve">If User is trying to send Group Text and the number of messages x </w:t>
      </w:r>
      <w:proofErr w:type="spellStart"/>
      <w:r>
        <w:t>OutCost</w:t>
      </w:r>
      <w:proofErr w:type="spellEnd"/>
      <w:r>
        <w:t xml:space="preserve"> exceeds the combined Rollover and Plan credit balance, show error message (Sorry, you do not have enough credits to send this group text)</w:t>
      </w:r>
    </w:p>
    <w:p w:rsidR="001E69E5" w:rsidRDefault="001E69E5" w:rsidP="00791C7A">
      <w:pPr>
        <w:pStyle w:val="NoSpacing"/>
        <w:numPr>
          <w:ilvl w:val="0"/>
          <w:numId w:val="2"/>
        </w:numPr>
      </w:pPr>
      <w:r>
        <w:t>If inbound message triggers auto responder and there are not enough plan credits, send until Plan Credits reach 0 and then stop.  Send Over Limit Notification message to Account Mobile</w:t>
      </w:r>
    </w:p>
    <w:p w:rsidR="00B7125A" w:rsidRDefault="00B7125A" w:rsidP="00791C7A">
      <w:pPr>
        <w:pStyle w:val="NoSpacing"/>
        <w:numPr>
          <w:ilvl w:val="0"/>
          <w:numId w:val="2"/>
        </w:numPr>
      </w:pPr>
      <w:r>
        <w:t>When Plan Credits reaches 0, set Status to 0 ( my understanding is that this will still let the user login but auto responders will be disabled for inbound messages and outbound messages are disabled in the user interface – this control is already in place when Status=0)</w:t>
      </w:r>
    </w:p>
    <w:p w:rsidR="00B7125A" w:rsidRDefault="00B7125A" w:rsidP="00791C7A">
      <w:pPr>
        <w:pStyle w:val="NoSpacing"/>
        <w:numPr>
          <w:ilvl w:val="0"/>
          <w:numId w:val="2"/>
        </w:numPr>
      </w:pPr>
      <w:r>
        <w:t>When message comes in and Status=0, send Over Limit Notification message to Account Mobile</w:t>
      </w:r>
    </w:p>
    <w:p w:rsidR="00B7125A" w:rsidRDefault="00B7125A" w:rsidP="00791C7A">
      <w:pPr>
        <w:pStyle w:val="NoSpacing"/>
        <w:numPr>
          <w:ilvl w:val="0"/>
          <w:numId w:val="2"/>
        </w:numPr>
      </w:pPr>
      <w:r>
        <w:t>Rollover and Plan Credits</w:t>
      </w:r>
      <w:r w:rsidR="00082E7B">
        <w:t xml:space="preserve"> monthly processing</w:t>
      </w:r>
      <w:r w:rsidR="00503662">
        <w:t xml:space="preserve"> –</w:t>
      </w:r>
      <w:r w:rsidR="00503662" w:rsidRPr="00503662">
        <w:rPr>
          <w:b/>
          <w:i/>
        </w:rPr>
        <w:t xml:space="preserve"> See </w:t>
      </w:r>
      <w:proofErr w:type="spellStart"/>
      <w:r w:rsidR="00503662" w:rsidRPr="00503662">
        <w:rPr>
          <w:b/>
          <w:i/>
        </w:rPr>
        <w:t>Recurly</w:t>
      </w:r>
      <w:r w:rsidR="008F20FF">
        <w:rPr>
          <w:b/>
          <w:i/>
        </w:rPr>
        <w:t>-SNDMobile</w:t>
      </w:r>
      <w:proofErr w:type="spellEnd"/>
      <w:r w:rsidR="00503662" w:rsidRPr="00503662">
        <w:rPr>
          <w:b/>
          <w:i/>
        </w:rPr>
        <w:t xml:space="preserve"> Account Synchronization Specification</w:t>
      </w:r>
    </w:p>
    <w:p w:rsidR="00F44C3D" w:rsidRDefault="00F44C3D" w:rsidP="00F44C3D">
      <w:pPr>
        <w:pStyle w:val="NoSpacing"/>
      </w:pPr>
    </w:p>
    <w:p w:rsidR="00F44C3D" w:rsidRDefault="00F44C3D"/>
    <w:p w:rsidR="00434B07" w:rsidRDefault="00434B07"/>
    <w:sectPr w:rsidR="00434B07" w:rsidSect="004719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8BD"/>
    <w:multiLevelType w:val="hybridMultilevel"/>
    <w:tmpl w:val="0FE88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9411F"/>
    <w:multiLevelType w:val="hybridMultilevel"/>
    <w:tmpl w:val="E7CC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B07"/>
    <w:rsid w:val="00004085"/>
    <w:rsid w:val="0000482B"/>
    <w:rsid w:val="00005F98"/>
    <w:rsid w:val="00006930"/>
    <w:rsid w:val="000078A7"/>
    <w:rsid w:val="000106FE"/>
    <w:rsid w:val="00011BF8"/>
    <w:rsid w:val="00015BBC"/>
    <w:rsid w:val="0002244D"/>
    <w:rsid w:val="000233E5"/>
    <w:rsid w:val="000240BE"/>
    <w:rsid w:val="00033076"/>
    <w:rsid w:val="00041921"/>
    <w:rsid w:val="00052424"/>
    <w:rsid w:val="00054F49"/>
    <w:rsid w:val="00057FB3"/>
    <w:rsid w:val="000604B9"/>
    <w:rsid w:val="00064CD5"/>
    <w:rsid w:val="0006786E"/>
    <w:rsid w:val="00067A5E"/>
    <w:rsid w:val="00070F8B"/>
    <w:rsid w:val="000723A7"/>
    <w:rsid w:val="000737E8"/>
    <w:rsid w:val="000742CA"/>
    <w:rsid w:val="00076764"/>
    <w:rsid w:val="0008058C"/>
    <w:rsid w:val="00082E7B"/>
    <w:rsid w:val="00083A51"/>
    <w:rsid w:val="00085D8E"/>
    <w:rsid w:val="00086DA4"/>
    <w:rsid w:val="0008787E"/>
    <w:rsid w:val="000910E9"/>
    <w:rsid w:val="00093349"/>
    <w:rsid w:val="00094C2D"/>
    <w:rsid w:val="000956BF"/>
    <w:rsid w:val="00096344"/>
    <w:rsid w:val="00097073"/>
    <w:rsid w:val="000A070F"/>
    <w:rsid w:val="000A3284"/>
    <w:rsid w:val="000A620A"/>
    <w:rsid w:val="000A62BE"/>
    <w:rsid w:val="000A6566"/>
    <w:rsid w:val="000B208D"/>
    <w:rsid w:val="000B3370"/>
    <w:rsid w:val="000B58C7"/>
    <w:rsid w:val="000B7F4F"/>
    <w:rsid w:val="000C1204"/>
    <w:rsid w:val="000C3736"/>
    <w:rsid w:val="000C417A"/>
    <w:rsid w:val="000D21D8"/>
    <w:rsid w:val="000E0F75"/>
    <w:rsid w:val="000E1C96"/>
    <w:rsid w:val="000E1EF3"/>
    <w:rsid w:val="000F0D2C"/>
    <w:rsid w:val="000F2FAC"/>
    <w:rsid w:val="000F6623"/>
    <w:rsid w:val="00105AAD"/>
    <w:rsid w:val="00106BA9"/>
    <w:rsid w:val="00110442"/>
    <w:rsid w:val="00111E90"/>
    <w:rsid w:val="001127B6"/>
    <w:rsid w:val="001134DB"/>
    <w:rsid w:val="00114E3F"/>
    <w:rsid w:val="001202A3"/>
    <w:rsid w:val="001205A7"/>
    <w:rsid w:val="001238B3"/>
    <w:rsid w:val="00125C01"/>
    <w:rsid w:val="00130FDE"/>
    <w:rsid w:val="00141270"/>
    <w:rsid w:val="00146457"/>
    <w:rsid w:val="00147035"/>
    <w:rsid w:val="0015321C"/>
    <w:rsid w:val="0015337A"/>
    <w:rsid w:val="00167CEE"/>
    <w:rsid w:val="00170D95"/>
    <w:rsid w:val="001936CC"/>
    <w:rsid w:val="001964B7"/>
    <w:rsid w:val="001A06A1"/>
    <w:rsid w:val="001A1A50"/>
    <w:rsid w:val="001A54C5"/>
    <w:rsid w:val="001A7A6F"/>
    <w:rsid w:val="001B0A66"/>
    <w:rsid w:val="001B23B8"/>
    <w:rsid w:val="001B5BAF"/>
    <w:rsid w:val="001C0807"/>
    <w:rsid w:val="001D1ED7"/>
    <w:rsid w:val="001D5AB2"/>
    <w:rsid w:val="001D687B"/>
    <w:rsid w:val="001E1C2A"/>
    <w:rsid w:val="001E47EC"/>
    <w:rsid w:val="001E5465"/>
    <w:rsid w:val="001E69E5"/>
    <w:rsid w:val="001E6BA7"/>
    <w:rsid w:val="001F02D5"/>
    <w:rsid w:val="001F0AC3"/>
    <w:rsid w:val="001F1693"/>
    <w:rsid w:val="001F3A08"/>
    <w:rsid w:val="001F3B5A"/>
    <w:rsid w:val="001F4D9E"/>
    <w:rsid w:val="001F4FF9"/>
    <w:rsid w:val="001F52B6"/>
    <w:rsid w:val="001F536F"/>
    <w:rsid w:val="001F6F26"/>
    <w:rsid w:val="00202C83"/>
    <w:rsid w:val="00205C8C"/>
    <w:rsid w:val="00207815"/>
    <w:rsid w:val="002135AD"/>
    <w:rsid w:val="002136F3"/>
    <w:rsid w:val="00214552"/>
    <w:rsid w:val="002246A4"/>
    <w:rsid w:val="00232914"/>
    <w:rsid w:val="002347F6"/>
    <w:rsid w:val="00236FC4"/>
    <w:rsid w:val="00237AB1"/>
    <w:rsid w:val="00237C77"/>
    <w:rsid w:val="00240137"/>
    <w:rsid w:val="002516FD"/>
    <w:rsid w:val="00254D0C"/>
    <w:rsid w:val="00256DA0"/>
    <w:rsid w:val="00262F48"/>
    <w:rsid w:val="002639FE"/>
    <w:rsid w:val="00266620"/>
    <w:rsid w:val="002709EC"/>
    <w:rsid w:val="0027219B"/>
    <w:rsid w:val="00274183"/>
    <w:rsid w:val="0027477B"/>
    <w:rsid w:val="0027511F"/>
    <w:rsid w:val="00282F3E"/>
    <w:rsid w:val="00285D26"/>
    <w:rsid w:val="002869D5"/>
    <w:rsid w:val="00290791"/>
    <w:rsid w:val="002921E5"/>
    <w:rsid w:val="002928CB"/>
    <w:rsid w:val="00294381"/>
    <w:rsid w:val="00294F41"/>
    <w:rsid w:val="00296D88"/>
    <w:rsid w:val="002978CA"/>
    <w:rsid w:val="002B2B57"/>
    <w:rsid w:val="002B65B1"/>
    <w:rsid w:val="002C0207"/>
    <w:rsid w:val="002C082A"/>
    <w:rsid w:val="002C4CCC"/>
    <w:rsid w:val="002C611F"/>
    <w:rsid w:val="002D563B"/>
    <w:rsid w:val="002D6C28"/>
    <w:rsid w:val="002D76E1"/>
    <w:rsid w:val="002E0749"/>
    <w:rsid w:val="002E10CA"/>
    <w:rsid w:val="002E196D"/>
    <w:rsid w:val="002E6AB7"/>
    <w:rsid w:val="002F0928"/>
    <w:rsid w:val="002F2482"/>
    <w:rsid w:val="002F250D"/>
    <w:rsid w:val="002F346B"/>
    <w:rsid w:val="002F665C"/>
    <w:rsid w:val="002F6F6E"/>
    <w:rsid w:val="00304735"/>
    <w:rsid w:val="00305AB4"/>
    <w:rsid w:val="0030734D"/>
    <w:rsid w:val="003119BC"/>
    <w:rsid w:val="003131EB"/>
    <w:rsid w:val="00314501"/>
    <w:rsid w:val="003174AE"/>
    <w:rsid w:val="00317DD3"/>
    <w:rsid w:val="00326E32"/>
    <w:rsid w:val="00332A74"/>
    <w:rsid w:val="00335511"/>
    <w:rsid w:val="00343DF1"/>
    <w:rsid w:val="00343EB0"/>
    <w:rsid w:val="00345556"/>
    <w:rsid w:val="003532AF"/>
    <w:rsid w:val="00356F37"/>
    <w:rsid w:val="0035767F"/>
    <w:rsid w:val="00357817"/>
    <w:rsid w:val="003602DF"/>
    <w:rsid w:val="00360A0F"/>
    <w:rsid w:val="00366434"/>
    <w:rsid w:val="00366B0C"/>
    <w:rsid w:val="00366D93"/>
    <w:rsid w:val="00371FBF"/>
    <w:rsid w:val="00376870"/>
    <w:rsid w:val="00382411"/>
    <w:rsid w:val="00386063"/>
    <w:rsid w:val="003879F6"/>
    <w:rsid w:val="00393A2F"/>
    <w:rsid w:val="00395D4A"/>
    <w:rsid w:val="00395D93"/>
    <w:rsid w:val="00396CE9"/>
    <w:rsid w:val="003A0341"/>
    <w:rsid w:val="003A3246"/>
    <w:rsid w:val="003A5D89"/>
    <w:rsid w:val="003B7A0A"/>
    <w:rsid w:val="003C242D"/>
    <w:rsid w:val="003C33A3"/>
    <w:rsid w:val="003C6AC9"/>
    <w:rsid w:val="003C7ADE"/>
    <w:rsid w:val="003C7E27"/>
    <w:rsid w:val="003D13E0"/>
    <w:rsid w:val="003D227B"/>
    <w:rsid w:val="003D3E8C"/>
    <w:rsid w:val="003D5BE0"/>
    <w:rsid w:val="003D7864"/>
    <w:rsid w:val="003E143C"/>
    <w:rsid w:val="003F04AF"/>
    <w:rsid w:val="00417FB1"/>
    <w:rsid w:val="00420260"/>
    <w:rsid w:val="00420972"/>
    <w:rsid w:val="00421034"/>
    <w:rsid w:val="00434B07"/>
    <w:rsid w:val="0043528B"/>
    <w:rsid w:val="00437690"/>
    <w:rsid w:val="004401A0"/>
    <w:rsid w:val="00443100"/>
    <w:rsid w:val="00443792"/>
    <w:rsid w:val="00444069"/>
    <w:rsid w:val="00445864"/>
    <w:rsid w:val="00446A76"/>
    <w:rsid w:val="004531BA"/>
    <w:rsid w:val="00454AC8"/>
    <w:rsid w:val="00455A0B"/>
    <w:rsid w:val="00455E1D"/>
    <w:rsid w:val="00456128"/>
    <w:rsid w:val="00460693"/>
    <w:rsid w:val="004645C6"/>
    <w:rsid w:val="0046490F"/>
    <w:rsid w:val="00465E9E"/>
    <w:rsid w:val="00467B98"/>
    <w:rsid w:val="0047191B"/>
    <w:rsid w:val="00472863"/>
    <w:rsid w:val="0047289D"/>
    <w:rsid w:val="00475558"/>
    <w:rsid w:val="0047587D"/>
    <w:rsid w:val="004771EE"/>
    <w:rsid w:val="004813B5"/>
    <w:rsid w:val="00482DE5"/>
    <w:rsid w:val="004835AA"/>
    <w:rsid w:val="00483AD5"/>
    <w:rsid w:val="0048474C"/>
    <w:rsid w:val="00486D0C"/>
    <w:rsid w:val="00487041"/>
    <w:rsid w:val="00492ED3"/>
    <w:rsid w:val="0049482A"/>
    <w:rsid w:val="00494E16"/>
    <w:rsid w:val="004A07F8"/>
    <w:rsid w:val="004A0BA5"/>
    <w:rsid w:val="004A37D4"/>
    <w:rsid w:val="004A3ABC"/>
    <w:rsid w:val="004A458F"/>
    <w:rsid w:val="004B4823"/>
    <w:rsid w:val="004B63AA"/>
    <w:rsid w:val="004B6DE0"/>
    <w:rsid w:val="004C4255"/>
    <w:rsid w:val="004D017B"/>
    <w:rsid w:val="004D205C"/>
    <w:rsid w:val="004D2CD4"/>
    <w:rsid w:val="004D2D46"/>
    <w:rsid w:val="004D3146"/>
    <w:rsid w:val="004E1C16"/>
    <w:rsid w:val="004E5220"/>
    <w:rsid w:val="004E5D1E"/>
    <w:rsid w:val="004F3D80"/>
    <w:rsid w:val="004F74B8"/>
    <w:rsid w:val="004F7EED"/>
    <w:rsid w:val="00500527"/>
    <w:rsid w:val="0050117F"/>
    <w:rsid w:val="00503662"/>
    <w:rsid w:val="00504302"/>
    <w:rsid w:val="005053B9"/>
    <w:rsid w:val="00505AEE"/>
    <w:rsid w:val="005066EE"/>
    <w:rsid w:val="00511058"/>
    <w:rsid w:val="00511E8B"/>
    <w:rsid w:val="00512986"/>
    <w:rsid w:val="005237C8"/>
    <w:rsid w:val="00523CD9"/>
    <w:rsid w:val="00526308"/>
    <w:rsid w:val="005356DF"/>
    <w:rsid w:val="005358E1"/>
    <w:rsid w:val="005418EA"/>
    <w:rsid w:val="005422C3"/>
    <w:rsid w:val="00543936"/>
    <w:rsid w:val="00544380"/>
    <w:rsid w:val="005444BF"/>
    <w:rsid w:val="00544FED"/>
    <w:rsid w:val="005455C3"/>
    <w:rsid w:val="005506B2"/>
    <w:rsid w:val="00550758"/>
    <w:rsid w:val="00551334"/>
    <w:rsid w:val="0055482A"/>
    <w:rsid w:val="0055659B"/>
    <w:rsid w:val="00565156"/>
    <w:rsid w:val="00566B8F"/>
    <w:rsid w:val="00572154"/>
    <w:rsid w:val="00577CB5"/>
    <w:rsid w:val="00583D40"/>
    <w:rsid w:val="005858C5"/>
    <w:rsid w:val="00586C56"/>
    <w:rsid w:val="005A2E79"/>
    <w:rsid w:val="005A4869"/>
    <w:rsid w:val="005A7BF8"/>
    <w:rsid w:val="005B0A8B"/>
    <w:rsid w:val="005B11F4"/>
    <w:rsid w:val="005B1A77"/>
    <w:rsid w:val="005B2D09"/>
    <w:rsid w:val="005B4B62"/>
    <w:rsid w:val="005B7E3F"/>
    <w:rsid w:val="005C0378"/>
    <w:rsid w:val="005C36A0"/>
    <w:rsid w:val="005C4080"/>
    <w:rsid w:val="005C646E"/>
    <w:rsid w:val="005D27A4"/>
    <w:rsid w:val="005D37B5"/>
    <w:rsid w:val="005D3B9E"/>
    <w:rsid w:val="005D689D"/>
    <w:rsid w:val="005E0175"/>
    <w:rsid w:val="005E7177"/>
    <w:rsid w:val="005E743A"/>
    <w:rsid w:val="005F2EFB"/>
    <w:rsid w:val="005F52B2"/>
    <w:rsid w:val="005F626A"/>
    <w:rsid w:val="005F7816"/>
    <w:rsid w:val="006024B4"/>
    <w:rsid w:val="00607A6E"/>
    <w:rsid w:val="00610DAF"/>
    <w:rsid w:val="00615BC1"/>
    <w:rsid w:val="00620625"/>
    <w:rsid w:val="00624657"/>
    <w:rsid w:val="006266E6"/>
    <w:rsid w:val="00632403"/>
    <w:rsid w:val="006329DB"/>
    <w:rsid w:val="0063402A"/>
    <w:rsid w:val="00636737"/>
    <w:rsid w:val="006378B9"/>
    <w:rsid w:val="00641923"/>
    <w:rsid w:val="0064705E"/>
    <w:rsid w:val="00650703"/>
    <w:rsid w:val="0065643C"/>
    <w:rsid w:val="006567C0"/>
    <w:rsid w:val="00660442"/>
    <w:rsid w:val="00667AC4"/>
    <w:rsid w:val="00670A6E"/>
    <w:rsid w:val="00675355"/>
    <w:rsid w:val="00675E6E"/>
    <w:rsid w:val="006765A8"/>
    <w:rsid w:val="00680C1B"/>
    <w:rsid w:val="006824BF"/>
    <w:rsid w:val="00685DCD"/>
    <w:rsid w:val="0068616E"/>
    <w:rsid w:val="00695610"/>
    <w:rsid w:val="00695BA1"/>
    <w:rsid w:val="00697E38"/>
    <w:rsid w:val="006A0550"/>
    <w:rsid w:val="006A6B48"/>
    <w:rsid w:val="006A77C6"/>
    <w:rsid w:val="006B073D"/>
    <w:rsid w:val="006B1A30"/>
    <w:rsid w:val="006B638E"/>
    <w:rsid w:val="006B7A2A"/>
    <w:rsid w:val="006C180D"/>
    <w:rsid w:val="006C66FA"/>
    <w:rsid w:val="006C7CA0"/>
    <w:rsid w:val="006D76AC"/>
    <w:rsid w:val="006E0007"/>
    <w:rsid w:val="006E1DDD"/>
    <w:rsid w:val="006E4596"/>
    <w:rsid w:val="006E54F3"/>
    <w:rsid w:val="006F4F35"/>
    <w:rsid w:val="006F514D"/>
    <w:rsid w:val="006F570A"/>
    <w:rsid w:val="00704BD1"/>
    <w:rsid w:val="007063F8"/>
    <w:rsid w:val="007109DE"/>
    <w:rsid w:val="00711113"/>
    <w:rsid w:val="007114ED"/>
    <w:rsid w:val="00716C04"/>
    <w:rsid w:val="00717A0A"/>
    <w:rsid w:val="007220D1"/>
    <w:rsid w:val="0072334E"/>
    <w:rsid w:val="00730546"/>
    <w:rsid w:val="00741786"/>
    <w:rsid w:val="00741D88"/>
    <w:rsid w:val="00743C2E"/>
    <w:rsid w:val="007449F1"/>
    <w:rsid w:val="00744C6B"/>
    <w:rsid w:val="00745253"/>
    <w:rsid w:val="007514E9"/>
    <w:rsid w:val="007515FA"/>
    <w:rsid w:val="00751FBA"/>
    <w:rsid w:val="007524C5"/>
    <w:rsid w:val="00753C70"/>
    <w:rsid w:val="00755CC7"/>
    <w:rsid w:val="00776EF1"/>
    <w:rsid w:val="00777BA1"/>
    <w:rsid w:val="0078032C"/>
    <w:rsid w:val="0078063E"/>
    <w:rsid w:val="00780868"/>
    <w:rsid w:val="007823BB"/>
    <w:rsid w:val="00784B55"/>
    <w:rsid w:val="00785486"/>
    <w:rsid w:val="00791554"/>
    <w:rsid w:val="00791C7A"/>
    <w:rsid w:val="007935DA"/>
    <w:rsid w:val="00794502"/>
    <w:rsid w:val="00795A49"/>
    <w:rsid w:val="007B1EA2"/>
    <w:rsid w:val="007B3D6A"/>
    <w:rsid w:val="007B60A4"/>
    <w:rsid w:val="007C1770"/>
    <w:rsid w:val="007C524A"/>
    <w:rsid w:val="007C5BC0"/>
    <w:rsid w:val="007C6209"/>
    <w:rsid w:val="007C75FC"/>
    <w:rsid w:val="007D7552"/>
    <w:rsid w:val="007E021B"/>
    <w:rsid w:val="007E0356"/>
    <w:rsid w:val="007E538F"/>
    <w:rsid w:val="007F5B76"/>
    <w:rsid w:val="0080430E"/>
    <w:rsid w:val="0080661B"/>
    <w:rsid w:val="008070DB"/>
    <w:rsid w:val="00807615"/>
    <w:rsid w:val="008133AD"/>
    <w:rsid w:val="00813CA2"/>
    <w:rsid w:val="00814191"/>
    <w:rsid w:val="00814555"/>
    <w:rsid w:val="00823CDD"/>
    <w:rsid w:val="00833655"/>
    <w:rsid w:val="00837414"/>
    <w:rsid w:val="00837E63"/>
    <w:rsid w:val="00841534"/>
    <w:rsid w:val="00841709"/>
    <w:rsid w:val="00842CC0"/>
    <w:rsid w:val="00850AD0"/>
    <w:rsid w:val="00851205"/>
    <w:rsid w:val="008570A6"/>
    <w:rsid w:val="00860AF2"/>
    <w:rsid w:val="008618F5"/>
    <w:rsid w:val="008670D2"/>
    <w:rsid w:val="0087155C"/>
    <w:rsid w:val="008731C5"/>
    <w:rsid w:val="00875394"/>
    <w:rsid w:val="00877EAB"/>
    <w:rsid w:val="008856F0"/>
    <w:rsid w:val="00886A45"/>
    <w:rsid w:val="008906AB"/>
    <w:rsid w:val="008940DE"/>
    <w:rsid w:val="00897725"/>
    <w:rsid w:val="008A2561"/>
    <w:rsid w:val="008A4DCE"/>
    <w:rsid w:val="008A50AF"/>
    <w:rsid w:val="008A6C47"/>
    <w:rsid w:val="008A7D40"/>
    <w:rsid w:val="008B0D12"/>
    <w:rsid w:val="008B1A9E"/>
    <w:rsid w:val="008B31A3"/>
    <w:rsid w:val="008B61DA"/>
    <w:rsid w:val="008B7D44"/>
    <w:rsid w:val="008D005D"/>
    <w:rsid w:val="008D3076"/>
    <w:rsid w:val="008D7087"/>
    <w:rsid w:val="008E3411"/>
    <w:rsid w:val="008E3C30"/>
    <w:rsid w:val="008F1F17"/>
    <w:rsid w:val="008F20FF"/>
    <w:rsid w:val="008F4432"/>
    <w:rsid w:val="008F5F23"/>
    <w:rsid w:val="008F79BD"/>
    <w:rsid w:val="0090056F"/>
    <w:rsid w:val="009048A8"/>
    <w:rsid w:val="00904932"/>
    <w:rsid w:val="00905E9C"/>
    <w:rsid w:val="00907447"/>
    <w:rsid w:val="00907A4A"/>
    <w:rsid w:val="00913304"/>
    <w:rsid w:val="009205A5"/>
    <w:rsid w:val="009226B3"/>
    <w:rsid w:val="00922F2B"/>
    <w:rsid w:val="009301A4"/>
    <w:rsid w:val="00933DFB"/>
    <w:rsid w:val="009344CA"/>
    <w:rsid w:val="00937D5F"/>
    <w:rsid w:val="009442CA"/>
    <w:rsid w:val="00952398"/>
    <w:rsid w:val="00952DB6"/>
    <w:rsid w:val="009711C9"/>
    <w:rsid w:val="00972C8C"/>
    <w:rsid w:val="009840FE"/>
    <w:rsid w:val="00986ED6"/>
    <w:rsid w:val="009874E8"/>
    <w:rsid w:val="00990183"/>
    <w:rsid w:val="009934FE"/>
    <w:rsid w:val="00996B1B"/>
    <w:rsid w:val="009A264F"/>
    <w:rsid w:val="009A5FC0"/>
    <w:rsid w:val="009B0F10"/>
    <w:rsid w:val="009B20FE"/>
    <w:rsid w:val="009B4508"/>
    <w:rsid w:val="009B75F9"/>
    <w:rsid w:val="009B7686"/>
    <w:rsid w:val="009C0037"/>
    <w:rsid w:val="009C153E"/>
    <w:rsid w:val="009C1929"/>
    <w:rsid w:val="009C2919"/>
    <w:rsid w:val="009C43FA"/>
    <w:rsid w:val="009C466A"/>
    <w:rsid w:val="009C4B0D"/>
    <w:rsid w:val="009C4E10"/>
    <w:rsid w:val="009C4EC3"/>
    <w:rsid w:val="009C7C0A"/>
    <w:rsid w:val="009C7EFC"/>
    <w:rsid w:val="009D4C67"/>
    <w:rsid w:val="009D5A62"/>
    <w:rsid w:val="009D6394"/>
    <w:rsid w:val="009E4A86"/>
    <w:rsid w:val="009E520F"/>
    <w:rsid w:val="009F4892"/>
    <w:rsid w:val="009F4C69"/>
    <w:rsid w:val="009F7842"/>
    <w:rsid w:val="00A06B9D"/>
    <w:rsid w:val="00A0721B"/>
    <w:rsid w:val="00A13326"/>
    <w:rsid w:val="00A13463"/>
    <w:rsid w:val="00A17686"/>
    <w:rsid w:val="00A2045F"/>
    <w:rsid w:val="00A24C46"/>
    <w:rsid w:val="00A271C0"/>
    <w:rsid w:val="00A301C1"/>
    <w:rsid w:val="00A32FA4"/>
    <w:rsid w:val="00A33D0C"/>
    <w:rsid w:val="00A41D7A"/>
    <w:rsid w:val="00A440DF"/>
    <w:rsid w:val="00A4438C"/>
    <w:rsid w:val="00A47CAC"/>
    <w:rsid w:val="00A51E04"/>
    <w:rsid w:val="00A53186"/>
    <w:rsid w:val="00A536FF"/>
    <w:rsid w:val="00A53DF3"/>
    <w:rsid w:val="00A54B4E"/>
    <w:rsid w:val="00A570A6"/>
    <w:rsid w:val="00A611A1"/>
    <w:rsid w:val="00A61E84"/>
    <w:rsid w:val="00A62CDA"/>
    <w:rsid w:val="00A6346A"/>
    <w:rsid w:val="00A6636C"/>
    <w:rsid w:val="00A714CF"/>
    <w:rsid w:val="00A72A04"/>
    <w:rsid w:val="00A76ECC"/>
    <w:rsid w:val="00A80AA8"/>
    <w:rsid w:val="00A867FF"/>
    <w:rsid w:val="00A9046E"/>
    <w:rsid w:val="00A9215D"/>
    <w:rsid w:val="00A951E7"/>
    <w:rsid w:val="00AA4C24"/>
    <w:rsid w:val="00AA7CA6"/>
    <w:rsid w:val="00AA7D6A"/>
    <w:rsid w:val="00AB1A98"/>
    <w:rsid w:val="00AB410D"/>
    <w:rsid w:val="00AB427F"/>
    <w:rsid w:val="00AB5F23"/>
    <w:rsid w:val="00AD06D7"/>
    <w:rsid w:val="00AD2AD3"/>
    <w:rsid w:val="00AD3257"/>
    <w:rsid w:val="00AD3B28"/>
    <w:rsid w:val="00AD49EC"/>
    <w:rsid w:val="00AD4A58"/>
    <w:rsid w:val="00AD4FA4"/>
    <w:rsid w:val="00AD66C6"/>
    <w:rsid w:val="00AD70D6"/>
    <w:rsid w:val="00AD7971"/>
    <w:rsid w:val="00AD7CBC"/>
    <w:rsid w:val="00AE0D84"/>
    <w:rsid w:val="00AE2B1A"/>
    <w:rsid w:val="00AE2F6B"/>
    <w:rsid w:val="00AE5B41"/>
    <w:rsid w:val="00AE5E01"/>
    <w:rsid w:val="00AF3199"/>
    <w:rsid w:val="00AF508E"/>
    <w:rsid w:val="00AF5BD0"/>
    <w:rsid w:val="00B05F38"/>
    <w:rsid w:val="00B06F86"/>
    <w:rsid w:val="00B0733E"/>
    <w:rsid w:val="00B07A9B"/>
    <w:rsid w:val="00B07BF9"/>
    <w:rsid w:val="00B10406"/>
    <w:rsid w:val="00B12036"/>
    <w:rsid w:val="00B308BF"/>
    <w:rsid w:val="00B3145D"/>
    <w:rsid w:val="00B35262"/>
    <w:rsid w:val="00B35947"/>
    <w:rsid w:val="00B367EA"/>
    <w:rsid w:val="00B36EF1"/>
    <w:rsid w:val="00B42664"/>
    <w:rsid w:val="00B44741"/>
    <w:rsid w:val="00B45126"/>
    <w:rsid w:val="00B524B7"/>
    <w:rsid w:val="00B53C80"/>
    <w:rsid w:val="00B56785"/>
    <w:rsid w:val="00B622C7"/>
    <w:rsid w:val="00B62578"/>
    <w:rsid w:val="00B63AAE"/>
    <w:rsid w:val="00B661F2"/>
    <w:rsid w:val="00B70408"/>
    <w:rsid w:val="00B7125A"/>
    <w:rsid w:val="00B71B3E"/>
    <w:rsid w:val="00B734B1"/>
    <w:rsid w:val="00B74DB9"/>
    <w:rsid w:val="00B7661C"/>
    <w:rsid w:val="00B769A2"/>
    <w:rsid w:val="00B807CD"/>
    <w:rsid w:val="00B834B8"/>
    <w:rsid w:val="00B83D1B"/>
    <w:rsid w:val="00B9020A"/>
    <w:rsid w:val="00B936D4"/>
    <w:rsid w:val="00B96359"/>
    <w:rsid w:val="00B97855"/>
    <w:rsid w:val="00BA0699"/>
    <w:rsid w:val="00BA493A"/>
    <w:rsid w:val="00BA53AB"/>
    <w:rsid w:val="00BB18FB"/>
    <w:rsid w:val="00BB3D35"/>
    <w:rsid w:val="00BB3FD2"/>
    <w:rsid w:val="00BC36C3"/>
    <w:rsid w:val="00BC5111"/>
    <w:rsid w:val="00BC5553"/>
    <w:rsid w:val="00BD764F"/>
    <w:rsid w:val="00BE3B5B"/>
    <w:rsid w:val="00BE4B45"/>
    <w:rsid w:val="00C00994"/>
    <w:rsid w:val="00C012B0"/>
    <w:rsid w:val="00C03340"/>
    <w:rsid w:val="00C03B96"/>
    <w:rsid w:val="00C0503F"/>
    <w:rsid w:val="00C12101"/>
    <w:rsid w:val="00C123AD"/>
    <w:rsid w:val="00C12A5C"/>
    <w:rsid w:val="00C1532C"/>
    <w:rsid w:val="00C26AA9"/>
    <w:rsid w:val="00C32F75"/>
    <w:rsid w:val="00C36189"/>
    <w:rsid w:val="00C40E68"/>
    <w:rsid w:val="00C4279D"/>
    <w:rsid w:val="00C43950"/>
    <w:rsid w:val="00C439FD"/>
    <w:rsid w:val="00C54267"/>
    <w:rsid w:val="00C54913"/>
    <w:rsid w:val="00C573FD"/>
    <w:rsid w:val="00C62543"/>
    <w:rsid w:val="00C62674"/>
    <w:rsid w:val="00C63346"/>
    <w:rsid w:val="00C6443D"/>
    <w:rsid w:val="00C66EEA"/>
    <w:rsid w:val="00C67126"/>
    <w:rsid w:val="00C757B8"/>
    <w:rsid w:val="00C764CE"/>
    <w:rsid w:val="00C774C2"/>
    <w:rsid w:val="00C84131"/>
    <w:rsid w:val="00C84588"/>
    <w:rsid w:val="00C8653A"/>
    <w:rsid w:val="00C86D56"/>
    <w:rsid w:val="00CA10B2"/>
    <w:rsid w:val="00CA360D"/>
    <w:rsid w:val="00CA3663"/>
    <w:rsid w:val="00CA371A"/>
    <w:rsid w:val="00CA3B6D"/>
    <w:rsid w:val="00CA6226"/>
    <w:rsid w:val="00CB338E"/>
    <w:rsid w:val="00CB40C9"/>
    <w:rsid w:val="00CB7484"/>
    <w:rsid w:val="00CC030C"/>
    <w:rsid w:val="00CD045D"/>
    <w:rsid w:val="00CD0618"/>
    <w:rsid w:val="00CD3787"/>
    <w:rsid w:val="00CE031A"/>
    <w:rsid w:val="00CE039A"/>
    <w:rsid w:val="00CE0D27"/>
    <w:rsid w:val="00CE2C92"/>
    <w:rsid w:val="00CE4287"/>
    <w:rsid w:val="00CE5B73"/>
    <w:rsid w:val="00CE5BC4"/>
    <w:rsid w:val="00CE6000"/>
    <w:rsid w:val="00CE6A48"/>
    <w:rsid w:val="00CF4B14"/>
    <w:rsid w:val="00CF63BC"/>
    <w:rsid w:val="00D058B6"/>
    <w:rsid w:val="00D05B8A"/>
    <w:rsid w:val="00D075B9"/>
    <w:rsid w:val="00D11E72"/>
    <w:rsid w:val="00D120A1"/>
    <w:rsid w:val="00D12F10"/>
    <w:rsid w:val="00D13908"/>
    <w:rsid w:val="00D15E4A"/>
    <w:rsid w:val="00D17FFC"/>
    <w:rsid w:val="00D22307"/>
    <w:rsid w:val="00D24432"/>
    <w:rsid w:val="00D2721B"/>
    <w:rsid w:val="00D279F3"/>
    <w:rsid w:val="00D34B48"/>
    <w:rsid w:val="00D37B2B"/>
    <w:rsid w:val="00D4481B"/>
    <w:rsid w:val="00D469DA"/>
    <w:rsid w:val="00D473BD"/>
    <w:rsid w:val="00D5097E"/>
    <w:rsid w:val="00D56D5B"/>
    <w:rsid w:val="00D607F7"/>
    <w:rsid w:val="00D60A63"/>
    <w:rsid w:val="00D60BFB"/>
    <w:rsid w:val="00D617FD"/>
    <w:rsid w:val="00D6312A"/>
    <w:rsid w:val="00D658A4"/>
    <w:rsid w:val="00D74DD5"/>
    <w:rsid w:val="00D75198"/>
    <w:rsid w:val="00D84651"/>
    <w:rsid w:val="00D84C6A"/>
    <w:rsid w:val="00D86552"/>
    <w:rsid w:val="00D86E1A"/>
    <w:rsid w:val="00D91714"/>
    <w:rsid w:val="00D933BD"/>
    <w:rsid w:val="00D9448E"/>
    <w:rsid w:val="00D96752"/>
    <w:rsid w:val="00DA0331"/>
    <w:rsid w:val="00DA2661"/>
    <w:rsid w:val="00DA328A"/>
    <w:rsid w:val="00DA33A9"/>
    <w:rsid w:val="00DA49F2"/>
    <w:rsid w:val="00DA4F22"/>
    <w:rsid w:val="00DB0A80"/>
    <w:rsid w:val="00DB11C0"/>
    <w:rsid w:val="00DB6B6E"/>
    <w:rsid w:val="00DC36C9"/>
    <w:rsid w:val="00DC5FA4"/>
    <w:rsid w:val="00DC6665"/>
    <w:rsid w:val="00DC7E30"/>
    <w:rsid w:val="00DD0517"/>
    <w:rsid w:val="00DD28F8"/>
    <w:rsid w:val="00DD3C1D"/>
    <w:rsid w:val="00DD5F07"/>
    <w:rsid w:val="00DD6C95"/>
    <w:rsid w:val="00DE1F94"/>
    <w:rsid w:val="00DE5961"/>
    <w:rsid w:val="00DF0D46"/>
    <w:rsid w:val="00DF1472"/>
    <w:rsid w:val="00DF72C9"/>
    <w:rsid w:val="00E02A46"/>
    <w:rsid w:val="00E065C7"/>
    <w:rsid w:val="00E06B0E"/>
    <w:rsid w:val="00E138B4"/>
    <w:rsid w:val="00E2071B"/>
    <w:rsid w:val="00E21146"/>
    <w:rsid w:val="00E22C2D"/>
    <w:rsid w:val="00E26A6A"/>
    <w:rsid w:val="00E26E6D"/>
    <w:rsid w:val="00E3579E"/>
    <w:rsid w:val="00E35807"/>
    <w:rsid w:val="00E35CC9"/>
    <w:rsid w:val="00E42825"/>
    <w:rsid w:val="00E43611"/>
    <w:rsid w:val="00E4603D"/>
    <w:rsid w:val="00E46C09"/>
    <w:rsid w:val="00E5333D"/>
    <w:rsid w:val="00E54985"/>
    <w:rsid w:val="00E55113"/>
    <w:rsid w:val="00E55D17"/>
    <w:rsid w:val="00E57189"/>
    <w:rsid w:val="00E62687"/>
    <w:rsid w:val="00E63085"/>
    <w:rsid w:val="00E63C9F"/>
    <w:rsid w:val="00E66F21"/>
    <w:rsid w:val="00E67A85"/>
    <w:rsid w:val="00E700C8"/>
    <w:rsid w:val="00E747BA"/>
    <w:rsid w:val="00E768FF"/>
    <w:rsid w:val="00E80D86"/>
    <w:rsid w:val="00E81BEC"/>
    <w:rsid w:val="00E8228A"/>
    <w:rsid w:val="00E82B2E"/>
    <w:rsid w:val="00E920BE"/>
    <w:rsid w:val="00E93A24"/>
    <w:rsid w:val="00EA01DB"/>
    <w:rsid w:val="00EA456B"/>
    <w:rsid w:val="00EA4A73"/>
    <w:rsid w:val="00EA5D97"/>
    <w:rsid w:val="00EB2DDC"/>
    <w:rsid w:val="00EB6FB8"/>
    <w:rsid w:val="00EC0E6C"/>
    <w:rsid w:val="00EC3927"/>
    <w:rsid w:val="00EC647D"/>
    <w:rsid w:val="00ED468D"/>
    <w:rsid w:val="00ED51DC"/>
    <w:rsid w:val="00ED7261"/>
    <w:rsid w:val="00ED7EB1"/>
    <w:rsid w:val="00EE01D9"/>
    <w:rsid w:val="00EE0271"/>
    <w:rsid w:val="00EE0EAF"/>
    <w:rsid w:val="00EE2304"/>
    <w:rsid w:val="00EF0015"/>
    <w:rsid w:val="00EF0C3D"/>
    <w:rsid w:val="00EF10D7"/>
    <w:rsid w:val="00EF5D6F"/>
    <w:rsid w:val="00EF790D"/>
    <w:rsid w:val="00F011F7"/>
    <w:rsid w:val="00F043EF"/>
    <w:rsid w:val="00F140DF"/>
    <w:rsid w:val="00F15F71"/>
    <w:rsid w:val="00F17A9E"/>
    <w:rsid w:val="00F232EB"/>
    <w:rsid w:val="00F322CF"/>
    <w:rsid w:val="00F33933"/>
    <w:rsid w:val="00F37519"/>
    <w:rsid w:val="00F37B0A"/>
    <w:rsid w:val="00F411F7"/>
    <w:rsid w:val="00F44441"/>
    <w:rsid w:val="00F44C3D"/>
    <w:rsid w:val="00F460A4"/>
    <w:rsid w:val="00F47508"/>
    <w:rsid w:val="00F513B6"/>
    <w:rsid w:val="00F577EB"/>
    <w:rsid w:val="00F60465"/>
    <w:rsid w:val="00F62A29"/>
    <w:rsid w:val="00F64852"/>
    <w:rsid w:val="00F64C32"/>
    <w:rsid w:val="00F75E04"/>
    <w:rsid w:val="00F8371F"/>
    <w:rsid w:val="00F8429B"/>
    <w:rsid w:val="00F84C57"/>
    <w:rsid w:val="00F903BD"/>
    <w:rsid w:val="00F907BE"/>
    <w:rsid w:val="00F9081E"/>
    <w:rsid w:val="00F9240B"/>
    <w:rsid w:val="00F95493"/>
    <w:rsid w:val="00F974D7"/>
    <w:rsid w:val="00FA050A"/>
    <w:rsid w:val="00FA1AC5"/>
    <w:rsid w:val="00FA2119"/>
    <w:rsid w:val="00FA36EC"/>
    <w:rsid w:val="00FA547D"/>
    <w:rsid w:val="00FA6AE2"/>
    <w:rsid w:val="00FB005B"/>
    <w:rsid w:val="00FB04E8"/>
    <w:rsid w:val="00FB43A9"/>
    <w:rsid w:val="00FD53E8"/>
    <w:rsid w:val="00FE5192"/>
    <w:rsid w:val="00FE5D0D"/>
    <w:rsid w:val="00FF1197"/>
    <w:rsid w:val="00FF6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C3D"/>
    <w:pPr>
      <w:spacing w:after="0" w:line="240" w:lineRule="auto"/>
    </w:pPr>
  </w:style>
  <w:style w:type="table" w:styleId="TableGrid">
    <w:name w:val="Table Grid"/>
    <w:basedOn w:val="TableNormal"/>
    <w:uiPriority w:val="59"/>
    <w:rsid w:val="00791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12</cp:revision>
  <dcterms:created xsi:type="dcterms:W3CDTF">2012-11-02T08:21:00Z</dcterms:created>
  <dcterms:modified xsi:type="dcterms:W3CDTF">2012-11-15T11:06:00Z</dcterms:modified>
</cp:coreProperties>
</file>