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1FD" w:rsidRDefault="00185751">
      <w:pPr>
        <w:rPr>
          <w:lang w:val="vi-VN"/>
        </w:rPr>
      </w:pPr>
      <w:r>
        <w:rPr>
          <w:lang w:val="vi-VN"/>
        </w:rPr>
        <w:t>Ví dụ thực tiễn:</w:t>
      </w:r>
    </w:p>
    <w:p w:rsidR="00185751" w:rsidRDefault="00185751">
      <w:pPr>
        <w:rPr>
          <w:rFonts w:ascii="Arial" w:hAnsi="Arial" w:cs="Arial"/>
          <w:color w:val="1F2125"/>
          <w:sz w:val="20"/>
          <w:szCs w:val="20"/>
          <w:shd w:val="clear" w:color="auto" w:fill="FFFFFF"/>
          <w:lang w:val="vi-VN"/>
        </w:rPr>
      </w:pPr>
      <w:r w:rsidRPr="00185751">
        <w:rPr>
          <w:rFonts w:ascii="Arial" w:hAnsi="Arial" w:cs="Arial"/>
          <w:color w:val="1F2125"/>
          <w:sz w:val="20"/>
          <w:szCs w:val="20"/>
          <w:shd w:val="clear" w:color="auto" w:fill="FFFFFF"/>
          <w:lang w:val="vi-VN"/>
        </w:rPr>
        <w:t>Vinamilk là nhà sản suất sữa hàng đầu tại Việt Nam. Danh mục sản phẩm của Vinamilk bao gồm: sản phẩm chủ lực là sữa nước và sữa bột; sản phẩm có giá trị cộng thêm như: sữa đặc, yoghurt ăn và yoghurt uống, kem và phô mai.</w:t>
      </w:r>
      <w:r>
        <w:rPr>
          <w:rFonts w:ascii="Arial" w:hAnsi="Arial" w:cs="Arial"/>
          <w:color w:val="1F2125"/>
          <w:sz w:val="20"/>
          <w:szCs w:val="20"/>
          <w:shd w:val="clear" w:color="auto" w:fill="FFFFFF"/>
          <w:lang w:val="vi-VN"/>
        </w:rPr>
        <w:t xml:space="preserve"> Nhưng các bạn có biết để có được thành tựu như vậy thì nguồn cung cấp nguyên liệu có vai trò rất quan trọng</w:t>
      </w:r>
    </w:p>
    <w:p w:rsidR="00185751" w:rsidRDefault="00185751">
      <w:pPr>
        <w:rPr>
          <w:rFonts w:ascii="Arial" w:hAnsi="Arial" w:cs="Arial"/>
          <w:color w:val="1F2125"/>
          <w:sz w:val="20"/>
          <w:szCs w:val="20"/>
          <w:shd w:val="clear" w:color="auto" w:fill="FFFFFF"/>
          <w:lang w:val="vi-VN"/>
        </w:rPr>
      </w:pPr>
    </w:p>
    <w:p w:rsidR="00185751" w:rsidRDefault="00185751">
      <w:pPr>
        <w:rPr>
          <w:lang w:val="vi-VN"/>
        </w:rPr>
      </w:pPr>
      <w:r>
        <w:rPr>
          <w:noProof/>
        </w:rPr>
        <w:drawing>
          <wp:inline distT="0" distB="0" distL="0" distR="0">
            <wp:extent cx="5943235" cy="276063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7d7d2-2eca-697a-1208-39ff8adb41c6.jpeg"/>
                    <pic:cNvPicPr/>
                  </pic:nvPicPr>
                  <pic:blipFill>
                    <a:blip r:embed="rId5">
                      <a:extLst>
                        <a:ext uri="{28A0092B-C50C-407E-A947-70E740481C1C}">
                          <a14:useLocalDpi xmlns:a14="http://schemas.microsoft.com/office/drawing/2010/main" val="0"/>
                        </a:ext>
                      </a:extLst>
                    </a:blip>
                    <a:stretch>
                      <a:fillRect/>
                    </a:stretch>
                  </pic:blipFill>
                  <pic:spPr>
                    <a:xfrm>
                      <a:off x="0" y="0"/>
                      <a:ext cx="5972258" cy="2774119"/>
                    </a:xfrm>
                    <a:prstGeom prst="rect">
                      <a:avLst/>
                    </a:prstGeom>
                  </pic:spPr>
                </pic:pic>
              </a:graphicData>
            </a:graphic>
          </wp:inline>
        </w:drawing>
      </w:r>
    </w:p>
    <w:p w:rsidR="00185751" w:rsidRDefault="00185751">
      <w:pPr>
        <w:rPr>
          <w:lang w:val="vi-VN"/>
        </w:rPr>
      </w:pPr>
    </w:p>
    <w:p w:rsidR="00185751" w:rsidRPr="00A6042D" w:rsidRDefault="00E549D1" w:rsidP="00185751">
      <w:pPr>
        <w:pStyle w:val="ListParagraph"/>
        <w:numPr>
          <w:ilvl w:val="0"/>
          <w:numId w:val="1"/>
        </w:numPr>
        <w:rPr>
          <w:sz w:val="24"/>
          <w:szCs w:val="24"/>
          <w:lang w:val="vi-VN"/>
        </w:rPr>
      </w:pPr>
      <w:r>
        <w:rPr>
          <w:rFonts w:ascii="Arial" w:hAnsi="Arial" w:cs="Arial"/>
          <w:color w:val="212529"/>
          <w:sz w:val="24"/>
          <w:szCs w:val="24"/>
          <w:shd w:val="clear" w:color="auto" w:fill="FFFFFF"/>
          <w:lang w:val="vi-VN"/>
        </w:rPr>
        <w:t xml:space="preserve">Để có được nguồn sữa tốt </w:t>
      </w:r>
      <w:r w:rsidR="00D826A7">
        <w:rPr>
          <w:rFonts w:ascii="Arial" w:hAnsi="Arial" w:cs="Arial"/>
          <w:color w:val="212529"/>
          <w:sz w:val="24"/>
          <w:szCs w:val="24"/>
          <w:shd w:val="clear" w:color="auto" w:fill="FFFFFF"/>
          <w:lang w:val="vi-VN"/>
        </w:rPr>
        <w:t>nhất, chất lượng nhất để đưa vào sản xuất</w:t>
      </w:r>
      <w:r>
        <w:rPr>
          <w:rFonts w:ascii="Arial" w:hAnsi="Arial" w:cs="Arial"/>
          <w:color w:val="212529"/>
          <w:sz w:val="24"/>
          <w:szCs w:val="24"/>
          <w:shd w:val="clear" w:color="auto" w:fill="FFFFFF"/>
          <w:lang w:val="vi-VN"/>
        </w:rPr>
        <w:t>, thì c</w:t>
      </w:r>
      <w:r w:rsidR="00A6042D" w:rsidRPr="00A6042D">
        <w:rPr>
          <w:rFonts w:ascii="Arial" w:hAnsi="Arial" w:cs="Arial"/>
          <w:color w:val="212529"/>
          <w:sz w:val="24"/>
          <w:szCs w:val="24"/>
          <w:shd w:val="clear" w:color="auto" w:fill="FFFFFF"/>
          <w:lang w:val="vi-VN"/>
        </w:rPr>
        <w:t>ông ty đang hợp tác và ký hợp đồng trực tiếp với gần 6.000 hộ chăn nuôi bò sữa. Đàn bò đang cung cấp sữa cho Vinamilk hiện có gần 130.000 con với sản lượng sữa tươi nguyên liệu bình quân từ 950 – 1.000 tấn/ngày.</w:t>
      </w:r>
    </w:p>
    <w:p w:rsidR="00A6042D" w:rsidRDefault="00D826A7" w:rsidP="00A6042D">
      <w:pPr>
        <w:numPr>
          <w:ilvl w:val="0"/>
          <w:numId w:val="1"/>
        </w:numPr>
        <w:spacing w:after="150" w:line="240" w:lineRule="auto"/>
        <w:textAlignment w:val="baseline"/>
        <w:rPr>
          <w:rFonts w:ascii="Helvetica" w:eastAsia="Times New Roman" w:hAnsi="Helvetica" w:cs="Helvetica"/>
          <w:color w:val="000000"/>
          <w:sz w:val="24"/>
          <w:szCs w:val="24"/>
          <w:lang w:val="vi-VN"/>
        </w:rPr>
      </w:pPr>
      <w:r>
        <w:rPr>
          <w:rFonts w:ascii="Helvetica" w:eastAsia="Times New Roman" w:hAnsi="Helvetica" w:cs="Helvetica"/>
          <w:color w:val="000000"/>
          <w:sz w:val="24"/>
          <w:szCs w:val="24"/>
          <w:lang w:val="vi-VN"/>
        </w:rPr>
        <w:t>Trang trại bò sữa phải đảm bảo</w:t>
      </w:r>
      <w:r w:rsidR="00A6042D" w:rsidRPr="00A6042D">
        <w:rPr>
          <w:rFonts w:ascii="Helvetica" w:eastAsia="Times New Roman" w:hAnsi="Helvetica" w:cs="Helvetica"/>
          <w:color w:val="000000"/>
          <w:sz w:val="24"/>
          <w:szCs w:val="24"/>
          <w:lang w:val="vi-VN"/>
        </w:rPr>
        <w:t xml:space="preserve"> hoàn toàn không sử dụng hóa chất, thuốc trừ sâu tổng hợp, phân tổng hợp, phụ gia thực phẩm cũng như những chất hỗ trợ, kích thích khác.</w:t>
      </w:r>
    </w:p>
    <w:p w:rsidR="00E549D1" w:rsidRDefault="00E549D1" w:rsidP="00E549D1">
      <w:pPr>
        <w:spacing w:after="150" w:line="240" w:lineRule="auto"/>
        <w:ind w:left="720"/>
        <w:textAlignment w:val="baseline"/>
        <w:rPr>
          <w:rFonts w:ascii="Helvetica" w:eastAsia="Times New Roman" w:hAnsi="Helvetica" w:cs="Helvetica"/>
          <w:color w:val="000000"/>
          <w:sz w:val="24"/>
          <w:szCs w:val="24"/>
          <w:lang w:val="vi-VN"/>
        </w:rPr>
      </w:pPr>
    </w:p>
    <w:p w:rsidR="00E549D1" w:rsidRDefault="00E549D1" w:rsidP="00E549D1">
      <w:pPr>
        <w:spacing w:after="150" w:line="240" w:lineRule="auto"/>
        <w:ind w:left="720"/>
        <w:textAlignment w:val="baseline"/>
        <w:rPr>
          <w:rFonts w:ascii="Helvetica" w:eastAsia="Times New Roman" w:hAnsi="Helvetica" w:cs="Helvetica"/>
          <w:color w:val="000000"/>
          <w:sz w:val="24"/>
          <w:szCs w:val="24"/>
          <w:lang w:val="vi-VN"/>
        </w:rPr>
      </w:pPr>
      <w:bookmarkStart w:id="0" w:name="_GoBack"/>
      <w:r>
        <w:rPr>
          <w:rFonts w:ascii="Helvetica" w:eastAsia="Times New Roman" w:hAnsi="Helvetica" w:cs="Helvetica"/>
          <w:noProof/>
          <w:color w:val="000000"/>
          <w:sz w:val="24"/>
          <w:szCs w:val="24"/>
        </w:rPr>
        <w:lastRenderedPageBreak/>
        <w:drawing>
          <wp:inline distT="0" distB="0" distL="0" distR="0">
            <wp:extent cx="5943600" cy="31769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IMG_1808-768x512.jpg"/>
                    <pic:cNvPicPr/>
                  </pic:nvPicPr>
                  <pic:blipFill>
                    <a:blip r:embed="rId6">
                      <a:extLst>
                        <a:ext uri="{28A0092B-C50C-407E-A947-70E740481C1C}">
                          <a14:useLocalDpi xmlns:a14="http://schemas.microsoft.com/office/drawing/2010/main" val="0"/>
                        </a:ext>
                      </a:extLst>
                    </a:blip>
                    <a:stretch>
                      <a:fillRect/>
                    </a:stretch>
                  </pic:blipFill>
                  <pic:spPr>
                    <a:xfrm>
                      <a:off x="0" y="0"/>
                      <a:ext cx="5956576" cy="3183890"/>
                    </a:xfrm>
                    <a:prstGeom prst="rect">
                      <a:avLst/>
                    </a:prstGeom>
                  </pic:spPr>
                </pic:pic>
              </a:graphicData>
            </a:graphic>
          </wp:inline>
        </w:drawing>
      </w:r>
      <w:bookmarkEnd w:id="0"/>
    </w:p>
    <w:p w:rsidR="00E549D1" w:rsidRDefault="00E549D1" w:rsidP="00E549D1">
      <w:pPr>
        <w:spacing w:after="150" w:line="240" w:lineRule="auto"/>
        <w:ind w:left="720"/>
        <w:textAlignment w:val="baseline"/>
        <w:rPr>
          <w:rFonts w:ascii="Helvetica" w:eastAsia="Times New Roman" w:hAnsi="Helvetica" w:cs="Helvetica"/>
          <w:color w:val="000000"/>
          <w:sz w:val="24"/>
          <w:szCs w:val="24"/>
          <w:lang w:val="vi-VN"/>
        </w:rPr>
      </w:pPr>
    </w:p>
    <w:p w:rsidR="00E549D1" w:rsidRDefault="00E549D1" w:rsidP="00E549D1">
      <w:pPr>
        <w:spacing w:after="150" w:line="240" w:lineRule="auto"/>
        <w:ind w:left="720"/>
        <w:textAlignment w:val="baseline"/>
        <w:rPr>
          <w:rFonts w:ascii="Helvetica" w:eastAsia="Times New Roman" w:hAnsi="Helvetica" w:cs="Helvetica"/>
          <w:color w:val="000000"/>
          <w:sz w:val="24"/>
          <w:szCs w:val="24"/>
          <w:lang w:val="vi-VN"/>
        </w:rPr>
      </w:pPr>
    </w:p>
    <w:p w:rsidR="00E549D1" w:rsidRDefault="00E549D1" w:rsidP="00E549D1">
      <w:pPr>
        <w:spacing w:after="150" w:line="240" w:lineRule="auto"/>
        <w:ind w:left="720"/>
        <w:textAlignment w:val="baseline"/>
        <w:rPr>
          <w:rFonts w:ascii="Helvetica" w:eastAsia="Times New Roman" w:hAnsi="Helvetica" w:cs="Helvetica"/>
          <w:color w:val="000000"/>
          <w:sz w:val="24"/>
          <w:szCs w:val="24"/>
          <w:lang w:val="vi-VN"/>
        </w:rPr>
      </w:pPr>
    </w:p>
    <w:p w:rsidR="00E549D1" w:rsidRPr="00A6042D" w:rsidRDefault="00E549D1" w:rsidP="00E549D1">
      <w:pPr>
        <w:spacing w:after="150" w:line="240" w:lineRule="auto"/>
        <w:ind w:left="720"/>
        <w:textAlignment w:val="baseline"/>
        <w:rPr>
          <w:rFonts w:ascii="Helvetica" w:eastAsia="Times New Roman" w:hAnsi="Helvetica" w:cs="Helvetica"/>
          <w:color w:val="000000"/>
          <w:sz w:val="24"/>
          <w:szCs w:val="24"/>
          <w:lang w:val="vi-VN"/>
        </w:rPr>
      </w:pPr>
    </w:p>
    <w:p w:rsidR="00A6042D" w:rsidRPr="00A6042D" w:rsidRDefault="00A6042D" w:rsidP="00A6042D">
      <w:pPr>
        <w:numPr>
          <w:ilvl w:val="0"/>
          <w:numId w:val="1"/>
        </w:numPr>
        <w:spacing w:after="150" w:line="240" w:lineRule="auto"/>
        <w:textAlignment w:val="baseline"/>
        <w:rPr>
          <w:rFonts w:ascii="Helvetica" w:eastAsia="Times New Roman" w:hAnsi="Helvetica" w:cs="Helvetica"/>
          <w:color w:val="000000"/>
          <w:sz w:val="24"/>
          <w:szCs w:val="24"/>
          <w:lang w:val="vi-VN"/>
        </w:rPr>
      </w:pPr>
      <w:r w:rsidRPr="00A6042D">
        <w:rPr>
          <w:rFonts w:ascii="Helvetica" w:eastAsia="Times New Roman" w:hAnsi="Helvetica" w:cs="Helvetica"/>
          <w:color w:val="000000"/>
          <w:sz w:val="24"/>
          <w:szCs w:val="24"/>
          <w:lang w:val="vi-VN"/>
        </w:rPr>
        <w:t>Trang trại cũng tuyệt đối không sử dụng các chất biến đổi gen. Nguồn sữa hữu cơ nguyên liệu từ trang trại hoàn toàn không có dư lượng kháng sinh và không có hormone tăng trưởng. Bò cũng được cho ăn bằng thực phẩm 100% hữu cơ.</w:t>
      </w:r>
    </w:p>
    <w:p w:rsidR="00A6042D" w:rsidRPr="00A6042D" w:rsidRDefault="00A6042D" w:rsidP="00A6042D">
      <w:pPr>
        <w:numPr>
          <w:ilvl w:val="0"/>
          <w:numId w:val="1"/>
        </w:numPr>
        <w:spacing w:after="150" w:line="240" w:lineRule="auto"/>
        <w:textAlignment w:val="baseline"/>
        <w:rPr>
          <w:rFonts w:ascii="Helvetica" w:eastAsia="Times New Roman" w:hAnsi="Helvetica" w:cs="Helvetica"/>
          <w:color w:val="000000"/>
          <w:sz w:val="24"/>
          <w:szCs w:val="24"/>
          <w:lang w:val="vi-VN"/>
        </w:rPr>
      </w:pPr>
      <w:r w:rsidRPr="00A6042D">
        <w:rPr>
          <w:rFonts w:ascii="Helvetica" w:eastAsia="Times New Roman" w:hAnsi="Helvetica" w:cs="Helvetica"/>
          <w:color w:val="000000"/>
          <w:sz w:val="24"/>
          <w:szCs w:val="24"/>
          <w:lang w:val="vi-VN"/>
        </w:rPr>
        <w:t>Ở các trang trại hữu cơ gia súc được chăn nuôi tự do, hệ thống chuồng trại mở</w:t>
      </w:r>
      <w:r w:rsidR="00E549D1">
        <w:rPr>
          <w:rFonts w:ascii="Helvetica" w:eastAsia="Times New Roman" w:hAnsi="Helvetica" w:cs="Helvetica"/>
          <w:color w:val="000000"/>
          <w:sz w:val="24"/>
          <w:szCs w:val="24"/>
          <w:lang w:val="vi-VN"/>
        </w:rPr>
        <w:t xml:space="preserve"> và được cho ăn thức ăn hữu cơ,</w:t>
      </w:r>
      <w:r w:rsidRPr="00A6042D">
        <w:rPr>
          <w:rFonts w:ascii="Helvetica" w:eastAsia="Times New Roman" w:hAnsi="Helvetica" w:cs="Helvetica"/>
          <w:color w:val="000000"/>
          <w:sz w:val="24"/>
          <w:szCs w:val="24"/>
          <w:lang w:val="vi-VN"/>
        </w:rPr>
        <w:t>bò hoàn toàn được tự do lựa chọn cho việc ra đồng cỏ, sân chơi khi điều kiện thời tiết thuận lợi. Tuy nhiên khi trời mưa, nắng nóng thì bò cũng có thể tự do trở về chuồng nơi được trang bị hệ thống làm mát vận hành hoàn toàn tự động, nệm nằm êm như khách sạn để nghỉ ngơi…</w:t>
      </w:r>
    </w:p>
    <w:p w:rsidR="00A6042D" w:rsidRPr="00185751" w:rsidRDefault="00A6042D" w:rsidP="00A6042D">
      <w:pPr>
        <w:pStyle w:val="ListParagraph"/>
        <w:rPr>
          <w:lang w:val="vi-VN"/>
        </w:rPr>
      </w:pPr>
    </w:p>
    <w:sectPr w:rsidR="00A6042D" w:rsidRPr="0018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30C"/>
    <w:multiLevelType w:val="hybridMultilevel"/>
    <w:tmpl w:val="47CCC180"/>
    <w:lvl w:ilvl="0" w:tplc="EE303F7E">
      <w:numFmt w:val="bullet"/>
      <w:lvlText w:val="-"/>
      <w:lvlJc w:val="left"/>
      <w:pPr>
        <w:ind w:left="720" w:hanging="360"/>
      </w:pPr>
      <w:rPr>
        <w:rFonts w:ascii="Arial" w:eastAsiaTheme="minorHAnsi" w:hAnsi="Arial" w:cs="Aria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4501"/>
    <w:multiLevelType w:val="multilevel"/>
    <w:tmpl w:val="EF6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1"/>
    <w:rsid w:val="00185751"/>
    <w:rsid w:val="005111FD"/>
    <w:rsid w:val="00A6042D"/>
    <w:rsid w:val="00D826A7"/>
    <w:rsid w:val="00E5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3D3E"/>
  <w15:chartTrackingRefBased/>
  <w15:docId w15:val="{BE88777A-1A0D-4233-A4A7-DB1840FD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7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2022-11-30T07:26:00Z</dcterms:created>
  <dcterms:modified xsi:type="dcterms:W3CDTF">2022-11-30T08:24:00Z</dcterms:modified>
</cp:coreProperties>
</file>