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820" w:right="819"/>
        <w:jc w:val="center"/>
      </w:pPr>
      <w:r>
        <w:rPr>
          <w:rFonts w:ascii="Times New Roman" w:hAnsi="Times New Roman"/>
          <w:b/>
          <w:i w:val="0"/>
          <w:color w:val="000000"/>
          <w:sz w:val="29"/>
        </w:rPr>
        <w:t xml:space="preserve">Hierarchical GRU with Input-Conditioned Slot Queries </w:t>
      </w:r>
      <w:r>
        <w:rPr>
          <w:rFonts w:ascii="Times New Roman" w:hAnsi="Times New Roman"/>
          <w:b/>
          <w:i w:val="0"/>
          <w:color w:val="000000"/>
          <w:sz w:val="29"/>
        </w:rPr>
        <w:t xml:space="preserve">for Ball Action Anticipation </w:t>
      </w:r>
    </w:p>
    <w:p>
      <w:pPr>
        <w:spacing w:before="509" w:after="40"/>
        <w:ind w:left="2254" w:right="2254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Parthsarthi Rawat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GameChanger by Dick’s Sporting Goods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sarthi.rawat@gc.com </w:t>
      </w:r>
    </w:p>
    <w:p>
      <w:pPr>
        <w:pStyle w:val="Heading1"/>
        <w:spacing w:before="603" w:after="40"/>
        <w:ind w:left="1188" w:right="6363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Abstract </w:t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GRU Aggregator.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encoded window is reduced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summary vectors via adaptive average pooling, yield-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=48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sequential steps: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single-layer GRU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processes these in temporal order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produce memory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}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A learn-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able parameter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γ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per window yields importance 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α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γ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scaling all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steps of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uniformly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let the model downweight uninformative early windows. </w:t>
      </w:r>
    </w:p>
    <w:p>
      <w:pPr>
        <w:spacing w:before="0" w:after="40"/>
        <w:ind w:left="0" w:right="44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present a hierarchical model for ball action anticipation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 football broadcast video. Given a 30-second observa-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window, the system predicts actions occurring in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subsequent 5-second window across 10 classes. A shared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local Transformer encodes clip-level features within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5-second sub-window; a GRU then aggregates temporal con-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text across all sub-windows; finally, a Transformer decoder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input-conditioned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event slots decodes the anticipa-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tion target via three decoupled heads (objectness, class, tem-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poral offset). We introduce frequency-reweighted Hungarian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that systematically favours rare action classes,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Gaussian soft targets for temporal bin supervision. On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SoccerNet Ball Action Anticipation benchmark, our method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17.91%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mAP on the test server. </w:t>
      </w:r>
    </w:p>
    <w:p>
      <w:pPr>
        <w:pStyle w:val="Heading2"/>
        <w:spacing w:before="0" w:after="40"/>
        <w:ind w:left="4445" w:right="604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1.3. Input-Conditioned Slot Decoder </w:t>
      </w:r>
    </w:p>
    <w:p>
      <w:pPr>
        <w:spacing w:before="106" w:after="40"/>
        <w:ind w:left="4436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maintain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learnable slot embeddings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Un-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like fixed static queries, each slot is seeded with a context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vector derived from the GRU output before decoding: </w:t>
      </w:r>
    </w:p>
    <w:p>
      <w:pPr>
        <w:spacing w:before="190" w:after="40"/>
        <w:ind w:left="6136" w:right="2001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</w:p>
    <w:p>
      <w:pPr>
        <w:spacing w:before="0" w:after="40"/>
        <w:ind w:left="6519" w:right="1633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X </w:t>
      </w:r>
    </w:p>
    <w:p>
      <w:pPr>
        <w:spacing w:before="0" w:after="40"/>
        <w:ind w:left="7037" w:right="124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! </w:t>
      </w:r>
    </w:p>
    <w:p>
      <w:pPr>
        <w:spacing w:before="0" w:after="40"/>
        <w:ind w:left="4741" w:right="2314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q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ctx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=1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h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t </w:t>
      </w:r>
    </w:p>
    <w:p>
      <w:pPr>
        <w:pStyle w:val="Caption"/>
        <w:spacing w:before="0" w:after="40"/>
        <w:ind w:left="7228" w:right="0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K.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(1)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input-conditioned query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mechanism allows slots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adapt their initial state to the specific observation sequence,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rather than starting from a globally fixed point. The queries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attend to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via a 4-layer Transformer decoder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(cross-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attention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self-attention per layer,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heads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FFN dim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1024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</w:t>
      </w:r>
    </w:p>
    <w:p>
      <w:pPr>
        <w:pStyle w:val="Heading1"/>
        <w:spacing w:before="0" w:after="40"/>
        <w:ind w:left="0" w:right="813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1. Method </w:t>
      </w:r>
    </w:p>
    <w:p>
      <w:pPr>
        <w:pStyle w:val="Heading2"/>
        <w:spacing w:before="207" w:after="40"/>
        <w:ind w:left="0" w:right="7012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1.1. Feature Extraction </w:t>
      </w:r>
    </w:p>
    <w:p>
      <w:pPr>
        <w:spacing w:before="187" w:after="40"/>
        <w:ind w:left="0" w:right="44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We use a frozen video feature backbone from lRomul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(EfficientNetV2-B0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with InvertedResidual3d blocks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GeM pooling), pre-trained on SoccerNet Ball Action Spot-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ting. Each 5-second window at 25 fps is divided into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N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=33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clips, producing a sequence of 1280-dimensional feature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vectors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1280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full 30-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second observation is represented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such windows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{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. . . ,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}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Decoupled prediction heads.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Each slot’s output vector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drives three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independent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linear heads: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⊤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(2) </w:t>
      </w:r>
    </w:p>
    <w:p>
      <w:pPr>
        <w:spacing w:before="49" w:after="40"/>
        <w:ind w:left="499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softmax(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=10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(3) </w:t>
      </w:r>
    </w:p>
    <w:p>
      <w:pPr>
        <w:spacing w:before="58" w:after="40"/>
        <w:ind w:left="4989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softmax(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z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∆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=32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(4) </w:t>
      </w:r>
    </w:p>
    <w:p>
      <w:pPr>
        <w:pStyle w:val="Heading2"/>
        <w:spacing w:before="248" w:after="40"/>
        <w:ind w:left="0" w:right="5803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1.2. Hierarchical Temporal Encoder </w:t>
      </w:r>
    </w:p>
    <w:p>
      <w:pPr>
        <w:spacing w:before="0" w:after="40"/>
        <w:ind w:left="4445" w:right="0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Separating objectness from class probability eliminates the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background-class collapse that arises in a joint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C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softmax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head. At inference, slots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obj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&gt;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(threshold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emit a prediction; the temporal position is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30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000 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arg max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·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5000 </w:t>
      </w:r>
    </w:p>
    <w:p>
      <w:pPr>
        <w:spacing w:before="0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Local Transformer.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2-layer pre-LN self-attention Trans-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former (shared weights across all windows) encodes clip in-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teractions within each window. Input features are projected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=256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and summed with learnable clip position embed-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dings. Stochastic depth (DropPath,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regularises each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residual branch. The output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33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captures intra-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window temporal patterns for window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0" w:after="40"/>
        <w:ind w:left="6401" w:right="1477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ms. </w:t>
      </w:r>
    </w:p>
    <w:p>
      <w:pPr>
        <w:pStyle w:val="Heading2"/>
        <w:spacing w:before="99" w:after="40"/>
        <w:ind w:left="4445" w:right="2799"/>
      </w:pPr>
      <w:r>
        <w:rPr>
          <w:rFonts w:ascii="Times New Roman" w:hAnsi="Times New Roman"/>
          <w:b/>
          <w:i w:val="0"/>
          <w:color w:val="000000"/>
          <w:sz w:val="22"/>
        </w:rPr>
        <w:t xml:space="preserve">1.4. Training </w:t>
      </w:r>
    </w:p>
    <w:p>
      <w:pPr>
        <w:spacing w:before="135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Frequency-reweighted Hungarian matching.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solve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linear assignment between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slots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ground-truth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events in the anticipation window.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Standard Hungarian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matching neglects class imbalance: rare ground-truth (GT)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events incur high classification cost and are systematically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left unmatched. We correct this by dividing the cost of match-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slot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GT event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by the inverse-frequency 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of the GT class: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+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(5) </w:t>
      </w:r>
    </w:p>
    <w:p>
      <w:pPr>
        <w:spacing w:before="214" w:after="40"/>
        <w:ind w:left="0" w:right="44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where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p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cls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off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k,m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|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the argmax bin,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is the offset cost weight,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28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46]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are pre-computed from training set fre-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quencies. Lower cost for rare classes makes them preferred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assignments. </w:t>
      </w:r>
    </w:p>
    <w:p>
      <w:pPr>
        <w:spacing w:before="409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Losses.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Matched slot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GT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receives: (i) object-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ness BCE(1) with pos weight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(ii) class CE with label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smoothing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ε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(iii) Gaussian soft-target offset CE. Un-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matched slots receive only objectness BCE(0). </w:t>
      </w:r>
    </w:p>
    <w:p>
      <w:pPr>
        <w:spacing w:before="413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Gaussian soft targets.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Rather than one-hot bin supervi-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sion, we centre a Gaussian on the GT bin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and normalise: </w:t>
      </w:r>
    </w:p>
    <w:p>
      <w:pPr>
        <w:spacing w:before="212" w:after="40"/>
        <w:ind w:left="0" w:right="7368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exp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</w:p>
    <w:p>
      <w:pPr>
        <w:spacing w:before="0" w:after="40"/>
        <w:ind w:left="992" w:right="6193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/σ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</w:p>
    <w:p>
      <w:pPr>
        <w:spacing w:before="0" w:after="40"/>
        <w:ind w:left="1153" w:right="4432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′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/σ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σ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(6) </w:t>
      </w:r>
    </w:p>
    <w:p>
      <w:pPr>
        <w:spacing w:before="0" w:after="40"/>
        <w:ind w:left="234" w:right="7995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P </w:t>
      </w:r>
    </w:p>
    <w:p>
      <w:pPr>
        <w:spacing w:before="0" w:after="40"/>
        <w:ind w:left="444" w:right="7207"/>
        <w:jc w:val="both"/>
      </w:pPr>
      <w:r>
        <w:rPr>
          <w:rFonts w:ascii="Times New Roman" w:hAnsi="Times New Roman"/>
          <w:b w:val="0"/>
          <w:i w:val="0"/>
          <w:color w:val="000000"/>
          <w:sz w:val="14"/>
        </w:rPr>
        <w:t xml:space="preserve">b </w:t>
      </w:r>
      <w:r>
        <w:rPr>
          <w:rFonts w:ascii="Times New Roman" w:hAnsi="Times New Roman"/>
          <w:b w:val="0"/>
          <w:i w:val="0"/>
          <w:color w:val="000000"/>
          <w:sz w:val="10"/>
        </w:rPr>
        <w:t xml:space="preserve">′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exp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1 </w:t>
      </w:r>
    </w:p>
    <w:p>
      <w:pPr>
        <w:spacing w:before="214" w:after="40"/>
        <w:ind w:left="0" w:right="4412"/>
        <w:jc w:val="both"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This penalises temporally distant misplacements more than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adjacent ones, yielding smoother gradients and better server-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time mAP. </w:t>
      </w:r>
    </w:p>
    <w:p>
      <w:pPr>
        <w:spacing w:before="413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Class-imbalance handling.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weighted random sam-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pler boosts rare classes: T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ACKLE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S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HOT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/B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LOCK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ROSS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/T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HROW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 </w:t>
      </w:r>
      <w:r>
        <w:rPr>
          <w:rFonts w:ascii="Times New Roman" w:hAnsi="Times New Roman"/>
          <w:b w:val="0"/>
          <w:i w:val="0"/>
          <w:color w:val="000000"/>
          <w:sz w:val="16"/>
        </w:rPr>
        <w:t xml:space="preserve">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Feature MixUp.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Input features are mixed as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mix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x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Beta(0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]. Hungarian match-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ing runs against each source sample’s GT independently;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losses combine as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i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+ (1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λ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L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j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</w:p>
    <w:p>
      <w:pPr>
        <w:spacing w:before="389" w:after="40"/>
        <w:ind w:left="0" w:right="4412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Auxiliary observation head.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 1D-CNN head (two conv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layers) on the last window’s encoder tokens predicts per-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frame action presence using focal BCE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obs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relative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to the anticipation loss). </w:t>
      </w:r>
    </w:p>
    <w:p>
      <w:pPr>
        <w:spacing w:before="413" w:after="40"/>
        <w:ind w:left="0" w:right="442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Optimisation.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optimise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AdamW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lr=1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10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−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4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weight decay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), applying a 5-epoch linear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warmup then cosine annealing with warm restarts 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=50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mult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=2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). Gradients are clipped at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; training uses BF16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mixed precision with batch size 32 on a single GPU. </w:t>
      </w:r>
    </w:p>
    <w:p>
      <w:pPr>
        <w:pStyle w:val="Heading1"/>
        <w:spacing w:before="0" w:after="40"/>
        <w:ind w:left="4445" w:right="245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 Experiments </w:t>
      </w:r>
    </w:p>
    <w:p>
      <w:pPr>
        <w:spacing w:before="171" w:after="40"/>
        <w:ind w:left="4438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Dataset.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SoccerNet Ball Action Anticipation (BAA)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comprises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900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training clips from football broadcast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video, annotated with 10 ball-action classes, plus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≈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400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held-out test clips and a blind challenge split evaluated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server-side. Given a 30-second observation window, the task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is to predict actions in the following 5-second anticipation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window. The metric is mAP over six temporal tolerances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(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–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s and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∞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): a prediction is a true positive if its timestamp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lies within the tolerance of a ground-truth event. </w:t>
      </w:r>
    </w:p>
    <w:p>
      <w:pPr>
        <w:spacing w:before="342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Results.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The organizer-provided FAANTRA baseline [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7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]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achieves 18.05% mAP on the test server. Table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reports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our results; our single-model score is competitive without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end-to-end backbone fine-tuning. </w:t>
      </w:r>
    </w:p>
    <w:p>
      <w:pPr>
        <w:pStyle w:val="Caption"/>
        <w:spacing w:before="255" w:after="40"/>
        <w:ind w:left="4439" w:right="0"/>
        <w:jc w:val="left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Table 1. mAP (%) at each tolerance. Best checkpoint (epoch 17,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obj threshold 0.3).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75324" cy="5975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75324" cy="597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7" w:after="40"/>
        <w:ind w:left="4445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Ablation: threshold sensitivity.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Dropping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τ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from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3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to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floods each clip with predictions (2.9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→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15.3 per clip,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5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×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increase), and server mAP falls from 17.91% to 13.96%,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confirming that low-confidence slots produce predominantly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noisy outputs on the held-out set. </w:t>
      </w:r>
    </w:p>
    <w:p>
      <w:pPr>
        <w:spacing w:before="342" w:after="40"/>
        <w:ind w:left="4438" w:right="0"/>
        <w:jc w:val="both"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Ablation: input-conditioned queries.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Replacing Eq.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( </w:t>
      </w:r>
      <w:r>
        <w:rPr>
          <w:rFonts w:ascii="Times New Roman" w:hAnsi="Times New Roman"/>
          <w:b w:val="0"/>
          <w:i w:val="0"/>
          <w:color w:val="367DBD"/>
          <w:sz w:val="20"/>
        </w:rPr>
        <w:t xml:space="preserve">1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with purely static slot embeddings (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q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= </w:t>
      </w:r>
      <w:r>
        <w:rPr>
          <w:rFonts w:ascii="Times New Roman" w:hAnsi="Times New Roman"/>
          <w:b/>
          <w:i w:val="0"/>
          <w:color w:val="000000"/>
          <w:sz w:val="20"/>
        </w:rPr>
        <w:t xml:space="preserve"> e </w:t>
      </w:r>
      <w:r>
        <w:rPr>
          <w:rFonts w:ascii="Times New Roman" w:hAnsi="Times New Roman"/>
          <w:b w:val="0"/>
          <w:i w:val="0"/>
          <w:color w:val="000000"/>
          <w:sz w:val="14"/>
        </w:rPr>
        <w:t xml:space="preserve">k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) degraded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validation mAP by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 ∼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0.8 percentage points, demonstrating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that seeding queries from the GRU summary provides a </w:t>
      </w:r>
      <w:r>
        <w:rPr>
          <w:rFonts w:ascii="Times New Roman" w:hAnsi="Times New Roman"/>
          <w:b w:val="0"/>
          <w:i w:val="0"/>
          <w:color w:val="000000"/>
          <w:sz w:val="20"/>
        </w:rPr>
        <w:t xml:space="preserve">useful initialisation signal. </w:t>
      </w:r>
    </w:p>
    <w:p>
      <w:pPr>
        <w:pStyle w:val="Heading1"/>
        <w:spacing w:before="254" w:after="40"/>
        <w:ind w:left="4445" w:right="2884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References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[1]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Roman Solovyev. Ball action spotting. </w:t>
      </w:r>
      <w:hyperlink r:id="rId11">
        <w:r>
          <w:rPr>
            <w:color w:val="0563C1"/>
            <w:u w:val="single"/>
            <w:rFonts w:ascii="Times New Roman" w:hAnsi="Times New Roman"/>
            <w:sz w:val="18"/>
            <w:szCs w:val="18"/>
          </w:rPr>
          <w:t xml:space="preserve"> https://github. </w:t>
        </w:r>
      </w:hyperlink>
      <w:hyperlink r:id="rId11">
        <w:r>
          <w:rPr>
            <w:color w:val="0563C1"/>
            <w:u w:val="single"/>
            <w:rFonts w:ascii="Times New Roman" w:hAnsi="Times New Roman"/>
            <w:sz w:val="18"/>
            <w:szCs w:val="18"/>
          </w:rPr>
          <w:t xml:space="preserve">com/lRomul/ball-action-spotting </w:t>
        </w:r>
      </w:hyperlink>
      <w:r>
        <w:rPr>
          <w:rFonts w:ascii="Times New Roman" w:hAnsi="Times New Roman"/>
          <w:b w:val="0"/>
          <w:i w:val="0"/>
          <w:color w:val="000000"/>
          <w:sz w:val="18"/>
        </w:rPr>
        <w:t xml:space="preserve">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[2]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Mingxing Tan and Quoc V. Le. EfficientNetV2: Smaller mod-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els and faster training, 2021.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[3]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Junyoung Chung, Caglar Gulcehre, KyungHyun Cho,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Yoshua Bengio. Empirical evaluation of gated recurrent neural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networks on sequence modeling, 2014.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[4]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Ashish Vaswani, Noam Shazeer, Niki Parmar, Jakob Uszko-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reit, Llion Jones, Aidan N. Gomez, Lukasz Kaiser, and Illia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Polosukhin. Attention is all you need, 2023.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1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[5]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Hongyi Zhang, Moustapha Cisse, Yann N. Dauphin, and David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Lopez-Paz. mixup: Beyond empirical risk minimization, 2018.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2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[6]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Ilya Loshchilov and Frank Hutter. Decoupled weight decay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regularization, 2019.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</w:p>
    <w:p>
      <w:pPr>
        <w:spacing w:before="0" w:after="40"/>
        <w:ind w:left="0" w:right="4415"/>
        <w:jc w:val="both"/>
      </w:pPr>
      <w:r>
        <w:rPr>
          <w:rFonts w:ascii="Times New Roman" w:hAnsi="Times New Roman"/>
          <w:b w:val="0"/>
          <w:i w:val="0"/>
          <w:color w:val="000000"/>
          <w:sz w:val="18"/>
        </w:rPr>
        <w:t xml:space="preserve">[7]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Mohamad Dalal, Artur Xarles, Anthony Cioppa, Silvio Gi-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ancola, Marc Van Droogenbroeck, Bernard Ghanem, Albert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Clap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´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es, Sergio Escalera, and Thomas B. Moeslund. Action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anticipation from soccernet football video broadcasts. In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 Pro-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ceedings of the IEEE/CVF Conference on Computer Vision and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Pattern Recognition (CVPR) Workshops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, pages 6079–6090, </w:t>
      </w:r>
      <w:r>
        <w:rPr>
          <w:rFonts w:ascii="Times New Roman" w:hAnsi="Times New Roman"/>
          <w:b w:val="0"/>
          <w:i w:val="0"/>
          <w:color w:val="000000"/>
          <w:sz w:val="18"/>
        </w:rPr>
        <w:t xml:space="preserve">June 2025. </w:t>
      </w:r>
      <w:r>
        <w:rPr>
          <w:rFonts w:ascii="Times New Roman" w:hAnsi="Times New Roman"/>
          <w:b w:val="0"/>
          <w:i w:val="0"/>
          <w:color w:val="367DBD"/>
          <w:sz w:val="18"/>
        </w:rPr>
        <w:t xml:space="preserve"> 2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hyperlink" Target="https://github.com/lRomul/ball-action-spot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