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footerReference w:type="default" r:id="rId9"/>
          <w:pgSz w:w="12240" w:h="15840"/>
          <w:pgMar w:top="1440" w:right="1131" w:bottom="1440" w:left="1142" w:header="720" w:footer="720" w:gutter="0"/>
          <w:cols w:space="720"/>
          <w:docGrid w:linePitch="360"/>
        </w:sectPr>
      </w:pPr>
    </w:p>
    <w:p>
      <w:pPr>
        <w:pStyle w:val="Title"/>
        <w:spacing w:before="0" w:after="40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9"/>
        </w:rPr>
        <w:t xml:space="preserve">Hierarchical GRU with Input-Conditioned Slot Queries </w:t>
      </w:r>
    </w:p>
    <w:p>
      <w:pPr>
        <w:pStyle w:val="Title"/>
        <w:spacing w:after="40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9"/>
        </w:rPr>
        <w:t xml:space="preserve">for Ball Action Anticipation </w:t>
      </w:r>
    </w:p>
    <w:p>
      <w:pPr>
        <w:spacing w:before="509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Parthsarthi Rawat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GameChanger by Dick’s Sporting Goods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sarthi.rawat@gc.com </w:t>
      </w:r>
    </w:p>
    <w:p>
      <w:pPr>
        <w:sectPr>
          <w:type w:val="continuous"/>
          <w:pgSz w:w="12240" w:h="15840"/>
          <w:pgMar w:top="1440" w:right="1131" w:bottom="1440" w:left="1142" w:header="720" w:footer="720" w:gutter="0"/>
          <w:cols w:space="720"/>
          <w:docGrid w:linePitch="360"/>
          <w:cols w:num="1"/>
        </w:sectPr>
      </w:pPr>
    </w:p>
    <w:p>
      <w:pPr>
        <w:pStyle w:val="Heading1"/>
        <w:spacing w:before="0" w:after="40"/>
        <w:ind w:left="1934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321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present a hierarchical model for ball action anticipation </w:t>
      </w:r>
      <w:r>
        <w:rPr>
          <w:rFonts w:ascii="Times New Roman" w:hAnsi="Times New Roman"/>
          <w:b w:val="0"/>
          <w:i w:val="0"/>
          <w:color w:val="000000"/>
          <w:sz w:val="20"/>
        </w:rPr>
        <w:t>in football broadcast video. Given a 30-second observa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 window, the system predicts actions occurring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subsequent 5-second window across 10 classes. A shared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local Transformer encodes clip-level features within each </w:t>
      </w:r>
      <w:r>
        <w:rPr>
          <w:rFonts w:ascii="Times New Roman" w:hAnsi="Times New Roman"/>
          <w:b w:val="0"/>
          <w:i w:val="0"/>
          <w:color w:val="000000"/>
          <w:sz w:val="20"/>
        </w:rPr>
        <w:t>5-second sub-window; a GRU then aggregates temporal con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text across all sub-windows; finally, a Transformer decoder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input-conditioned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event slots decodes the anticipa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tion target via three decoupled heads (objectness, class, tem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poral offset). We introduce frequency-reweighted Hungarian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matching that systematically favours rare action classes,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Gaussian soft targets for temporal bin supervision. On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SoccerNet Ball Action Anticipation benchmark, our method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17.91%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mAP on the test server. </w:t>
      </w:r>
    </w:p>
    <w:p>
      <w:pPr>
        <w:pStyle w:val="Heading1"/>
        <w:spacing w:before="643" w:after="40"/>
        <w:ind w:left="17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1. Method </w:t>
      </w:r>
    </w:p>
    <w:p>
      <w:pPr>
        <w:pStyle w:val="Heading2"/>
        <w:spacing w:before="207" w:after="40"/>
        <w:ind w:left="17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1.1. Feature Extraction </w:t>
      </w:r>
    </w:p>
    <w:p>
      <w:pPr>
        <w:spacing w:before="187"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use a frozen video feature backbone from lRomul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(EfficientNetV2-B0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with InvertedResidual3d blocks and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GeM pooling), pre-trained on SoccerNet Ball Action Spot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ting. Each 5-second window at 25 fps is divided into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=33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clips, producing a sequence of 1280-dimensional feature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vectors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1280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>The full 30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second observation is represented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such windows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pStyle w:val="Heading2"/>
        <w:spacing w:before="326" w:after="40"/>
        <w:ind w:left="17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1.2. Hierarchical Temporal Encoder </w:t>
      </w:r>
    </w:p>
    <w:p>
      <w:pPr>
        <w:spacing w:before="188" w:after="40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Local Transformer. </w:t>
      </w:r>
      <w:r>
        <w:rPr>
          <w:rFonts w:ascii="Times New Roman" w:hAnsi="Times New Roman"/>
          <w:b w:val="0"/>
          <w:i w:val="0"/>
          <w:color w:val="000000"/>
          <w:sz w:val="20"/>
        </w:rPr>
        <w:t>A 2-layer pre-LN self-attention Trans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former (shared weights across all windows) encodes clip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teractions within each window. Input features are projected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=256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summed with learnable clip position embed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dings. Stochastic depth (DropPath,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regularises each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residual branch. The output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captures intra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window temporal patterns for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r>
        <w:br w:type="column"/>
      </w:r>
    </w:p>
    <w:p>
      <w:pPr>
        <w:spacing w:before="0" w:after="40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GRU Aggregator.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encoded window is reduced to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summary vectors via adaptive average pooling, yield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=48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sequential steps: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single-layer GRU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processes these in temporal order to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produce memory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}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>. A learn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able parameter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γ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per window yields importance weight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α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γ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scaling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steps of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uniformly to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let the model downweight uninformative early windows. </w:t>
      </w:r>
    </w:p>
    <w:p>
      <w:pPr>
        <w:pStyle w:val="Heading2"/>
        <w:spacing w:before="168" w:after="40"/>
        <w:ind w:left="9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1.3. Input-Conditioned Slot Decoder </w:t>
      </w:r>
    </w:p>
    <w:p>
      <w:pPr>
        <w:spacing w:before="106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maintain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learnable slot embeddings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 w:val="0"/>
          <w:i w:val="0"/>
          <w:color w:val="000000"/>
          <w:sz w:val="20"/>
        </w:rPr>
        <w:t>. Un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like fixed static queries, each slot is seeded with a context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vector derived from the GRU output before decoding: </w:t>
      </w:r>
    </w:p>
    <w:p>
      <w:pPr>
        <w:spacing w:before="185" w:after="40"/>
        <w:ind w:left="2083" w:right="0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</w:p>
    <w:p>
      <w:pPr>
        <w:spacing w:after="40"/>
        <w:ind w:left="208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</w:p>
    <w:p>
      <w:pPr>
        <w:spacing w:before="0" w:after="40"/>
        <w:ind w:left="170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</w:p>
    <w:p>
      <w:pPr>
        <w:spacing w:before="0" w:after="40"/>
        <w:ind w:left="260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! </w:t>
      </w:r>
    </w:p>
    <w:p>
      <w:pPr>
        <w:spacing w:before="0" w:after="40"/>
        <w:ind w:left="2096" w:right="0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</w:p>
    <w:p>
      <w:pPr>
        <w:pStyle w:val="Caption"/>
        <w:spacing w:before="0" w:after="40"/>
        <w:ind w:left="2792" w:righ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(1)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input-conditioned query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mechanism allows slots to </w:t>
      </w:r>
    </w:p>
    <w:p>
      <w:pPr>
        <w:spacing w:after="40"/>
        <w:ind w:left="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adapt their initial state to the specific observation sequence,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rather than starting from a globally fixed point. The queries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attend to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via a 4-layer Transformer decoder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>] (cross</w:t>
      </w:r>
    </w:p>
    <w:p>
      <w:pPr>
        <w:spacing w:after="40"/>
        <w:ind w:left="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attention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self-attention per layer,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heads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FFN dim </w:t>
      </w:r>
    </w:p>
    <w:p>
      <w:pPr>
        <w:spacing w:after="40"/>
        <w:ind w:left="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= 1024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</w:t>
      </w:r>
    </w:p>
    <w:p>
      <w:pPr>
        <w:spacing w:before="321" w:after="40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Decoupled prediction heads.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slot’s output vector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drives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independent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linear heads: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⊤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(2) </w:t>
      </w:r>
    </w:p>
    <w:p>
      <w:pPr>
        <w:spacing w:before="49" w:after="40"/>
        <w:ind w:left="55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softmax(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(3) </w:t>
      </w:r>
    </w:p>
    <w:p>
      <w:pPr>
        <w:spacing w:before="58" w:after="40"/>
        <w:ind w:left="55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softmax(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=32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(4) </w:t>
      </w:r>
    </w:p>
    <w:p>
      <w:pPr>
        <w:spacing w:before="171"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Separating objectness from class probability eliminates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background-class collapse that arises in a joint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softmax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head. At inference, slots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&gt;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emit a prediction; the temporal position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000 +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arg max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·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5000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ms. </w:t>
      </w:r>
    </w:p>
    <w:p>
      <w:pPr>
        <w:spacing w:before="453" w:after="40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Frequency-reweighted Hungarian matching.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solve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 linear assignment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slots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ground-truth </w:t>
      </w:r>
    </w:p>
    <w:p>
      <w:pPr>
        <w:sectPr>
          <w:type w:val="continuous"/>
          <w:pgSz w:w="12240" w:h="15840"/>
          <w:pgMar w:top="1440" w:right="1131" w:bottom="1440" w:left="1142" w:header="720" w:footer="720" w:gutter="0"/>
          <w:cols w:space="720"/>
          <w:docGrid w:linePitch="360"/>
          <w:cols w:num="1"/>
          <w:cols w:num="2" w:space="360"/>
        </w:sectPr>
      </w:pPr>
    </w:p>
    <w:p>
      <w:pPr>
        <w:spacing w:before="0" w:after="40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q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+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 W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ctx </w:t>
      </w:r>
    </w:p>
    <w:p>
      <w:pPr>
        <w:pStyle w:val="Heading2"/>
        <w:spacing w:before="5101" w:after="40"/>
        <w:ind w:left="0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1.4. Training </w:t>
      </w:r>
    </w:p>
    <w:p>
      <w:r>
        <w:br w:type="page"/>
      </w:r>
    </w:p>
    <w:p>
      <w:pPr>
        <w:sectPr>
          <w:type w:val="continuous"/>
          <w:pgSz w:w="12240" w:h="15840"/>
          <w:pgMar w:top="1440" w:right="1131" w:bottom="1440" w:left="1142" w:header="720" w:footer="720" w:gutter="0"/>
          <w:cols w:space="720"/>
          <w:docGrid w:linePitch="360"/>
          <w:cols w:num="1"/>
          <w:cols w:num="2" w:space="360"/>
          <w:cols w:num="1"/>
        </w:sectPr>
      </w:pPr>
    </w:p>
    <w:p>
      <w:pPr>
        <w:spacing w:before="0"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events in the anticipation window.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Standard Hungarian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matching neglects class imbalance: rare ground-truth (GT)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events incur high classification cost and are systematically </w:t>
      </w:r>
      <w:r>
        <w:rPr>
          <w:rFonts w:ascii="Times New Roman" w:hAnsi="Times New Roman"/>
          <w:b w:val="0"/>
          <w:i w:val="0"/>
          <w:color w:val="000000"/>
          <w:sz w:val="20"/>
        </w:rPr>
        <w:t>left unmatched. We correct this by dividing the cost of match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slot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to GT event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by the inverse-frequency weight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of the GT class: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</w:p>
    <w:p>
      <w:pPr>
        <w:spacing w:after="40"/>
        <w:ind w:left="1348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(5) </w:t>
      </w:r>
    </w:p>
    <w:p>
      <w:pPr>
        <w:spacing w:before="214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the argmax bin,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the offset cost weight, and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pre-computed from training set fre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quencies. Lower cost for rare classes makes them preferred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assignments. </w:t>
      </w:r>
    </w:p>
    <w:p>
      <w:pPr>
        <w:spacing w:before="409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Losses.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Matched slot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receives: (i) object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ness BCE(1) with pos weight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; (ii) class CE with label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smoothing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>; (iii) Gaussian soft-target offset CE. Un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matched slots receive only objectness BCE(0). </w:t>
      </w:r>
    </w:p>
    <w:p>
      <w:pPr>
        <w:spacing w:before="413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Gaussian soft targets. </w:t>
      </w:r>
      <w:r>
        <w:rPr>
          <w:rFonts w:ascii="Times New Roman" w:hAnsi="Times New Roman"/>
          <w:b w:val="0"/>
          <w:i w:val="0"/>
          <w:color w:val="000000"/>
          <w:sz w:val="20"/>
        </w:rPr>
        <w:t>Rather than one-hot bin supervi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sion, we centre a Gaussian on the GT bin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normalise: </w:t>
      </w:r>
    </w:p>
    <w:p>
      <w:pPr>
        <w:spacing w:before="212" w:after="40"/>
        <w:ind w:left="53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</w:p>
    <w:p>
      <w:pPr>
        <w:spacing w:before="0" w:after="40"/>
        <w:ind w:left="1729" w:right="0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/σ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</w:p>
    <w:p>
      <w:pPr>
        <w:spacing w:before="8" w:after="40"/>
        <w:ind w:left="1182" w:right="0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′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exp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</w:p>
    <w:p>
      <w:pPr>
        <w:spacing w:before="0" w:after="40"/>
        <w:ind w:left="97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</w:p>
    <w:p>
      <w:pPr>
        <w:spacing w:before="267" w:after="40"/>
        <w:ind w:left="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penalises temporally distant misplacements more than </w:t>
      </w:r>
      <w:r>
        <w:rPr>
          <w:rFonts w:ascii="Times New Roman" w:hAnsi="Times New Roman"/>
          <w:b w:val="0"/>
          <w:i w:val="0"/>
          <w:color w:val="000000"/>
          <w:sz w:val="20"/>
        </w:rPr>
        <w:t>adjacent ones, yielding smoother gradients and better server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 mAP. </w:t>
      </w:r>
    </w:p>
    <w:p>
      <w:pPr>
        <w:spacing w:before="413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Class-imbalance handling. </w:t>
      </w:r>
      <w:r>
        <w:rPr>
          <w:rFonts w:ascii="Times New Roman" w:hAnsi="Times New Roman"/>
          <w:b w:val="0"/>
          <w:i w:val="0"/>
          <w:color w:val="000000"/>
          <w:sz w:val="20"/>
        </w:rPr>
        <w:t>A weighted random sam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pler boosts rare classes: T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ACKLE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S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/B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LOCK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ROSS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/T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HROW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Feature MixUp.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Input features are mixed as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mix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(1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Beta(0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>]. Hungarian match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ing runs against each source sample’s GT independently;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losses combine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(1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389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Auxiliary observation head.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1D-CNN head (two conv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layers) on the last window’s encoder tokens predicts per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frame action presence using focal BCE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relative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the anticipation loss). </w:t>
      </w:r>
    </w:p>
    <w:p>
      <w:pPr>
        <w:spacing w:before="413" w:after="40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Optimisation.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optimise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AdamW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lr=1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weight decay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), applying a 5-epoch linear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warmup then cosine annealing with warm restarts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=50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mult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Gradients are clipped 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; training uses BF16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mixed precision with batch size 32 on a single GPU. </w:t>
      </w:r>
    </w:p>
    <w:p>
      <w:r>
        <w:br w:type="column"/>
      </w:r>
    </w:p>
    <w:p>
      <w:pPr>
        <w:spacing w:before="0" w:after="40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Dataset.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SoccerNet Ball Action Anticipation (BAA)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comprises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training clips from football broadcast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video, annotated with 10 ball-action classes, plus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400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held-out test clips and a blind challenge split evaluated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server-side. Given a 30-second observation window, the task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predict actions in the following 5-second anticipation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window. The metric is mAP over six temporal tolerances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∞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): a prediction is a true positive if its timestamp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lies within the tolerance of a ground-truth event. </w:t>
      </w:r>
    </w:p>
    <w:p>
      <w:pPr>
        <w:spacing w:before="342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Results.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organizer-provided FAANTRA baseline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18.05% mAP on the test server. Table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reports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results; our single-model score is competitive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end-to-end backbone fine-tuning. </w:t>
      </w:r>
    </w:p>
    <w:p>
      <w:pPr>
        <w:pStyle w:val="Caption"/>
        <w:spacing w:before="255" w:after="40"/>
        <w:ind w:left="2" w:right="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Table 1. mAP (%) at each tolerance. Best checkpoint (epoch 17,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obj threshold 0.3).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75324" cy="597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5324" cy="59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7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Ablation: threshold sensitivity.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to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floods each clip with predictions (2.9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15.3 per clip, a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increase), and server mAP falls from 17.91% to 13.96%,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confirming that low-confidence slots produce predominantly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noisy outputs on the held-out set. </w:t>
      </w:r>
    </w:p>
    <w:p>
      <w:pPr>
        <w:spacing w:before="342" w:after="40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Ablation: input-conditioned queries.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Replacing Eq.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purely static slot embeddings 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q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degraded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validation mAP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0.8 percentage points, demonstrating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seeding queries from the GRU summary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useful initialisation signal. </w:t>
      </w:r>
    </w:p>
    <w:p>
      <w:pPr>
        <w:spacing w:before="651"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[1]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Roman Solovyev. Ball action spotting.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https://github.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367DBD"/>
          <w:sz w:val="18"/>
        </w:rPr>
        <w:t xml:space="preserve">com/lRomul/ball-action-spotting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2023.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[2]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Mingxing Tan and Quoc V. Le. EfficientNetV2: Smaller mod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els and faster training, 2021.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[3]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Junyoung Chung, Caglar Gulcehre, KyungHyun Cho,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Yoshua Bengio. Empirical evaluation of gated recurrent neural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networks on sequence modeling, 2014.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[4]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Ashish Vaswani, Noam Shazeer, Niki Parmar, Jakob Uszko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reit, Llion Jones, Aidan N. Gomez, Lukasz Kaiser, and Illia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Polosukhin. Attention is all you need, 2023.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[5]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Hongyi Zhang, Moustapha Cisse, Yann N. Dauphin, and David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Lopez-Paz. mixup: Beyond empirical risk minimization, 2018.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2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[6]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Ilya Loshchilov and Frank Hutter. Decoupled weight decay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regularization, 2019.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</w:p>
    <w:p>
      <w:pPr>
        <w:sectPr>
          <w:type w:val="continuous"/>
          <w:pgSz w:w="12240" w:h="15840"/>
          <w:pgMar w:top="1440" w:right="1131" w:bottom="1440" w:left="1142" w:header="720" w:footer="720" w:gutter="0"/>
          <w:cols w:space="720"/>
          <w:docGrid w:linePitch="360"/>
          <w:cols w:num="1"/>
          <w:cols w:num="2" w:space="360"/>
          <w:cols w:num="1"/>
          <w:cols w:num="2" w:space="360"/>
        </w:sectPr>
      </w:pPr>
    </w:p>
    <w:p>
      <w:pPr>
        <w:pStyle w:val="Heading1"/>
        <w:spacing w:before="0" w:after="40"/>
        <w:ind w:left="0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2. Experiments </w:t>
      </w:r>
    </w:p>
    <w:p>
      <w:pPr>
        <w:spacing w:before="5958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′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/σ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σ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(6) </w:t>
      </w:r>
    </w:p>
    <w:p>
      <w:pPr>
        <w:pStyle w:val="Heading1"/>
        <w:spacing w:before="2443" w:after="40"/>
        <w:ind w:left="0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</w:p>
    <w:p>
      <w:pPr>
        <w:spacing w:before="0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[7]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Mohamad Dalal, Artur Xarles, Anthony Cioppa, Silvio Gi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ancola, Marc Van Droogenbroeck, Bernard Ghanem, Albert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Clap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´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es, Sergio Escalera, and Thomas B. Moeslund. Action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anticipation from soccernet football video broadcasts. In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ceedings of the IEEE/CVF Conference on Computer Vision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Pattern Recognition (CVPR) Workshops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6079–6090,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June 2025.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</w:p>
    <w:sectPr w:rsidR="00FC693F" w:rsidRPr="0006063C" w:rsidSect="00034616">
      <w:type w:val="continuous"/>
      <w:pgSz w:w="12240" w:h="15840"/>
      <w:pgMar w:top="1440" w:right="1131" w:bottom="1440" w:left="1142" w:header="720" w:footer="720" w:gutter="0"/>
      <w:cols w:space="720"/>
      <w:docGrid w:linePitch="360"/>
      <w:cols w:num="1"/>
      <w:cols w:num="2" w:space="360"/>
      <w:cols w:num="1"/>
      <w:cols w:num="2" w:space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