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SoccerNet 2026 Player-Centric Ball-Action Spotting: </w:t>
      </w:r>
    </w:p>
    <w:p>
      <w:pPr>
        <w:pStyle w:val="Title"/>
        <w:spacing w:before="0" w:after="0" w:line="240" w:lineRule="auto"/>
        <w:ind w:left="0" w:right="0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Retraining and Post-Processing Extensions to the FOOTPASS Baselines </w:t>
      </w:r>
    </w:p>
    <w:p>
      <w:pPr>
        <w:spacing w:before="509" w:after="0" w:line="240" w:lineRule="auto"/>
        <w:ind w:left="3231" w:right="211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</w:p>
    <w:p>
      <w:pPr>
        <w:spacing w:before="0" w:after="0" w:line="240" w:lineRule="auto"/>
        <w:ind w:left="3028" w:right="2110"/>
        <w:jc w:val="left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pStyle w:val="Heading1"/>
        <w:spacing w:before="0" w:after="0" w:line="240" w:lineRule="auto"/>
        <w:ind w:left="1048" w:right="6219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0" w:after="0" w:line="240" w:lineRule="auto"/>
        <w:ind w:left="430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69-dimensional feature (pitch coordinates, velocities, one-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hot role encoding, jersey number, and team side) concate-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nated with a 64-dimensional visual projection from the same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RoIAlign crop; each player is connected to its six nearest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spatial neighbours. Three EdgeConv layers (hidden dim 128, </w:t>
      </w:r>
      <w:r>
        <w:rPr>
          <w:rFonts w:ascii="Times New Roman" w:hAnsi="Times New Roman"/>
          <w:b w:val="0"/>
          <w:i w:val="0"/>
          <w:color w:val="000000"/>
          <w:sz w:val="20"/>
        </w:rPr>
        <w:t>max-aggregation) interleaved with temporal Conv1d(</w:t>
      </w:r>
      <w:r>
        <w:rPr>
          <w:rFonts w:ascii="Times New Roman" w:hAnsi="Times New Roman"/>
          <w:b w:val="0"/>
          <w:i w:val="0"/>
          <w:color w:val="000000"/>
          <w:sz w:val="20"/>
        </w:rPr>
        <w:t>k</w:t>
      </w:r>
      <w:r>
        <w:rPr>
          <w:rFonts w:ascii="Times New Roman" w:hAnsi="Times New Roman"/>
          <w:b w:val="0"/>
          <w:i w:val="0"/>
          <w:color w:val="000000"/>
          <w:sz w:val="20"/>
        </w:rPr>
        <w:t>=5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blocks propagate spatial and temporal context, yielding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set of 9-class per-player logits that capture who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near the ball and what role they play. </w:t>
      </w:r>
    </w:p>
    <w:p>
      <w:pPr>
        <w:spacing w:before="0" w:after="0" w:line="240" w:lineRule="auto"/>
        <w:ind w:left="0" w:right="4266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describe our system for the SoccerNet 2026 Player-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Centric Ball-Action Spotting Challenge, which requires pre- </w:t>
      </w:r>
      <w:r>
        <w:rPr>
          <w:rFonts w:ascii="Times New Roman" w:hAnsi="Times New Roman"/>
          <w:b w:val="0"/>
          <w:i w:val="0"/>
          <w:color w:val="000000"/>
          <w:sz w:val="20"/>
        </w:rPr>
        <w:t>dicting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performs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which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action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when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across 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in broadcast soccer. Building on the three FOOT- </w:t>
      </w:r>
      <w:r>
        <w:rPr>
          <w:rFonts w:ascii="Times New Roman" w:hAnsi="Times New Roman"/>
          <w:b w:val="0"/>
          <w:i w:val="0"/>
          <w:color w:val="000000"/>
          <w:sz w:val="20"/>
        </w:rPr>
        <w:t>PASS baselines [</w:t>
      </w:r>
      <w:r>
        <w:rPr>
          <w:rFonts w:ascii="Times New Roman" w:hAnsi="Times New Roman"/>
          <w:b w:val="0"/>
          <w:i w:val="0"/>
          <w:color w:val="367DBD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(TAAD, TAAD+GNN, and TAAD+DST),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contribute four extensions: (1) gradient checkpointing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enable full-backbone fine-tuning on a single GPU; (2) fusion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GNN logits into the DST encoder, combining graph-based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tactical context with per-player visual features; (3) square-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root frequency class weighting to address the 213:1 pass-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to-tackle imbalance in the training data; and (4) a post-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pipeline comprising per-class logit gating, tempo-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ral frame refinement, jersey re-assignment, and a two-model </w:t>
      </w:r>
      <w:r>
        <w:rPr>
          <w:rFonts w:ascii="Times New Roman" w:hAnsi="Times New Roman"/>
          <w:b w:val="0"/>
          <w:i w:val="0"/>
          <w:color w:val="000000"/>
          <w:sz w:val="20"/>
        </w:rPr>
        <w:t>ensemble. Our system achieves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0.548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Macro F1 on the test </w:t>
      </w:r>
      <w:r>
        <w:rPr>
          <w:rFonts w:ascii="Times New Roman" w:hAnsi="Times New Roman"/>
          <w:b w:val="0"/>
          <w:i w:val="0"/>
          <w:color w:val="000000"/>
          <w:sz w:val="20"/>
        </w:rPr>
        <w:t>set and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0.446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on the challenge set (server evaluation). </w:t>
      </w:r>
    </w:p>
    <w:p>
      <w:pPr>
        <w:spacing w:before="0" w:after="0" w:line="240" w:lineRule="auto"/>
        <w:ind w:left="429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TAAD+DST [</w:t>
      </w:r>
      <w:r>
        <w:rPr>
          <w:rFonts w:ascii="Times New Roman" w:hAnsi="Times New Roman"/>
          <w:b/>
          <w:i w:val="0"/>
          <w:color w:val="367DBD"/>
          <w:sz w:val="20"/>
        </w:rPr>
        <w:t>7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Rather than thresholding TAAD logits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dependently per frame, the Denoising Sequence Transducer </w:t>
      </w:r>
      <w:r>
        <w:rPr>
          <w:rFonts w:ascii="Times New Roman" w:hAnsi="Times New Roman"/>
          <w:b w:val="0"/>
          <w:i w:val="0"/>
          <w:color w:val="000000"/>
          <w:sz w:val="20"/>
        </w:rPr>
        <w:t>(DST) [</w:t>
      </w:r>
      <w:r>
        <w:rPr>
          <w:rFonts w:ascii="Times New Roman" w:hAnsi="Times New Roman"/>
          <w:b w:val="0"/>
          <w:i w:val="0"/>
          <w:color w:val="367DBD"/>
          <w:sz w:val="20"/>
        </w:rPr>
        <w:t>8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reads the entire sequence of per-player logit tracks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 a source and autoregressively decodes a de-duplicated list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(action, player, frame) events. This allows the model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suppress spurious detections by attending to context across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full 25-second window. The default configuration uses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364-dimensional source tokens, hidden dimension 512, 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encoder and 6 decoder layers, and 8 attention heads over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750-frame context window. The model is trained with cross-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entropy loss and label smoothing 0.05. At a 15% global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confidence threshold this baseline achieves 0.493 Macro F1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on the test set. </w:t>
      </w:r>
    </w:p>
    <w:p>
      <w:pPr>
        <w:pStyle w:val="Heading1"/>
        <w:spacing w:before="0" w:after="0" w:line="240" w:lineRule="auto"/>
        <w:ind w:left="0" w:right="5852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FOOTPASS Baseline System </w:t>
      </w:r>
    </w:p>
    <w:p>
      <w:pPr>
        <w:spacing w:before="177" w:after="0" w:line="240" w:lineRule="auto"/>
        <w:ind w:left="0" w:right="42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challenge organisers provide three reference model ar- </w:t>
      </w:r>
      <w:r>
        <w:rPr>
          <w:rFonts w:ascii="Times New Roman" w:hAnsi="Times New Roman"/>
          <w:b w:val="0"/>
          <w:i w:val="0"/>
          <w:color w:val="000000"/>
          <w:sz w:val="20"/>
        </w:rPr>
        <w:t>chitectures and training code [</w:t>
      </w:r>
      <w:r>
        <w:rPr>
          <w:rFonts w:ascii="Times New Roman" w:hAnsi="Times New Roman"/>
          <w:b w:val="0"/>
          <w:i w:val="0"/>
          <w:color w:val="367DBD"/>
          <w:sz w:val="20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]; we trained all models from </w:t>
      </w:r>
      <w:r>
        <w:rPr>
          <w:rFonts w:ascii="Times New Roman" w:hAnsi="Times New Roman"/>
          <w:b w:val="0"/>
          <w:i w:val="0"/>
          <w:color w:val="000000"/>
          <w:sz w:val="20"/>
        </w:rPr>
        <w:t>scratch. The primary metric is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Macro F1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: the unweighted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average of per-class F1 across all eight action classes, giving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equal importance to tackle (24 ground-truth events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challenge set) and pass (2 744 events). The three baselines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 a cascade: TAAD produces noisy per-player 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logits from video; TAAD+GNN enriches those logits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player-graph context; TAAD+DST reads the full sequence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logit tracks and decodes a clean event list. </w:t>
      </w:r>
    </w:p>
    <w:p>
      <w:pPr>
        <w:pStyle w:val="Heading1"/>
        <w:spacing w:before="0" w:after="0" w:line="240" w:lineRule="auto"/>
        <w:ind w:left="4305" w:right="202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Our Extensions </w:t>
      </w:r>
    </w:p>
    <w:p>
      <w:pPr>
        <w:spacing w:before="259" w:after="0" w:line="240" w:lineRule="auto"/>
        <w:ind w:left="4299" w:right="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four extensions address training capacity, feature rich-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ness, class imbalance, and inference quality, in that order. </w:t>
      </w:r>
    </w:p>
    <w:p>
      <w:pPr>
        <w:spacing w:before="584" w:after="0" w:line="240" w:lineRule="auto"/>
        <w:ind w:left="0" w:right="426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TAAD [</w:t>
      </w:r>
      <w:r>
        <w:rPr>
          <w:rFonts w:ascii="Times New Roman" w:hAnsi="Times New Roman"/>
          <w:b/>
          <w:i w:val="0"/>
          <w:color w:val="367DBD"/>
          <w:sz w:val="20"/>
        </w:rPr>
        <w:t>2</w:t>
      </w:r>
      <w:r>
        <w:rPr>
          <w:rFonts w:ascii="Times New Roman" w:hAnsi="Times New Roman"/>
          <w:b/>
          <w:i w:val="0"/>
          <w:color w:val="000000"/>
          <w:sz w:val="20"/>
        </w:rPr>
        <w:t>,</w:t>
      </w:r>
      <w:r>
        <w:rPr>
          <w:rFonts w:ascii="Times New Roman" w:hAnsi="Times New Roman"/>
          <w:b/>
          <w:i w:val="0"/>
          <w:color w:val="367DBD"/>
          <w:sz w:val="20"/>
        </w:rPr>
        <w:t xml:space="preserve"> 3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X3D-S backbone [</w:t>
      </w:r>
      <w:r>
        <w:rPr>
          <w:rFonts w:ascii="Times New Roman" w:hAnsi="Times New Roman"/>
          <w:b w:val="0"/>
          <w:i w:val="0"/>
          <w:color w:val="367DBD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] shared across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tracked players extracts multi-scale video features, which are </w:t>
      </w:r>
      <w:r>
        <w:rPr>
          <w:rFonts w:ascii="Times New Roman" w:hAnsi="Times New Roman"/>
          <w:b w:val="0"/>
          <w:i w:val="0"/>
          <w:color w:val="000000"/>
          <w:sz w:val="20"/>
        </w:rPr>
        <w:t>fused via lateral upsampling into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</w:t>
      </w:r>
      <w:r>
        <w:rPr>
          <w:rFonts w:ascii="Times New Roman" w:hAnsi="Times New Roman"/>
          <w:b w:val="0"/>
          <w:i w:val="0"/>
          <w:color w:val="000000"/>
          <w:sz w:val="20"/>
        </w:rPr>
        <w:t>B,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192</w:t>
      </w:r>
      <w:r>
        <w:rPr>
          <w:rFonts w:ascii="Times New Roman" w:hAnsi="Times New Roman"/>
          <w:b w:val="0"/>
          <w:i w:val="0"/>
          <w:color w:val="000000"/>
          <w:sz w:val="20"/>
        </w:rPr>
        <w:t>, T,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44</w:t>
      </w:r>
      <w:r>
        <w:rPr>
          <w:rFonts w:ascii="Times New Roman" w:hAnsi="Times New Roman"/>
          <w:b w:val="0"/>
          <w:i w:val="0"/>
          <w:color w:val="000000"/>
          <w:sz w:val="20"/>
        </w:rPr>
        <w:t>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80)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tensor. </w:t>
      </w:r>
      <w:r>
        <w:rPr>
          <w:rFonts w:ascii="Times New Roman" w:hAnsi="Times New Roman"/>
          <w:b w:val="0"/>
          <w:i w:val="0"/>
          <w:color w:val="000000"/>
          <w:sz w:val="20"/>
        </w:rPr>
        <w:t>Per-player crops are extracted with RoIAlign [</w:t>
      </w:r>
      <w:r>
        <w:rPr>
          <w:rFonts w:ascii="Times New Roman" w:hAnsi="Times New Roman"/>
          <w:b w:val="0"/>
          <w:i w:val="0"/>
          <w:color w:val="367DBD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] (</w:t>
      </w:r>
      <w:r>
        <w:rPr>
          <w:rFonts w:ascii="Times New Roman" w:hAnsi="Times New Roman"/>
          <w:b w:val="0"/>
          <w:i w:val="0"/>
          <w:color w:val="000000"/>
          <w:sz w:val="20"/>
        </w:rPr>
        <w:t>4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grid, </w:t>
      </w:r>
      <w:r>
        <w:rPr>
          <w:rFonts w:ascii="Times New Roman" w:hAnsi="Times New Roman"/>
          <w:b w:val="0"/>
          <w:i w:val="0"/>
          <w:color w:val="000000"/>
          <w:sz w:val="20"/>
        </w:rPr>
        <w:t>scale 0.125); a temporal Conv1d(192</w:t>
      </w:r>
      <w:r>
        <w:rPr>
          <w:rFonts w:ascii="Times New Roman" w:hAnsi="Times New Roman"/>
          <w:b w:val="0"/>
          <w:i w:val="0"/>
          <w:color w:val="000000"/>
          <w:sz w:val="20"/>
        </w:rPr>
        <w:t>→</w:t>
      </w:r>
      <w:r>
        <w:rPr>
          <w:rFonts w:ascii="Times New Roman" w:hAnsi="Times New Roman"/>
          <w:b w:val="0"/>
          <w:i w:val="0"/>
          <w:color w:val="000000"/>
          <w:sz w:val="20"/>
        </w:rPr>
        <w:t>512,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</w:t>
      </w:r>
      <w:r>
        <w:rPr>
          <w:rFonts w:ascii="Times New Roman" w:hAnsi="Times New Roman"/>
          <w:b w:val="0"/>
          <w:i w:val="0"/>
          <w:color w:val="000000"/>
          <w:sz w:val="20"/>
        </w:rPr>
        <w:t>=3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and linear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 yield 9-class logits (background plus eight actions) per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 per frame. </w:t>
      </w:r>
    </w:p>
    <w:p>
      <w:pPr>
        <w:pStyle w:val="Heading2"/>
        <w:spacing w:before="0" w:after="0" w:line="240" w:lineRule="auto"/>
        <w:ind w:left="4305" w:right="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2.1. Gradient Checkpointing for Full Backbone </w:t>
      </w:r>
    </w:p>
    <w:p>
      <w:pPr>
        <w:pStyle w:val="Heading1"/>
        <w:spacing w:before="0" w:after="0" w:line="240" w:lineRule="auto"/>
        <w:ind w:left="4798" w:right="0"/>
        <w:jc w:val="left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Fine-Tuning </w:t>
      </w:r>
    </w:p>
    <w:p>
      <w:pPr>
        <w:spacing w:before="0" w:after="0" w:line="240" w:lineRule="auto"/>
        <w:ind w:left="4290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baseline TAAD training script freezes the X3D back-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bone after the initial epochs because unfreezing at batch size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14 exceeds the 22 GB GPU memory limit. We add gradient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checkpointing on X3D blocks 0–4, enabling full fine-tuning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 batch size 6. Training runs 20 epochs with the back-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bone frozen for epochs 1–2 then unfrozen, using AdamW (lr </w:t>
      </w:r>
      <w:r>
        <w:rPr>
          <w:rFonts w:ascii="Times New Roman" w:hAnsi="Times New Roman"/>
          <w:b w:val="0"/>
          <w:i w:val="0"/>
          <w:color w:val="000000"/>
          <w:sz w:val="20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5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>backbone,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10</w:t>
      </w:r>
      <w:r>
        <w:rPr>
          <w:rFonts w:ascii="Times New Roman" w:hAnsi="Times New Roman"/>
          <w:b w:val="0"/>
          <w:i w:val="0"/>
          <w:color w:val="000000"/>
          <w:sz w:val="14"/>
        </w:rPr>
        <w:t>−</w:t>
      </w:r>
      <w:r>
        <w:rPr>
          <w:rFonts w:ascii="Times New Roman" w:hAnsi="Times New Roman"/>
          <w:b w:val="0"/>
          <w:i w:val="0"/>
          <w:color w:val="000000"/>
          <w:sz w:val="14"/>
        </w:rPr>
        <w:t>3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head, 50-step warm-up). </w:t>
      </w:r>
    </w:p>
    <w:p>
      <w:pPr>
        <w:spacing w:before="0" w:after="0" w:line="240" w:lineRule="auto"/>
        <w:ind w:left="0" w:right="4268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TAAD+GNN [</w:t>
      </w:r>
      <w:r>
        <w:rPr>
          <w:rFonts w:ascii="Times New Roman" w:hAnsi="Times New Roman"/>
          <w:b/>
          <w:i w:val="0"/>
          <w:color w:val="367DBD"/>
          <w:sz w:val="20"/>
        </w:rPr>
        <w:t>2</w:t>
      </w:r>
      <w:r>
        <w:rPr>
          <w:rFonts w:ascii="Times New Roman" w:hAnsi="Times New Roman"/>
          <w:b/>
          <w:i w:val="0"/>
          <w:color w:val="000000"/>
          <w:sz w:val="20"/>
        </w:rPr>
        <w:t>].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 EdgeConv [</w:t>
      </w:r>
      <w:r>
        <w:rPr>
          <w:rFonts w:ascii="Times New Roman" w:hAnsi="Times New Roman"/>
          <w:b w:val="0"/>
          <w:i w:val="0"/>
          <w:color w:val="367DBD"/>
          <w:sz w:val="20"/>
        </w:rPr>
        <w:t>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branch models inter-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actions among players. Each player-frame node carries a </w:t>
      </w:r>
    </w:p>
    <w:p>
      <w:pPr>
        <w:pStyle w:val="Heading2"/>
        <w:spacing w:before="0" w:after="0" w:line="240" w:lineRule="auto"/>
        <w:ind w:left="0" w:right="4800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2.2. GNN-Logit Fusion into the DST Encoder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classes. Predictions from GNN-DST (post-processed)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Base-DST (raw) are then merged and re-suppressed. Base-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DST tackle predictions are excluded from the ensemble be-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cause this variant produces no true positives for tackle 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test set while adding false positives. </w:t>
      </w:r>
    </w:p>
    <w:p>
      <w:pPr>
        <w:spacing w:before="0" w:after="0" w:line="240" w:lineRule="auto"/>
        <w:ind w:left="0" w:right="4273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The baseline DST encodes only TAAD logits (364-dim token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per frame, 26 players). We concatenate GNN logits along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feature axis, producing a 598-dim token (364 TAAD + </w:t>
      </w:r>
      <w:r>
        <w:rPr>
          <w:rFonts w:ascii="Times New Roman" w:hAnsi="Times New Roman"/>
          <w:b w:val="0"/>
          <w:i w:val="0"/>
          <w:color w:val="000000"/>
          <w:sz w:val="20"/>
        </w:rPr>
        <w:t>234 GNN: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26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>9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logits). This fused model,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GNN-DST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lets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decoder jointly attend to the visual-only TAAD stream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the graph-contextualised GNN stream, capturing spatial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proximity and player role. The fusion raises the test 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Macro F1 from 0.493 to 0.505. </w:t>
      </w:r>
    </w:p>
    <w:p>
      <w:pPr>
        <w:pStyle w:val="Heading1"/>
        <w:spacing w:before="0" w:after="0" w:line="240" w:lineRule="auto"/>
        <w:ind w:left="4305" w:right="231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 Experiments </w:t>
      </w:r>
    </w:p>
    <w:p>
      <w:pPr>
        <w:spacing w:before="228" w:after="0" w:line="240" w:lineRule="auto"/>
        <w:ind w:left="429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Ablation.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Table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shows the cumulative Macro F1 gain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each extension on the test set. GNN fusion and class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weighting each contribute roughly equally, while the post-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processing pipeline adds a further 0.027. </w:t>
      </w:r>
    </w:p>
    <w:p>
      <w:pPr>
        <w:pStyle w:val="Heading2"/>
        <w:spacing w:before="0" w:after="0" w:line="240" w:lineRule="auto"/>
        <w:ind w:left="0" w:right="5072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2.3. Square-Root Class-Weighted Training </w:t>
      </w:r>
    </w:p>
    <w:p>
      <w:pPr>
        <w:spacing w:before="135" w:after="0" w:line="240" w:lineRule="auto"/>
        <w:ind w:left="0" w:right="42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The training corpus contains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37 000 pass events but only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174 tackle events (ratio 213:1). Trained with uniform loss,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DST learns to ignore rare classes. We scale the action </w:t>
      </w:r>
      <w:r>
        <w:rPr>
          <w:rFonts w:ascii="Times New Roman" w:hAnsi="Times New Roman"/>
          <w:b w:val="0"/>
          <w:i w:val="0"/>
          <w:color w:val="000000"/>
          <w:sz w:val="20"/>
        </w:rPr>
        <w:t>cross-entropy loss by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</w:t>
      </w:r>
      <w:r>
        <w:rPr>
          <w:rFonts w:ascii="Times New Roman" w:hAnsi="Times New Roman"/>
          <w:b w:val="0"/>
          <w:i w:val="0"/>
          <w:color w:val="000000"/>
          <w:sz w:val="20"/>
        </w:rPr>
        <w:t>/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√ </w:t>
      </w:r>
    </w:p>
    <w:p>
      <w:pPr>
        <w:spacing w:before="0" w:after="0" w:line="240" w:lineRule="auto"/>
        <w:ind w:left="0" w:right="42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>n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>, where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per- </w:t>
      </w:r>
      <w:r>
        <w:rPr>
          <w:rFonts w:ascii="Times New Roman" w:hAnsi="Times New Roman"/>
          <w:b w:val="0"/>
          <w:i w:val="0"/>
          <w:color w:val="000000"/>
          <w:sz w:val="20"/>
        </w:rPr>
        <w:t>class training count, giving tackle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</w:t>
      </w:r>
      <w:r>
        <w:rPr>
          <w:rFonts w:ascii="Times New Roman" w:hAnsi="Times New Roman"/>
          <w:b w:val="0"/>
          <w:i w:val="0"/>
          <w:color w:val="000000"/>
          <w:sz w:val="20"/>
        </w:rPr>
        <w:t>10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boost </w:t>
      </w:r>
      <w:r>
        <w:rPr>
          <w:rFonts w:ascii="Times New Roman" w:hAnsi="Times New Roman"/>
          <w:b w:val="0"/>
          <w:i w:val="0"/>
          <w:color w:val="000000"/>
          <w:sz w:val="20"/>
        </w:rPr>
        <w:t>over drive. Inverse-frequency weighting (</w:t>
      </w:r>
      <w:r>
        <w:rPr>
          <w:rFonts w:ascii="Times New Roman" w:hAnsi="Times New Roman"/>
          <w:b w:val="0"/>
          <w:i w:val="0"/>
          <w:color w:val="000000"/>
          <w:sz w:val="20"/>
        </w:rPr>
        <w:t>≈</w:t>
      </w:r>
      <w:r>
        <w:rPr>
          <w:rFonts w:ascii="Times New Roman" w:hAnsi="Times New Roman"/>
          <w:b w:val="0"/>
          <w:i w:val="0"/>
          <w:color w:val="000000"/>
          <w:sz w:val="20"/>
        </w:rPr>
        <w:t>118</w:t>
      </w:r>
      <w:r>
        <w:rPr>
          <w:rFonts w:ascii="Times New Roman" w:hAnsi="Times New Roman"/>
          <w:b w:val="0"/>
          <w:i w:val="0"/>
          <w:color w:val="000000"/>
          <w:sz w:val="20"/>
        </w:rPr>
        <w:t>×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was also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evaluated and caused the model to hallucinate rare classes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while collapsing drive and pass recall; square-root weighting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does not exhibit this failure. Weights apply only to the action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head; the role and frame heads remain unweighted. We train </w:t>
      </w:r>
      <w:r>
        <w:rPr>
          <w:rFonts w:ascii="Times New Roman" w:hAnsi="Times New Roman"/>
          <w:b w:val="0"/>
          <w:i w:val="0"/>
          <w:color w:val="000000"/>
          <w:sz w:val="20"/>
        </w:rPr>
        <w:t>two DST variants: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GNN-DST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(with GNN fusion and square- </w:t>
      </w:r>
      <w:r>
        <w:rPr>
          <w:rFonts w:ascii="Times New Roman" w:hAnsi="Times New Roman"/>
          <w:b w:val="0"/>
          <w:i w:val="0"/>
          <w:color w:val="000000"/>
          <w:sz w:val="20"/>
        </w:rPr>
        <w:t>root weights) and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Base-DST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(TAAD-only input, no class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weighting), which serve as the two members of the inference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ensemble. </w:t>
      </w:r>
    </w:p>
    <w:p>
      <w:pPr>
        <w:pStyle w:val="Caption"/>
        <w:spacing w:before="0" w:after="0" w:line="240" w:lineRule="auto"/>
        <w:ind w:left="4925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Test set Macro F1: cumulative ablation.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9051" cy="1002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9051" cy="100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19" w:after="0" w:line="240" w:lineRule="auto"/>
        <w:ind w:left="430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Per-class results.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Table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per-class F1 on both splits.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Common classes (drive, pass, throw-in, cross) transfer well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from test to challenge. Rare classes degrade sharply: tackle </w:t>
      </w:r>
      <w:r>
        <w:rPr>
          <w:rFonts w:ascii="Times New Roman" w:hAnsi="Times New Roman"/>
          <w:b w:val="0"/>
          <w:i w:val="0"/>
          <w:color w:val="000000"/>
          <w:sz w:val="20"/>
        </w:rPr>
        <w:t>collapses to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</w:t>
      </w:r>
      <w:r>
        <w:rPr>
          <w:rFonts w:ascii="Times New Roman" w:hAnsi="Times New Roman"/>
          <w:b w:val="0"/>
          <w:i w:val="0"/>
          <w:color w:val="000000"/>
          <w:sz w:val="14"/>
        </w:rPr>
        <w:t>1</w:t>
      </w:r>
      <w:r>
        <w:rPr>
          <w:rFonts w:ascii="Times New Roman" w:hAnsi="Times New Roman"/>
          <w:b w:val="0"/>
          <w:i w:val="0"/>
          <w:color w:val="000000"/>
          <w:sz w:val="20"/>
        </w:rPr>
        <w:t>=0</w:t>
      </w:r>
      <w:r>
        <w:rPr>
          <w:rFonts w:ascii="Times New Roman" w:hAnsi="Times New Roman"/>
          <w:b w:val="0"/>
          <w:i w:val="0"/>
          <w:color w:val="000000"/>
          <w:sz w:val="20"/>
        </w:rPr>
        <w:t>.</w:t>
      </w:r>
      <w:r>
        <w:rPr>
          <w:rFonts w:ascii="Times New Roman" w:hAnsi="Times New Roman"/>
          <w:b w:val="0"/>
          <w:i w:val="0"/>
          <w:color w:val="000000"/>
          <w:sz w:val="20"/>
        </w:rPr>
        <w:t>056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on the challenge set (2 TP / 46 FP)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because logit-gate thresholds calibrated on the test set over-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fit to its logit distribution. Block similarly degrades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same reason. The overall test-to-challenge gap of 0.10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Macro F1 is almost entirely attributable to tackle and block. </w:t>
      </w:r>
    </w:p>
    <w:p>
      <w:pPr>
        <w:pStyle w:val="Heading2"/>
        <w:spacing w:before="0" w:after="0" w:line="240" w:lineRule="auto"/>
        <w:ind w:left="0" w:right="6368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2.4. Post-Processing Pipeline </w:t>
      </w:r>
    </w:p>
    <w:p>
      <w:pPr>
        <w:spacing w:before="142" w:after="0" w:line="240" w:lineRule="auto"/>
        <w:ind w:left="0" w:right="42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All post-processing operates on the raw JSON event predic-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tions produced by the DST inference pipeline; no additional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model training is involved. </w:t>
      </w:r>
    </w:p>
    <w:p>
      <w:pPr>
        <w:spacing w:before="102" w:after="0" w:line="240" w:lineRule="auto"/>
        <w:ind w:left="0" w:right="4276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Combined logit gating.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For each prediction in the four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most prone to false positives (shot, header, tackle,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block), we retrieve the peak TAAD and GNN raw logits </w:t>
      </w:r>
      <w:r>
        <w:rPr>
          <w:rFonts w:ascii="Times New Roman" w:hAnsi="Times New Roman"/>
          <w:b w:val="0"/>
          <w:i w:val="0"/>
          <w:color w:val="000000"/>
          <w:sz w:val="20"/>
        </w:rPr>
        <w:t>for the predicted player within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12-frame window and </w:t>
      </w:r>
      <w:r>
        <w:rPr>
          <w:rFonts w:ascii="Times New Roman" w:hAnsi="Times New Roman"/>
          <w:b w:val="0"/>
          <w:i w:val="0"/>
          <w:color w:val="000000"/>
          <w:sz w:val="20"/>
        </w:rPr>
        <w:t>form a combined score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ℓ</w:t>
      </w:r>
      <w:r>
        <w:rPr>
          <w:rFonts w:ascii="Times New Roman" w:hAnsi="Times New Roman"/>
          <w:b w:val="0"/>
          <w:i w:val="0"/>
          <w:color w:val="000000"/>
          <w:sz w:val="14"/>
        </w:rPr>
        <w:t>TAAD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ℓ</w:t>
      </w:r>
      <w:r>
        <w:rPr>
          <w:rFonts w:ascii="Times New Roman" w:hAnsi="Times New Roman"/>
          <w:b w:val="0"/>
          <w:i w:val="0"/>
          <w:color w:val="000000"/>
          <w:sz w:val="14"/>
        </w:rPr>
        <w:t>GNN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Predictions </w:t>
      </w:r>
      <w:r>
        <w:rPr>
          <w:rFonts w:ascii="Times New Roman" w:hAnsi="Times New Roman"/>
          <w:b w:val="0"/>
          <w:i w:val="0"/>
          <w:color w:val="000000"/>
          <w:sz w:val="20"/>
        </w:rPr>
        <w:t>below a per-class threshold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</w:t>
      </w:r>
      <w:r>
        <w:rPr>
          <w:rFonts w:ascii="Times New Roman" w:hAnsi="Times New Roman"/>
          <w:b w:val="0"/>
          <w:i w:val="0"/>
          <w:color w:val="000000"/>
          <w:sz w:val="14"/>
        </w:rPr>
        <w:t>c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discarded (shot 3.0, header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2.5, tackle/block 4.0; calibrated from test set TP/FP logit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distributions). This removes 57% of block false positives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74% of tackle false positives while retaining all test set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true positives. </w:t>
      </w:r>
    </w:p>
    <w:p>
      <w:pPr>
        <w:pStyle w:val="Caption"/>
        <w:spacing w:before="0" w:after="0" w:line="240" w:lineRule="auto"/>
        <w:ind w:left="4302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2. Per-class F1 on test and challenge sets (best submission).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97501" cy="16242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7501" cy="1624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left="0" w:right="4268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Temporal refinement and jersey re-assignment.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header, tackle, and block predictions, the frame is shifted to </w:t>
      </w:r>
      <w:r>
        <w:rPr>
          <w:rFonts w:ascii="Times New Roman" w:hAnsi="Times New Roman"/>
          <w:b w:val="0"/>
          <w:i w:val="0"/>
          <w:color w:val="000000"/>
          <w:sz w:val="20"/>
        </w:rPr>
        <w:t>the peak TAAD logit within a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25-frame search window,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the jersey number is re-assigned to whichever player has </w:t>
      </w:r>
      <w:r>
        <w:rPr>
          <w:rFonts w:ascii="Times New Roman" w:hAnsi="Times New Roman"/>
          <w:b w:val="0"/>
          <w:i w:val="0"/>
          <w:color w:val="000000"/>
          <w:sz w:val="20"/>
        </w:rPr>
        <w:t>the highest peak logit within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 frames, requiring a margin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of at least 0.5 over the current assignment to prevent flip-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ping a correct jersey. These operations are restricted to rare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classes because applying them to drive and pass displaces </w:t>
      </w:r>
      <w:r>
        <w:rPr>
          <w:rFonts w:ascii="Times New Roman" w:hAnsi="Times New Roman"/>
          <w:b w:val="0"/>
          <w:i w:val="0"/>
          <w:color w:val="000000"/>
          <w:sz w:val="20"/>
        </w:rPr>
        <w:t>predictions outside the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±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12-frame evaluation tolerance. </w:t>
      </w:r>
    </w:p>
    <w:p>
      <w:pPr>
        <w:spacing w:before="0" w:after="0" w:line="240" w:lineRule="auto"/>
        <w:ind w:left="429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Failure modes.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dominant failure mode is precision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collapse on rare classes: with only 24 GT tackle events 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challenge set, even a handful of false positives collapses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F1, and logit-gate thresholds calibrated on the test set do not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transfer reliably. Cross-validated thresholds and retraining </w:t>
      </w:r>
      <w:r>
        <w:rPr>
          <w:rFonts w:ascii="Times New Roman" w:hAnsi="Times New Roman"/>
          <w:b w:val="0"/>
          <w:i w:val="0"/>
          <w:color w:val="000000"/>
          <w:sz w:val="20"/>
        </w:rPr>
        <w:t>with focal loss [</w:t>
      </w:r>
      <w:r>
        <w:rPr>
          <w:rFonts w:ascii="Times New Roman" w:hAnsi="Times New Roman"/>
          <w:b w:val="0"/>
          <w:i w:val="0"/>
          <w:color w:val="367DBD"/>
          <w:sz w:val="20"/>
        </w:rPr>
        <w:t>9</w:t>
      </w:r>
      <w:r>
        <w:rPr>
          <w:rFonts w:ascii="Times New Roman" w:hAnsi="Times New Roman"/>
          <w:b w:val="0"/>
          <w:i w:val="0"/>
          <w:color w:val="000000"/>
          <w:sz w:val="20"/>
        </w:rPr>
        <w:t>] (</w:t>
      </w:r>
      <w:r>
        <w:rPr>
          <w:rFonts w:ascii="Times New Roman" w:hAnsi="Times New Roman"/>
          <w:b w:val="0"/>
          <w:i w:val="0"/>
          <w:color w:val="000000"/>
          <w:sz w:val="20"/>
        </w:rPr>
        <w:t>γ</w:t>
      </w:r>
      <w:r>
        <w:rPr>
          <w:rFonts w:ascii="Times New Roman" w:hAnsi="Times New Roman"/>
          <w:b w:val="0"/>
          <w:i w:val="0"/>
          <w:color w:val="000000"/>
          <w:sz w:val="20"/>
        </w:rPr>
        <w:t>=2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are the most direct remedies.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secondary limitation is tracking coverage: approximately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20% of GT events lack a bounding box, causing the pipeline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fall back to a centred crop that cannot identify the correct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player. </w:t>
      </w:r>
    </w:p>
    <w:p>
      <w:pPr>
        <w:spacing w:before="0" w:after="0" w:line="240" w:lineRule="auto"/>
        <w:ind w:left="0" w:right="4298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>Per-class NMS and two-model ensemble.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Non-maximum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suppression uses class-specific windows: 25 frames for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tackle, 20 frames for block, and 15 frames for all other </w:t>
      </w:r>
    </w:p>
    <w:p>
      <w:r>
        <w:br w:type="page"/>
      </w:r>
    </w:p>
    <w:p>
      <w:pPr>
        <w:pStyle w:val="Heading3"/>
        <w:spacing w:before="0" w:after="0" w:line="240" w:lineRule="auto"/>
        <w:ind w:left="0" w:right="7915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</w:p>
    <w:p>
      <w:pPr>
        <w:spacing w:before="166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[1] J´er´emie Ochin, Rapha¨el Chekroun, Bogdan Stanciulescu, and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Sotiris Manitsaris. FOOTPASS: A multi-modal multi-agent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tactical context dataset for play-by-play action spotting in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soccer broadcast videos.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Computer Vision and Image Un-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derstanding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269:104790, 2026.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ISSN 1077-3142.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doi: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10.1016/j.cviu.2026.104790.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[2]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Jeremie Ochin, Guillaume Devineau, Bogdan Stanciulescu,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and Sotiris Manitsaris. Game state and spatio-temporal action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detection in soccer using graph neural networks and 3d con-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volutional networks.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14th International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Conference on Pattern Recognition Applications and Methods </w:t>
      </w:r>
      <w:r>
        <w:rPr>
          <w:rFonts w:ascii="Times New Roman" w:hAnsi="Times New Roman"/>
          <w:b w:val="0"/>
          <w:i w:val="0"/>
          <w:color w:val="000000"/>
          <w:sz w:val="18"/>
        </w:rPr>
        <w:t>(ICPRAM)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636–646. INSTICC, SciTePress, 2025. ISBN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978-989-758-730-6. doi: 10.5220/0013161100003905.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[3]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Gurkirt Singh, Vasileios Choutas, Suman Saha, Fisher Yu, and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Luc Van Gool. Spatio-temporal action detection under large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motion.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IEEE/CVF Winter Conference on </w:t>
      </w:r>
      <w:r>
        <w:rPr>
          <w:rFonts w:ascii="Times New Roman" w:hAnsi="Times New Roman"/>
          <w:b w:val="0"/>
          <w:i w:val="0"/>
          <w:color w:val="000000"/>
          <w:sz w:val="18"/>
        </w:rPr>
        <w:t>Applications of Computer Vision (WACV)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6009–6018,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January 2023.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[4]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Christoph Feichtenhofer. X3D: Expanding architectures for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efficient video recognition.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2020 IEEE/CVF Conference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on Computer Vision and Pattern Recognition (CVPR)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200–210, 2020. doi: 10.1109/CVPR42600.2020.00028.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[5]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Kaiming He, Georgia Gkioxari, Piotr Doll</w:t>
      </w:r>
      <w:r>
        <w:rPr>
          <w:rFonts w:ascii="Times New Roman" w:hAnsi="Times New Roman"/>
          <w:b w:val="0"/>
          <w:i w:val="0"/>
          <w:color w:val="000000"/>
          <w:sz w:val="18"/>
        </w:rPr>
        <w:t>´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ar, and Ross Girshick.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Mask R-CNN, 2018. URL</w:t>
      </w:r>
      <w:hyperlink r:id="rId12">
        <w:r>
          <w:rPr>
            <w:color w:val="367DBD"/>
            <w:u w:val="single"/>
            <w:sz w:val="18"/>
            <w:szCs w:val="18"/>
          </w:rPr>
          <w:t xml:space="preserve"> https://arxiv.org/abs/ </w:t>
        </w:r>
      </w:hyperlink>
    </w:p>
    <w:p>
      <w:pPr>
        <w:spacing w:before="0" w:after="0" w:line="240" w:lineRule="auto"/>
        <w:ind w:left="0" w:right="4247"/>
        <w:jc w:val="both"/>
      </w:pPr>
      <w:hyperlink r:id="rId12">
        <w:r>
          <w:rPr>
            <w:color w:val="367DBD"/>
            <w:u w:val="single"/>
            <w:sz w:val="18"/>
            <w:szCs w:val="18"/>
          </w:rPr>
          <w:t xml:space="preserve">1703.06870</w:t>
        </w:r>
      </w:hyperlink>
      <w:hyperlink r:id="rId12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[6]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Yue Wang, Yongbin Sun, Ziwei Liu, Sanjay E. Sarma,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Michael M. Bronstein, and Justin M. Solomon.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Dynamic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graph CNN for learning on point clouds, 2019. URL</w:t>
      </w:r>
      <w:hyperlink r:id="rId13">
        <w:r>
          <w:rPr>
            <w:color w:val="367DBD"/>
            <w:u w:val="single"/>
            <w:sz w:val="18"/>
            <w:szCs w:val="18"/>
          </w:rPr>
          <w:t xml:space="preserve"> https: </w:t>
        </w:r>
      </w:hyperlink>
      <w:hyperlink r:id="rId13">
        <w:r>
          <w:rPr>
            <w:color w:val="367DBD"/>
            <w:u w:val="single"/>
            <w:sz w:val="18"/>
            <w:szCs w:val="18"/>
          </w:rPr>
          <w:t xml:space="preserve">//arxiv.org/abs/1801.07829</w:t>
        </w:r>
      </w:hyperlink>
      <w:hyperlink r:id="rId13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Jeremie Ochin, Raphael Chekroun, Bogdan Stanciulescu, and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Sotiris Manitsaris. Beyond pixels: Leveraging the language of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soccer to improve spatio-temporal action detection in broadcast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videos. In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Proceedings of the 22nd International Conference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on Advanced Concepts for Intelligent Vision Systems (ACIVS)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2025. Scheduled for publication by Springer on 24th November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2025.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[8]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Uszko-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Il-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lia Polosukhin.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Attention is all you need, 2023.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URL </w:t>
      </w:r>
    </w:p>
    <w:p>
      <w:pPr>
        <w:spacing w:before="0" w:after="0" w:line="240" w:lineRule="auto"/>
        <w:ind w:left="0" w:right="4247"/>
        <w:jc w:val="both"/>
      </w:pPr>
      <w:hyperlink r:id="rId14">
        <w:r>
          <w:rPr>
            <w:color w:val="367DBD"/>
            <w:u w:val="single"/>
            <w:sz w:val="18"/>
            <w:szCs w:val="18"/>
          </w:rPr>
          <w:t xml:space="preserve">https://arxiv.org/abs/1706.03762</w:t>
        </w:r>
      </w:hyperlink>
      <w:hyperlink r:id="rId14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[9]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Tsung-Yi Lin, Priya Goyal, Ross Girshick, Kaiming He, and </w:t>
      </w:r>
    </w:p>
    <w:p>
      <w:pPr>
        <w:spacing w:before="0" w:after="0" w:line="240" w:lineRule="auto"/>
        <w:ind w:left="0" w:right="4247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>Piotr Doll</w:t>
      </w:r>
      <w:r>
        <w:rPr>
          <w:rFonts w:ascii="Times New Roman" w:hAnsi="Times New Roman"/>
          <w:b w:val="0"/>
          <w:i w:val="0"/>
          <w:color w:val="000000"/>
          <w:sz w:val="18"/>
        </w:rPr>
        <w:t>´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ar. Focal loss for dense object detection, 2018. URL </w:t>
      </w:r>
    </w:p>
    <w:p>
      <w:pPr>
        <w:spacing w:before="0" w:after="0" w:line="240" w:lineRule="auto"/>
        <w:ind w:left="0" w:right="4247"/>
        <w:jc w:val="both"/>
      </w:pPr>
      <w:hyperlink r:id="rId15">
        <w:r>
          <w:rPr>
            <w:color w:val="367DBD"/>
            <w:u w:val="single"/>
            <w:sz w:val="18"/>
            <w:szCs w:val="18"/>
          </w:rPr>
          <w:t xml:space="preserve">https://arxiv.org/abs/1708.02002</w:t>
        </w:r>
      </w:hyperlink>
      <w:hyperlink r:id="rId15">
        <w:r>
          <w:rPr>
            <w:color w:val="000000"/>
            <w:u w:val="single"/>
            <w:sz w:val="18"/>
            <w:szCs w:val="18"/>
          </w:rPr>
          <w:t xml:space="preserve">. </w:t>
        </w:r>
      </w:hyperlink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arxiv.org/abs/1703.06870" TargetMode="External"/><Relationship Id="rId13" Type="http://schemas.openxmlformats.org/officeDocument/2006/relationships/hyperlink" Target="https://arxiv.org/abs/1801.07829" TargetMode="External"/><Relationship Id="rId14" Type="http://schemas.openxmlformats.org/officeDocument/2006/relationships/hyperlink" Target="https://arxiv.org/abs/1706.03762" TargetMode="External"/><Relationship Id="rId15" Type="http://schemas.openxmlformats.org/officeDocument/2006/relationships/hyperlink" Target="https://arxiv.org/abs/1708.020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