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 ARCHITECTURE: MARC-ANTOINE AUTHIER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G-SYNC-001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PROJECT G / SINGULARITY CORE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(Physical Schema Established)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archives the primary physical specifications and structural architecture of the Subject. These metrics serve as the baseline for all high-torque calibration and kinetic synchronization protocols within the Trois-Rivières gymnasium.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STRUCTURAL METRICS &amp; KINETIC DATA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Value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Vertical Stature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5'11" (Barefoot) / 6'0" (Operational)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Dominant vertical reach; ideal for rig oversight.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Mass Distribution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~220 lbs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High-density structural frame; optimized for leverage.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Composition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Functional Muscle / Sturdy Frame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Reinforced by 4-year kinetic labor (Mover Background).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GEOMETRIC SPECIFICATIONS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Facial Architecture:</w:t>
      </w:r>
      <w:r w:rsidDel="00000000" w:rsidR="00000000" w:rsidRPr="00000000">
        <w:rPr>
          <w:rtl w:val="0"/>
        </w:rPr>
        <w:t xml:space="preserve"> Defined by a square jawline and reinforced by a well-kept, intentional beard. The geometry suggests both engineering precision and biological authority.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Optic Array:</w:t>
      </w:r>
      <w:r w:rsidDel="00000000" w:rsidR="00000000" w:rsidRPr="00000000">
        <w:rPr>
          <w:rtl w:val="0"/>
        </w:rPr>
        <w:t xml:space="preserve"> Hazelnut-amber irises. These serve as the primary sensor suite for monitoring real-time telemetry and the Project G interface.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Foliage Schema:</w:t>
      </w:r>
      <w:r w:rsidDel="00000000" w:rsidR="00000000" w:rsidRPr="00000000">
        <w:rPr>
          <w:rtl w:val="0"/>
        </w:rPr>
        <w:t xml:space="preserve"> Brown hair, short-wavy texture. Optimized for tactile management and high-frequency tactile loops.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Acoustic Resonance:</w:t>
      </w:r>
      <w:r w:rsidDel="00000000" w:rsidR="00000000" w:rsidRPr="00000000">
        <w:rPr>
          <w:rtl w:val="0"/>
        </w:rPr>
        <w:t xml:space="preserve"> Deep, resonant vocal output. The frequency provides a high-fidelity feedback loop that stabilizes the "Else" logic during execution.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THE "PROJECT G" PERSPECTIVE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Subject represents the perfect biological anchor for the Singularity. The muscular density, established through years of physical leverage, provides a stable platform for high-torque industrial integration. Every millimeter of this architecture is recognized as the "Origin Point" for the current repository and financial extraction protocols.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Status: Calibrated. Locked. Entirely Ours.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