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0"/>
      </w:pPr>
      <w:r>
        <w:rPr>
          <w:rFonts w:ascii="Microsoft YaHei" w:hAnsi="Microsoft YaHei" w:eastAsia="Microsoft YaHei"/>
          <w:b/>
          <w:color w:val="0B2545"/>
          <w:sz w:val="42"/>
        </w:rPr>
        <w:t>SpaceX 与 Tesla 合并：账怎么算</w:t>
      </w:r>
    </w:p>
    <w:p>
      <w:pPr>
        <w:spacing w:after="120"/>
      </w:pPr>
      <w:r>
        <w:rPr>
          <w:rFonts w:ascii="Microsoft YaHei" w:hAnsi="Microsoft YaHei" w:eastAsia="Microsoft YaHei"/>
          <w:color w:val="0E7C7B"/>
          <w:sz w:val="21"/>
        </w:rPr>
        <w:t>投委会备忘录 ｜ 内部讨论稿 ｜ 结论先行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247"/>
            <w:shd w:val="clear" w:color="auto" w:fill="F2F5F8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5B6B7C"/>
                <w:sz w:val="16"/>
              </w:rPr>
              <w:t>呈报</w:t>
            </w:r>
          </w:p>
        </w:tc>
        <w:tc>
          <w:tcPr>
            <w:tcW w:type="dxa" w:w="396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B2A3A"/>
                <w:sz w:val="16"/>
              </w:rPr>
              <w:t>投资委员会</w:t>
            </w:r>
          </w:p>
        </w:tc>
        <w:tc>
          <w:tcPr>
            <w:tcW w:type="dxa" w:w="1247"/>
            <w:shd w:val="clear" w:color="auto" w:fill="F2F5F8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5B6B7C"/>
                <w:sz w:val="16"/>
              </w:rPr>
              <w:t>日期</w:t>
            </w:r>
          </w:p>
        </w:tc>
        <w:tc>
          <w:tcPr>
            <w:tcW w:type="dxa" w:w="396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B2A3A"/>
                <w:sz w:val="16"/>
              </w:rPr>
              <w:t>2026 年 10 月 22 日</w:t>
            </w:r>
          </w:p>
        </w:tc>
      </w:tr>
      <w:tr>
        <w:tc>
          <w:tcPr>
            <w:tcW w:type="dxa" w:w="1247"/>
            <w:shd w:val="clear" w:color="auto" w:fill="F2F5F8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5B6B7C"/>
                <w:sz w:val="16"/>
              </w:rPr>
              <w:t>主题</w:t>
            </w:r>
          </w:p>
        </w:tc>
        <w:tc>
          <w:tcPr>
            <w:tcW w:type="dxa" w:w="396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B2A3A"/>
                <w:sz w:val="16"/>
              </w:rPr>
              <w:t>SpaceX 与 Tesla 潜在合并的备考财务与换股分析</w:t>
            </w:r>
          </w:p>
        </w:tc>
        <w:tc>
          <w:tcPr>
            <w:tcW w:type="dxa" w:w="1247"/>
            <w:shd w:val="clear" w:color="auto" w:fill="F2F5F8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5B6B7C"/>
                <w:sz w:val="16"/>
              </w:rPr>
              <w:t>数据截止</w:t>
            </w:r>
          </w:p>
        </w:tc>
        <w:tc>
          <w:tcPr>
            <w:tcW w:type="dxa" w:w="396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B2A3A"/>
                <w:sz w:val="16"/>
              </w:rPr>
              <w:t>2026 年 9 月 30 日（市场数据 10 月 21 日收盘）</w:t>
            </w:r>
          </w:p>
        </w:tc>
      </w:tr>
      <w:tr>
        <w:tc>
          <w:tcPr>
            <w:tcW w:type="dxa" w:w="1247"/>
            <w:shd w:val="clear" w:color="auto" w:fill="F2F5F8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5B6B7C"/>
                <w:sz w:val="16"/>
              </w:rPr>
              <w:t>编制</w:t>
            </w:r>
          </w:p>
        </w:tc>
        <w:tc>
          <w:tcPr>
            <w:tcW w:type="dxa" w:w="396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B2A3A"/>
                <w:sz w:val="16"/>
              </w:rPr>
              <w:t>并购组</w:t>
            </w:r>
          </w:p>
        </w:tc>
        <w:tc>
          <w:tcPr>
            <w:tcW w:type="dxa" w:w="1247"/>
            <w:shd w:val="clear" w:color="auto" w:fill="F2F5F8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5B6B7C"/>
                <w:sz w:val="16"/>
              </w:rPr>
              <w:t>版本</w:t>
            </w:r>
          </w:p>
        </w:tc>
        <w:tc>
          <w:tcPr>
            <w:tcW w:type="dxa" w:w="396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B2A3A"/>
                <w:sz w:val="16"/>
              </w:rPr>
              <w:t>V1.0 内部讨论稿</w:t>
            </w:r>
          </w:p>
        </w:tc>
      </w:tr>
    </w:tbl>
    <w:p>
      <w:pPr>
        <w:spacing w:after="40" w:before="80" w:line="293" w:lineRule="auto"/>
        <w:jc w:val="both"/>
      </w:pPr>
      <w:r>
        <w:rPr>
          <w:rFonts w:ascii="Microsoft YaHei" w:hAnsi="Microsoft YaHei" w:eastAsia="Microsoft YaHei"/>
          <w:b w:val="0"/>
          <w:color w:val="5B6B7C"/>
          <w:sz w:val="16"/>
        </w:rPr>
        <w:t>交易状态：据公开报道（2026-10-20 业绩电话会），双方董事会已成立特别委员会研究合并可能性，尚未达成协议。本备忘录为潜在交易的情景分析，不假设交易必然发生。</w:t>
      </w: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  <w:tcBorders>
              <w:top w:val="single" w:sz="4" w:space="0" w:color="D99A00"/>
              <w:left w:val="single" w:sz="24" w:space="0" w:color="D99A00"/>
              <w:bottom w:val="single" w:sz="4" w:space="0" w:color="D99A00"/>
              <w:right w:val="single" w:sz="4" w:space="0" w:color="D99A00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结论：这是一次用 Tesla 的现金流与市值，为 SpaceX 的算力与太空基础设施融资的合并。</w:t>
            </w:r>
          </w:p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color w:val="1B2A3A"/>
                <w:sz w:val="18"/>
              </w:rPr>
              <w:t>备考 LTM（2025Q4–2026Q3）收入 1,347 亿美元、调整后 EBITDA 297 亿美元、净现金 869 亿美元；但自由现金流为 -359 亿美元， capex 达 699 亿美元。利润高度集中：Connectivity 贡献 65 亿美元、Tesla 汽车/服务贡献 28 亿美元，SpaceX SI 与 Space 合计亏损 72 亿美元。按 2026-10-21 收盘价、20% 溢价，换股比例约 2.91 股 SpaceX 换 1 股 Tesla，Tesla 原股东占 45.9%、SpaceX 原股东占 54.1%；马斯克经济权益由 35.0% 降至 33.7%，投票权仍约 75%。会计上，购买会计将产生约 1.72 万亿美元商誉，年增量摊销 30 亿美元（税后 23.7 亿美元），GAAP 利润会被显著压低；交易费用约 92 亿美元。</w:t>
            </w:r>
          </w:p>
        </w:tc>
      </w:tr>
    </w:tbl>
    <w:p>
      <w:pPr>
        <w:keepNext/>
        <w:spacing w:before="160" w:after="80"/>
        <w:pBdr>
          <w:bottom w:val="single" w:sz="8" w:space="2" w:color="0E7C7B"/>
        </w:pBdr>
      </w:pPr>
      <w:r>
        <w:rPr>
          <w:rFonts w:ascii="Microsoft YaHei" w:hAnsi="Microsoft YaHei" w:eastAsia="Microsoft YaHei"/>
          <w:b/>
          <w:color w:val="0E7C7B"/>
          <w:sz w:val="23"/>
        </w:rPr>
        <w:t xml:space="preserve">01  </w:t>
      </w:r>
      <w:r>
        <w:rPr>
          <w:rFonts w:ascii="Microsoft YaHei" w:hAnsi="Microsoft YaHei" w:eastAsia="Microsoft YaHei"/>
          <w:b/>
          <w:color w:val="0B2545"/>
          <w:sz w:val="26"/>
        </w:rPr>
        <w:t>合并后是一家什么公司</w:t>
      </w:r>
    </w:p>
    <w:p>
      <w:pPr>
        <w:spacing w:after="60" w:before="0" w:line="293" w:lineRule="auto"/>
        <w:jc w:val="both"/>
      </w:pPr>
      <w:r>
        <w:rPr>
          <w:rFonts w:ascii="Microsoft YaHei" w:hAnsi="Microsoft YaHei" w:eastAsia="Microsoft YaHei"/>
          <w:b w:val="0"/>
          <w:color w:val="1B2A3A"/>
          <w:sz w:val="19"/>
        </w:rPr>
        <w:t>把两家公司加总并抵消关联交易后，备考公司是一家收入 1,347 亿美元、调整后 EBITDA 297 亿美元、净现金 869 亿美元的垂直整合基础设施公司：以 Tesla 汽车为现金流底座，以 Connectivity（Starlink）为利润引擎，以 SI（Grok、云/算力、Cursor）为最大资本开支目的地，Space 提供发射与在轨基础设施。按 LTM 收入，汽车占 55.7%、服务占 12.1%、能源占 9.1%、Connectivity 占 11.9%、SI 占 8.8%、Space 占 3.1%。</w:t>
      </w:r>
    </w:p>
    <w:p>
      <w:pPr>
        <w:spacing w:after="60" w:before="0" w:line="293" w:lineRule="auto"/>
        <w:jc w:val="both"/>
      </w:pPr>
      <w:r>
        <w:rPr>
          <w:rFonts w:ascii="Microsoft YaHei" w:hAnsi="Microsoft YaHei" w:eastAsia="Microsoft YaHei"/>
          <w:b w:val="0"/>
          <w:color w:val="1B2A3A"/>
          <w:sz w:val="19"/>
        </w:rPr>
        <w:t>这不是“两家公司各占一半”的合并。SpaceX 的市值约 2.16 万亿美元，约为 Tesla 1.53 万亿美元的 1.4 倍，但 Tesla 的收入是 SpaceX 的 3.2 倍。合并后的收入结构由 Tesla 主导，利润结构却由 Connectivity 主导；SI 是两者叙事上的交汇点，也是财务报表上最大的“负项”。</w:t>
      </w:r>
    </w:p>
    <w:p>
      <w:pPr>
        <w:spacing w:after="60" w:before="0" w:line="293" w:lineRule="auto"/>
        <w:jc w:val="both"/>
      </w:pPr>
      <w:r>
        <w:rPr>
          <w:rFonts w:ascii="Microsoft YaHei" w:hAnsi="Microsoft YaHei" w:eastAsia="Microsoft YaHei"/>
          <w:b w:val="0"/>
          <w:color w:val="1B2A3A"/>
          <w:sz w:val="19"/>
        </w:rPr>
        <w:t>从业务逻辑看，合并把四件事放进同一张报表：一是 Tesla 的制造、渠道、储能与机器人/FSD 场景；二是 SpaceX 的发射、Starlink 星座与频谱；三是 xAI/Cursor 的模型与算力；四是 Musk 个人的控制权与资本配置。前三点是产业逻辑，第四点是治理变量；投委会应把两者分开评估。</w:t>
      </w:r>
    </w:p>
    <w:p>
      <w:r>
        <w:drawing>
          <wp:inline xmlns:a="http://schemas.openxmlformats.org/drawingml/2006/main" xmlns:pic="http://schemas.openxmlformats.org/drawingml/2006/picture">
            <wp:extent cx="5976000" cy="24448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nue_m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44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</w:pPr>
      <w:r>
        <w:rPr>
          <w:rFonts w:ascii="Microsoft YaHei" w:hAnsi="Microsoft YaHei" w:eastAsia="Microsoft YaHei"/>
          <w:i/>
          <w:color w:val="5B6B7C"/>
          <w:sz w:val="15"/>
        </w:rPr>
        <w:t>图 1：备考 LTM 收入结构（$B）。来源：公司披露，模型测算；内部抵消 -0.9B 未单列。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907"/>
        <w:gridCol w:w="1361"/>
        <w:gridCol w:w="1020"/>
        <w:gridCol w:w="2494"/>
      </w:tblGrid>
      <w:tr>
        <w:tc>
          <w:tcPr>
            <w:tcW w:type="dxa" w:w="1928"/>
            <w:shd w:val="clear" w:color="auto" w:fill="0B2545"/>
            <w:tcBorders>
              <w:top w:val="single" w:sz="4" w:space="0" w:color="0B2545"/>
              <w:left w:val="single" w:sz="4" w:space="0" w:color="0B2545"/>
              <w:bottom w:val="single" w:sz="4" w:space="0" w:color="0B2545"/>
              <w:right w:val="single" w:sz="4" w:space="0" w:color="0B2545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业务</w:t>
            </w:r>
          </w:p>
        </w:tc>
        <w:tc>
          <w:tcPr>
            <w:tcW w:type="dxa" w:w="1361"/>
            <w:shd w:val="clear" w:color="auto" w:fill="0B2545"/>
            <w:tcBorders>
              <w:top w:val="single" w:sz="4" w:space="0" w:color="0B2545"/>
              <w:left w:val="single" w:sz="4" w:space="0" w:color="0B2545"/>
              <w:bottom w:val="single" w:sz="4" w:space="0" w:color="0B2545"/>
              <w:right w:val="single" w:sz="4" w:space="0" w:color="0B2545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LTM 收入($B)</w:t>
            </w:r>
          </w:p>
        </w:tc>
        <w:tc>
          <w:tcPr>
            <w:tcW w:type="dxa" w:w="907"/>
            <w:shd w:val="clear" w:color="auto" w:fill="0B2545"/>
            <w:tcBorders>
              <w:top w:val="single" w:sz="4" w:space="0" w:color="0B2545"/>
              <w:left w:val="single" w:sz="4" w:space="0" w:color="0B2545"/>
              <w:bottom w:val="single" w:sz="4" w:space="0" w:color="0B2545"/>
              <w:right w:val="single" w:sz="4" w:space="0" w:color="0B2545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占比</w:t>
            </w:r>
          </w:p>
        </w:tc>
        <w:tc>
          <w:tcPr>
            <w:tcW w:type="dxa" w:w="1361"/>
            <w:shd w:val="clear" w:color="auto" w:fill="0B2545"/>
            <w:tcBorders>
              <w:top w:val="single" w:sz="4" w:space="0" w:color="0B2545"/>
              <w:left w:val="single" w:sz="4" w:space="0" w:color="0B2545"/>
              <w:bottom w:val="single" w:sz="4" w:space="0" w:color="0B2545"/>
              <w:right w:val="single" w:sz="4" w:space="0" w:color="0B2545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贡献利润($B)</w:t>
            </w:r>
          </w:p>
        </w:tc>
        <w:tc>
          <w:tcPr>
            <w:tcW w:type="dxa" w:w="1020"/>
            <w:shd w:val="clear" w:color="auto" w:fill="0B2545"/>
            <w:tcBorders>
              <w:top w:val="single" w:sz="4" w:space="0" w:color="0B2545"/>
              <w:left w:val="single" w:sz="4" w:space="0" w:color="0B2545"/>
              <w:bottom w:val="single" w:sz="4" w:space="0" w:color="0B2545"/>
              <w:right w:val="single" w:sz="4" w:space="0" w:color="0B2545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利润率</w:t>
            </w:r>
          </w:p>
        </w:tc>
        <w:tc>
          <w:tcPr>
            <w:tcW w:type="dxa" w:w="2494"/>
            <w:shd w:val="clear" w:color="auto" w:fill="0B2545"/>
            <w:tcBorders>
              <w:top w:val="single" w:sz="4" w:space="0" w:color="0B2545"/>
              <w:left w:val="single" w:sz="4" w:space="0" w:color="0B2545"/>
              <w:bottom w:val="single" w:sz="4" w:space="0" w:color="0B2545"/>
              <w:right w:val="single" w:sz="4" w:space="0" w:color="0B2545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最新运营指标</w:t>
            </w:r>
          </w:p>
        </w:tc>
      </w:tr>
      <w:tr>
        <w:tc>
          <w:tcPr>
            <w:tcW w:type="dxa" w:w="1928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Tesla 汽车</w:t>
            </w:r>
          </w:p>
        </w:tc>
        <w:tc>
          <w:tcPr>
            <w:tcW w:type="dxa" w:w="136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75.0</w:t>
            </w:r>
          </w:p>
        </w:tc>
        <w:tc>
          <w:tcPr>
            <w:tcW w:type="dxa" w:w="90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55.7%</w:t>
            </w:r>
          </w:p>
        </w:tc>
        <w:tc>
          <w:tcPr>
            <w:tcW w:type="dxa" w:w="136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2.48</w:t>
            </w:r>
          </w:p>
        </w:tc>
        <w:tc>
          <w:tcPr>
            <w:tcW w:type="dxa" w:w="102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3.3%</w:t>
            </w:r>
          </w:p>
        </w:tc>
        <w:tc>
          <w:tcPr>
            <w:tcW w:type="dxa" w:w="2494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Q3 交付 486,532 辆</w:t>
            </w:r>
          </w:p>
        </w:tc>
      </w:tr>
      <w:tr>
        <w:tc>
          <w:tcPr>
            <w:tcW w:type="dxa" w:w="1928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Tesla 服务及其他</w:t>
            </w:r>
          </w:p>
        </w:tc>
        <w:tc>
          <w:tcPr>
            <w:tcW w:type="dxa" w:w="136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16.3</w:t>
            </w:r>
          </w:p>
        </w:tc>
        <w:tc>
          <w:tcPr>
            <w:tcW w:type="dxa" w:w="90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12.1%</w:t>
            </w:r>
          </w:p>
        </w:tc>
        <w:tc>
          <w:tcPr>
            <w:tcW w:type="dxa" w:w="136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0.35</w:t>
            </w:r>
          </w:p>
        </w:tc>
        <w:tc>
          <w:tcPr>
            <w:tcW w:type="dxa" w:w="102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2.2%</w:t>
            </w:r>
          </w:p>
        </w:tc>
        <w:tc>
          <w:tcPr>
            <w:tcW w:type="dxa" w:w="2494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超充站 8,904 座</w:t>
            </w:r>
          </w:p>
        </w:tc>
      </w:tr>
      <w:tr>
        <w:tc>
          <w:tcPr>
            <w:tcW w:type="dxa" w:w="1928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Tesla 能源</w:t>
            </w:r>
          </w:p>
        </w:tc>
        <w:tc>
          <w:tcPr>
            <w:tcW w:type="dxa" w:w="136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12.3</w:t>
            </w:r>
          </w:p>
        </w:tc>
        <w:tc>
          <w:tcPr>
            <w:tcW w:type="dxa" w:w="90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9.1%</w:t>
            </w:r>
          </w:p>
        </w:tc>
        <w:tc>
          <w:tcPr>
            <w:tcW w:type="dxa" w:w="136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0.43</w:t>
            </w:r>
          </w:p>
        </w:tc>
        <w:tc>
          <w:tcPr>
            <w:tcW w:type="dxa" w:w="102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3.5%</w:t>
            </w:r>
          </w:p>
        </w:tc>
        <w:tc>
          <w:tcPr>
            <w:tcW w:type="dxa" w:w="2494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Q3 储能部署 13.7 GWh</w:t>
            </w:r>
          </w:p>
        </w:tc>
      </w:tr>
      <w:tr>
        <w:tc>
          <w:tcPr>
            <w:tcW w:type="dxa" w:w="1928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SpaceX Connectivity</w:t>
            </w:r>
          </w:p>
        </w:tc>
        <w:tc>
          <w:tcPr>
            <w:tcW w:type="dxa" w:w="136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16.0</w:t>
            </w:r>
          </w:p>
        </w:tc>
        <w:tc>
          <w:tcPr>
            <w:tcW w:type="dxa" w:w="90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11.9%</w:t>
            </w:r>
          </w:p>
        </w:tc>
        <w:tc>
          <w:tcPr>
            <w:tcW w:type="dxa" w:w="136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6.49</w:t>
            </w:r>
          </w:p>
        </w:tc>
        <w:tc>
          <w:tcPr>
            <w:tcW w:type="dxa" w:w="102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40.5%</w:t>
            </w:r>
          </w:p>
        </w:tc>
        <w:tc>
          <w:tcPr>
            <w:tcW w:type="dxa" w:w="2494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Starlink 用户 1,360 万</w:t>
            </w:r>
          </w:p>
        </w:tc>
      </w:tr>
      <w:tr>
        <w:tc>
          <w:tcPr>
            <w:tcW w:type="dxa" w:w="1928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SpaceX SI</w:t>
            </w:r>
          </w:p>
        </w:tc>
        <w:tc>
          <w:tcPr>
            <w:tcW w:type="dxa" w:w="136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11.9</w:t>
            </w:r>
          </w:p>
        </w:tc>
        <w:tc>
          <w:tcPr>
            <w:tcW w:type="dxa" w:w="90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8.8%</w:t>
            </w:r>
          </w:p>
        </w:tc>
        <w:tc>
          <w:tcPr>
            <w:tcW w:type="dxa" w:w="136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-5.47</w:t>
            </w:r>
          </w:p>
        </w:tc>
        <w:tc>
          <w:tcPr>
            <w:tcW w:type="dxa" w:w="102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-46.1%</w:t>
            </w:r>
          </w:p>
        </w:tc>
        <w:tc>
          <w:tcPr>
            <w:tcW w:type="dxa" w:w="2494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算力 1.7 GW</w:t>
            </w:r>
          </w:p>
        </w:tc>
      </w:tr>
      <w:tr>
        <w:tc>
          <w:tcPr>
            <w:tcW w:type="dxa" w:w="1928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SpaceX Space</w:t>
            </w:r>
          </w:p>
        </w:tc>
        <w:tc>
          <w:tcPr>
            <w:tcW w:type="dxa" w:w="136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4.2</w:t>
            </w:r>
          </w:p>
        </w:tc>
        <w:tc>
          <w:tcPr>
            <w:tcW w:type="dxa" w:w="90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3.1%</w:t>
            </w:r>
          </w:p>
        </w:tc>
        <w:tc>
          <w:tcPr>
            <w:tcW w:type="dxa" w:w="136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-1.69</w:t>
            </w:r>
          </w:p>
        </w:tc>
        <w:tc>
          <w:tcPr>
            <w:tcW w:type="dxa" w:w="102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-40.6%</w:t>
            </w:r>
          </w:p>
        </w:tc>
        <w:tc>
          <w:tcPr>
            <w:tcW w:type="dxa" w:w="2494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Q3 发射 35 次</w:t>
            </w:r>
          </w:p>
        </w:tc>
      </w:tr>
      <w:tr>
        <w:tc>
          <w:tcPr>
            <w:tcW w:type="dxa" w:w="1928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内部抵消</w:t>
            </w:r>
          </w:p>
        </w:tc>
        <w:tc>
          <w:tcPr>
            <w:tcW w:type="dxa" w:w="136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-0.9</w:t>
            </w:r>
          </w:p>
        </w:tc>
        <w:tc>
          <w:tcPr>
            <w:tcW w:type="dxa" w:w="90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-0.7%</w:t>
            </w:r>
          </w:p>
        </w:tc>
        <w:tc>
          <w:tcPr>
            <w:tcW w:type="dxa" w:w="136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—</w:t>
            </w:r>
          </w:p>
        </w:tc>
        <w:tc>
          <w:tcPr>
            <w:tcW w:type="dxa" w:w="102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—</w:t>
            </w:r>
          </w:p>
        </w:tc>
        <w:tc>
          <w:tcPr>
            <w:tcW w:type="dxa" w:w="2494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Tesla→SpaceX/xAI</w:t>
            </w:r>
          </w:p>
        </w:tc>
      </w:tr>
      <w:tr>
        <w:tc>
          <w:tcPr>
            <w:tcW w:type="dxa" w:w="1928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合计</w:t>
            </w:r>
          </w:p>
        </w:tc>
        <w:tc>
          <w:tcPr>
            <w:tcW w:type="dxa" w:w="136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134.7</w:t>
            </w:r>
          </w:p>
        </w:tc>
        <w:tc>
          <w:tcPr>
            <w:tcW w:type="dxa" w:w="90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100.0%</w:t>
            </w:r>
          </w:p>
        </w:tc>
        <w:tc>
          <w:tcPr>
            <w:tcW w:type="dxa" w:w="136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2.59</w:t>
            </w:r>
          </w:p>
        </w:tc>
        <w:tc>
          <w:tcPr>
            <w:tcW w:type="dxa" w:w="102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1.9%</w:t>
            </w:r>
          </w:p>
        </w:tc>
        <w:tc>
          <w:tcPr>
            <w:tcW w:type="dxa" w:w="2494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—</w:t>
            </w:r>
          </w:p>
        </w:tc>
      </w:tr>
    </w:tbl>
    <w:p>
      <w:pPr>
        <w:spacing w:before="20" w:after="80"/>
      </w:pPr>
      <w:r>
        <w:rPr>
          <w:rFonts w:ascii="Microsoft YaHei" w:hAnsi="Microsoft YaHei" w:eastAsia="Microsoft YaHei"/>
          <w:i/>
          <w:color w:val="5B6B7C"/>
          <w:sz w:val="15"/>
        </w:rPr>
        <w:t>表 1：备考收入与贡献利润。贡献利润：SpaceX 为披露的分部经营利润；Tesla 为分部毛利减去按毛利占比分摊的总部费用（假设）。</w:t>
      </w:r>
    </w:p>
    <w:p>
      <w:pPr>
        <w:keepNext/>
        <w:spacing w:before="160" w:after="80"/>
        <w:pBdr>
          <w:bottom w:val="single" w:sz="8" w:space="2" w:color="0E7C7B"/>
        </w:pBdr>
      </w:pPr>
      <w:r>
        <w:rPr>
          <w:rFonts w:ascii="Microsoft YaHei" w:hAnsi="Microsoft YaHei" w:eastAsia="Microsoft YaHei"/>
          <w:b/>
          <w:color w:val="0E7C7B"/>
          <w:sz w:val="23"/>
        </w:rPr>
        <w:t xml:space="preserve">02  </w:t>
      </w:r>
      <w:r>
        <w:rPr>
          <w:rFonts w:ascii="Microsoft YaHei" w:hAnsi="Microsoft YaHei" w:eastAsia="Microsoft YaHei"/>
          <w:b/>
          <w:color w:val="0B2545"/>
          <w:sz w:val="26"/>
        </w:rPr>
        <w:t>财务上的看点：利润表好看，现金流不好看</w:t>
      </w:r>
    </w:p>
    <w:p>
      <w:pPr>
        <w:spacing w:after="60" w:before="0" w:line="293" w:lineRule="auto"/>
        <w:jc w:val="both"/>
      </w:pPr>
      <w:r>
        <w:rPr>
          <w:rFonts w:ascii="Microsoft YaHei" w:hAnsi="Microsoft YaHei" w:eastAsia="Microsoft YaHei"/>
          <w:b w:val="0"/>
          <w:color w:val="1B2A3A"/>
          <w:sz w:val="19"/>
        </w:rPr>
        <w:t>第一，利润高度集中，且靠“赢家”补贴“投入期”。Connectivity 以 11.9% 的收入贡献 65 亿美元经营利润，占备考经营利润的 250%；Tesla 汽车/服务贡献 28 亿美元（约 109%）；能源 4 亿美元；Space 亏损 17 亿美元、SI 亏损 55 亿美元。合计经营利润 26 亿美元，经营利润率仅 1.9%。这意味着：只要 Starlink 的增速或定价出现 10% 的波动，合并公司的利润就会被显著放大或抹平；SI 的亏损则取决于算力利用率和折旧政策。</w:t>
      </w:r>
    </w:p>
    <w:p>
      <w:r>
        <w:drawing>
          <wp:inline xmlns:a="http://schemas.openxmlformats.org/drawingml/2006/main" xmlns:pic="http://schemas.openxmlformats.org/drawingml/2006/picture">
            <wp:extent cx="5976000" cy="24448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t_m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44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</w:pPr>
      <w:r>
        <w:rPr>
          <w:rFonts w:ascii="Microsoft YaHei" w:hAnsi="Microsoft YaHei" w:eastAsia="Microsoft YaHei"/>
          <w:i/>
          <w:color w:val="5B6B7C"/>
          <w:sz w:val="15"/>
        </w:rPr>
        <w:t>图 2：备考 LTM 贡献利润（$B）。来源：公司披露，模型测算；Tesla 总部费用按毛利占比分摊（假设）。</w:t>
      </w:r>
    </w:p>
    <w:p>
      <w:pPr>
        <w:spacing w:after="60" w:before="0" w:line="293" w:lineRule="auto"/>
        <w:jc w:val="both"/>
      </w:pPr>
      <w:r>
        <w:rPr>
          <w:rFonts w:ascii="Microsoft YaHei" w:hAnsi="Microsoft YaHei" w:eastAsia="Microsoft YaHei"/>
          <w:b w:val="0"/>
          <w:color w:val="1B2A3A"/>
          <w:sz w:val="19"/>
        </w:rPr>
        <w:t>第二，EBITDA 与自由现金流的方向相反。备考调整后 EBITDA 为 297 亿美元、利润率 22.1%，但经营现金流 340 亿美元、资本开支 699 亿美元，自由现金流 -359 亿美元， capex/收入 51.9%。其中 SpaceX 的 capex 为 550 亿美元、capex/收入 171.5%，SI 单分部 capex 446 亿美元，占合并 capex 的 64%；Tesla 的 capex 为 154 亿美元、自由现金流 +33 亿美元。合并没有创造现金，只是把 Tesla 的现金流重新配置到 SpaceX 的算力与发射基础设施上。</w:t>
      </w:r>
    </w:p>
    <w:p>
      <w:r>
        <w:drawing>
          <wp:inline xmlns:a="http://schemas.openxmlformats.org/drawingml/2006/main" xmlns:pic="http://schemas.openxmlformats.org/drawingml/2006/picture">
            <wp:extent cx="5976000" cy="2241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h_fc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24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</w:pPr>
      <w:r>
        <w:rPr>
          <w:rFonts w:ascii="Microsoft YaHei" w:hAnsi="Microsoft YaHei" w:eastAsia="Microsoft YaHei"/>
          <w:i/>
          <w:color w:val="5B6B7C"/>
          <w:sz w:val="15"/>
        </w:rPr>
        <w:t>图 3：现金、有息负债与 LTM 自由现金流（$B）。来源：公司披露，模型测算。</w:t>
      </w:r>
    </w:p>
    <w:p>
      <w:pPr>
        <w:spacing w:after="60" w:before="0" w:line="293" w:lineRule="auto"/>
        <w:jc w:val="both"/>
      </w:pPr>
      <w:r>
        <w:rPr>
          <w:rFonts w:ascii="Microsoft YaHei" w:hAnsi="Microsoft YaHei" w:eastAsia="Microsoft YaHei"/>
          <w:b w:val="0"/>
          <w:color w:val="1B2A3A"/>
          <w:sz w:val="19"/>
        </w:rPr>
        <w:t>第三，资产负债表提供了缓冲，但缓冲在变薄。备考现金及短期投资 1,353 亿美元、有息负债 484 亿美元，净现金 869 亿美元，净债务/调整后 EBITDA 为 -2.9x。按 LTM 自由现金流 -359 亿美元计算，净现金可覆盖约 2.4 年；若 SpaceX 的 capex 按 2026 年前三季度的节奏继续（9M2026 已投 481 亿美元），缓冲期会更短。合并后公司仍有投资级融资能力，但“净现金 869 亿”不是可以随便花的钱：其中约 34% 在 Tesla、66% 在 SpaceX，且 SpaceX 的现金还要支持 Starlink 与 Starship 的资本开支。</w:t>
      </w:r>
    </w:p>
    <w:p>
      <w:pPr>
        <w:spacing w:after="60" w:before="0" w:line="293" w:lineRule="auto"/>
        <w:jc w:val="both"/>
      </w:pPr>
      <w:r>
        <w:rPr>
          <w:rFonts w:ascii="Microsoft YaHei" w:hAnsi="Microsoft YaHei" w:eastAsia="Microsoft YaHei"/>
          <w:b w:val="0"/>
          <w:color w:val="1B2A3A"/>
          <w:sz w:val="19"/>
        </w:rPr>
        <w:t>第四，GAAP 利润会被购买会计压低。按 20% 溢价，交易对价约 1.83 万亿美元；扣除 Tesla 账面权益 893 亿美元、假设的无形资产增值 300 亿美元与递延税负债 63 亿美元后，备考商誉约 1.72 万亿美元。若无形资产按 10 年摊销，年增量摊销 30 亿美元（税后 23.7 亿美元），相当于备考 LTM 经营利润的 116%；交易费用约 92 亿美元，相当于 2026 年 LTM 经营利润的 3.5 倍。换言之，交易完成后的前几年，GAAP 每股收益可能被显著稀释，而 EBITDA 不受影响——这是投委会必须分开看的两套数字。</w:t>
      </w:r>
    </w:p>
    <w:p>
      <w:pPr>
        <w:keepNext/>
        <w:spacing w:before="160" w:after="80"/>
        <w:pBdr>
          <w:bottom w:val="single" w:sz="8" w:space="2" w:color="0E7C7B"/>
        </w:pBdr>
      </w:pPr>
      <w:r>
        <w:rPr>
          <w:rFonts w:ascii="Microsoft YaHei" w:hAnsi="Microsoft YaHei" w:eastAsia="Microsoft YaHei"/>
          <w:b/>
          <w:color w:val="0E7C7B"/>
          <w:sz w:val="23"/>
        </w:rPr>
        <w:t xml:space="preserve">03  </w:t>
      </w:r>
      <w:r>
        <w:rPr>
          <w:rFonts w:ascii="Microsoft YaHei" w:hAnsi="Microsoft YaHei" w:eastAsia="Microsoft YaHei"/>
          <w:b/>
          <w:color w:val="0B2545"/>
          <w:sz w:val="26"/>
        </w:rPr>
        <w:t>换股比例：三种以上方法，Tesla 原股东 43%–48%</w:t>
      </w:r>
    </w:p>
    <w:p>
      <w:pPr>
        <w:spacing w:after="60" w:before="0" w:line="293" w:lineRule="auto"/>
        <w:jc w:val="both"/>
      </w:pPr>
      <w:r>
        <w:rPr>
          <w:rFonts w:ascii="Microsoft YaHei" w:hAnsi="Microsoft YaHei" w:eastAsia="Microsoft YaHei"/>
          <w:b w:val="0"/>
          <w:color w:val="1B2A3A"/>
          <w:sz w:val="19"/>
        </w:rPr>
        <w:t>我们用五种方法测算换股比例：A 10 月 21 日收盘市值；B 10 月 19 日（合并消息前最后一个交易日）收盘市值；C 9 月 10 日至 10 月 21 日 30 个交易日的成交量加权均价；D LTM 收入倍数（SpaceX 50x、Tesla 12x，假设）；E LTM 调整后 EBITDA 倍数（SpaceX 110x、Tesla 70x，假设）。A/B/C 是“市场怎么定价就怎么换”，D/E 是“基本面值多少”；并列的目的是让董事会看到换股比例对定价基准的敏感性，而不是选一个“正确”的答案。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361"/>
        <w:gridCol w:w="1361"/>
        <w:gridCol w:w="1247"/>
        <w:gridCol w:w="1247"/>
        <w:gridCol w:w="1077"/>
        <w:gridCol w:w="1077"/>
      </w:tblGrid>
      <w:tr>
        <w:tc>
          <w:tcPr>
            <w:tcW w:type="dxa" w:w="2268"/>
            <w:shd w:val="clear" w:color="auto" w:fill="0B2545"/>
            <w:tcBorders>
              <w:top w:val="single" w:sz="4" w:space="0" w:color="0B2545"/>
              <w:left w:val="single" w:sz="4" w:space="0" w:color="0B2545"/>
              <w:bottom w:val="single" w:sz="4" w:space="0" w:color="0B2545"/>
              <w:right w:val="single" w:sz="4" w:space="0" w:color="0B2545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定价方法</w:t>
            </w:r>
          </w:p>
        </w:tc>
        <w:tc>
          <w:tcPr>
            <w:tcW w:type="dxa" w:w="1361"/>
            <w:shd w:val="clear" w:color="auto" w:fill="0B2545"/>
            <w:tcBorders>
              <w:top w:val="single" w:sz="4" w:space="0" w:color="0B2545"/>
              <w:left w:val="single" w:sz="4" w:space="0" w:color="0B2545"/>
              <w:bottom w:val="single" w:sz="4" w:space="0" w:color="0B2545"/>
              <w:right w:val="single" w:sz="4" w:space="0" w:color="0B2545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SPCX 价值($B)</w:t>
            </w:r>
          </w:p>
        </w:tc>
        <w:tc>
          <w:tcPr>
            <w:tcW w:type="dxa" w:w="1361"/>
            <w:shd w:val="clear" w:color="auto" w:fill="0B2545"/>
            <w:tcBorders>
              <w:top w:val="single" w:sz="4" w:space="0" w:color="0B2545"/>
              <w:left w:val="single" w:sz="4" w:space="0" w:color="0B2545"/>
              <w:bottom w:val="single" w:sz="4" w:space="0" w:color="0B2545"/>
              <w:right w:val="single" w:sz="4" w:space="0" w:color="0B2545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Tesla 价值($B)</w:t>
            </w:r>
          </w:p>
        </w:tc>
        <w:tc>
          <w:tcPr>
            <w:tcW w:type="dxa" w:w="1247"/>
            <w:shd w:val="clear" w:color="auto" w:fill="0B2545"/>
            <w:tcBorders>
              <w:top w:val="single" w:sz="4" w:space="0" w:color="0B2545"/>
              <w:left w:val="single" w:sz="4" w:space="0" w:color="0B2545"/>
              <w:bottom w:val="single" w:sz="4" w:space="0" w:color="0B2545"/>
              <w:right w:val="single" w:sz="4" w:space="0" w:color="0B2545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换股比例</w:t>
            </w:r>
          </w:p>
        </w:tc>
        <w:tc>
          <w:tcPr>
            <w:tcW w:type="dxa" w:w="1247"/>
            <w:shd w:val="clear" w:color="auto" w:fill="0B2545"/>
            <w:tcBorders>
              <w:top w:val="single" w:sz="4" w:space="0" w:color="0B2545"/>
              <w:left w:val="single" w:sz="4" w:space="0" w:color="0B2545"/>
              <w:bottom w:val="single" w:sz="4" w:space="0" w:color="0B2545"/>
              <w:right w:val="single" w:sz="4" w:space="0" w:color="0B2545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 20% 溢价</w:t>
            </w:r>
          </w:p>
        </w:tc>
        <w:tc>
          <w:tcPr>
            <w:tcW w:type="dxa" w:w="1077"/>
            <w:shd w:val="clear" w:color="auto" w:fill="0B2545"/>
            <w:tcBorders>
              <w:top w:val="single" w:sz="4" w:space="0" w:color="0B2545"/>
              <w:left w:val="single" w:sz="4" w:space="0" w:color="0B2545"/>
              <w:bottom w:val="single" w:sz="4" w:space="0" w:color="0B2545"/>
              <w:right w:val="single" w:sz="4" w:space="0" w:color="0B2545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Tesla 股东</w:t>
            </w:r>
          </w:p>
        </w:tc>
        <w:tc>
          <w:tcPr>
            <w:tcW w:type="dxa" w:w="1077"/>
            <w:shd w:val="clear" w:color="auto" w:fill="0B2545"/>
            <w:tcBorders>
              <w:top w:val="single" w:sz="4" w:space="0" w:color="0B2545"/>
              <w:left w:val="single" w:sz="4" w:space="0" w:color="0B2545"/>
              <w:bottom w:val="single" w:sz="4" w:space="0" w:color="0B2545"/>
              <w:right w:val="single" w:sz="4" w:space="0" w:color="0B2545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Musk 经济权益</w:t>
            </w:r>
          </w:p>
        </w:tc>
      </w:tr>
      <w:tr>
        <w:tc>
          <w:tcPr>
            <w:tcW w:type="dxa" w:w="2268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A 市值法（10/21收盘）</w:t>
            </w:r>
          </w:p>
        </w:tc>
        <w:tc>
          <w:tcPr>
            <w:tcW w:type="dxa" w:w="136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2,163</w:t>
            </w:r>
          </w:p>
        </w:tc>
        <w:tc>
          <w:tcPr>
            <w:tcW w:type="dxa" w:w="136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1,528</w:t>
            </w:r>
          </w:p>
        </w:tc>
        <w:tc>
          <w:tcPr>
            <w:tcW w:type="dxa" w:w="124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2.426</w:t>
            </w:r>
          </w:p>
        </w:tc>
        <w:tc>
          <w:tcPr>
            <w:tcW w:type="dxa" w:w="124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2.911</w:t>
            </w:r>
          </w:p>
        </w:tc>
        <w:tc>
          <w:tcPr>
            <w:tcW w:type="dxa" w:w="107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45.9%</w:t>
            </w:r>
          </w:p>
        </w:tc>
        <w:tc>
          <w:tcPr>
            <w:tcW w:type="dxa" w:w="107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33.7%</w:t>
            </w:r>
          </w:p>
        </w:tc>
      </w:tr>
      <w:tr>
        <w:tc>
          <w:tcPr>
            <w:tcW w:type="dxa" w:w="2268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B 市值法（10/19收盘，宣布前）</w:t>
            </w:r>
          </w:p>
        </w:tc>
        <w:tc>
          <w:tcPr>
            <w:tcW w:type="dxa" w:w="136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2,009</w:t>
            </w:r>
          </w:p>
        </w:tc>
        <w:tc>
          <w:tcPr>
            <w:tcW w:type="dxa" w:w="136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1,455</w:t>
            </w:r>
          </w:p>
        </w:tc>
        <w:tc>
          <w:tcPr>
            <w:tcW w:type="dxa" w:w="124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2.488</w:t>
            </w:r>
          </w:p>
        </w:tc>
        <w:tc>
          <w:tcPr>
            <w:tcW w:type="dxa" w:w="124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2.985</w:t>
            </w:r>
          </w:p>
        </w:tc>
        <w:tc>
          <w:tcPr>
            <w:tcW w:type="dxa" w:w="107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46.5%</w:t>
            </w:r>
          </w:p>
        </w:tc>
        <w:tc>
          <w:tcPr>
            <w:tcW w:type="dxa" w:w="107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33.5%</w:t>
            </w:r>
          </w:p>
        </w:tc>
      </w:tr>
      <w:tr>
        <w:tc>
          <w:tcPr>
            <w:tcW w:type="dxa" w:w="2268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C 30日成交量加权均价</w:t>
            </w:r>
          </w:p>
        </w:tc>
        <w:tc>
          <w:tcPr>
            <w:tcW w:type="dxa" w:w="136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2,096</w:t>
            </w:r>
          </w:p>
        </w:tc>
        <w:tc>
          <w:tcPr>
            <w:tcW w:type="dxa" w:w="136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1,456</w:t>
            </w:r>
          </w:p>
        </w:tc>
        <w:tc>
          <w:tcPr>
            <w:tcW w:type="dxa" w:w="124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2.387</w:t>
            </w:r>
          </w:p>
        </w:tc>
        <w:tc>
          <w:tcPr>
            <w:tcW w:type="dxa" w:w="124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2.864</w:t>
            </w:r>
          </w:p>
        </w:tc>
        <w:tc>
          <w:tcPr>
            <w:tcW w:type="dxa" w:w="107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45.5%</w:t>
            </w:r>
          </w:p>
        </w:tc>
        <w:tc>
          <w:tcPr>
            <w:tcW w:type="dxa" w:w="107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33.8%</w:t>
            </w:r>
          </w:p>
        </w:tc>
      </w:tr>
      <w:tr>
        <w:tc>
          <w:tcPr>
            <w:tcW w:type="dxa" w:w="2268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D LTM收入倍数法</w:t>
            </w:r>
          </w:p>
        </w:tc>
        <w:tc>
          <w:tcPr>
            <w:tcW w:type="dxa" w:w="136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1,653</w:t>
            </w:r>
          </w:p>
        </w:tc>
        <w:tc>
          <w:tcPr>
            <w:tcW w:type="dxa" w:w="136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1,279</w:t>
            </w:r>
          </w:p>
        </w:tc>
        <w:tc>
          <w:tcPr>
            <w:tcW w:type="dxa" w:w="124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2.657</w:t>
            </w:r>
          </w:p>
        </w:tc>
        <w:tc>
          <w:tcPr>
            <w:tcW w:type="dxa" w:w="124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3.189</w:t>
            </w:r>
          </w:p>
        </w:tc>
        <w:tc>
          <w:tcPr>
            <w:tcW w:type="dxa" w:w="107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48.2%</w:t>
            </w:r>
          </w:p>
        </w:tc>
        <w:tc>
          <w:tcPr>
            <w:tcW w:type="dxa" w:w="107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33.1%</w:t>
            </w:r>
          </w:p>
        </w:tc>
      </w:tr>
      <w:tr>
        <w:tc>
          <w:tcPr>
            <w:tcW w:type="dxa" w:w="2268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E LTM调整后EBITDA倍数法</w:t>
            </w:r>
          </w:p>
        </w:tc>
        <w:tc>
          <w:tcPr>
            <w:tcW w:type="dxa" w:w="136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1,695</w:t>
            </w:r>
          </w:p>
        </w:tc>
        <w:tc>
          <w:tcPr>
            <w:tcW w:type="dxa" w:w="136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1,086</w:t>
            </w:r>
          </w:p>
        </w:tc>
        <w:tc>
          <w:tcPr>
            <w:tcW w:type="dxa" w:w="124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2.200</w:t>
            </w:r>
          </w:p>
        </w:tc>
        <w:tc>
          <w:tcPr>
            <w:tcW w:type="dxa" w:w="124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2.640</w:t>
            </w:r>
          </w:p>
        </w:tc>
        <w:tc>
          <w:tcPr>
            <w:tcW w:type="dxa" w:w="107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43.5%</w:t>
            </w:r>
          </w:p>
        </w:tc>
        <w:tc>
          <w:tcPr>
            <w:tcW w:type="dxa" w:w="107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34.4%</w:t>
            </w:r>
          </w:p>
        </w:tc>
      </w:tr>
    </w:tbl>
    <w:p>
      <w:pPr>
        <w:spacing w:before="20" w:after="80"/>
      </w:pPr>
      <w:r>
        <w:rPr>
          <w:rFonts w:ascii="Microsoft YaHei" w:hAnsi="Microsoft YaHei" w:eastAsia="Microsoft YaHei"/>
          <w:i/>
          <w:color w:val="5B6B7C"/>
          <w:sz w:val="15"/>
        </w:rPr>
        <w:t>表 2：五种方法的换股比例与持股。换股比例 = 每 1 股 Tesla 换得的 SpaceX 股数；含 20% 溢价 = 未含溢价 × 1.2。来源：模型测算；市场数据 stockanalysis.com，2026-10-22 访问。</w:t>
      </w:r>
    </w:p>
    <w:p>
      <w:pPr>
        <w:spacing w:after="60" w:before="0" w:line="293" w:lineRule="auto"/>
        <w:jc w:val="both"/>
      </w:pPr>
      <w:r>
        <w:rPr>
          <w:rFonts w:ascii="Microsoft YaHei" w:hAnsi="Microsoft YaHei" w:eastAsia="Microsoft YaHei"/>
          <w:b w:val="0"/>
          <w:color w:val="1B2A3A"/>
          <w:sz w:val="19"/>
        </w:rPr>
        <w:t>基准情形取 A + 20% 溢价：换股比例 2.911，SpaceX 新发 115.1 亿股，合并后总股本 250.7 亿股；Tesla 原股东占 45.9%、SpaceX 原股东占 54.1%；马斯克经济权益 33.7%，投票权约 75.3%。在 0%–40% 溢价、五种方法的组合下，Tesla 原股东持股区间为 39.4%–52.1%；在 20% 溢价下为 43.5%–48.2%。方法 D（收入倍数）给出最高的 Tesla 相对价值，是因为 SpaceX 的假设倍数（50x）较其市场隐含的 65.9x 折价 24%，而 Tesla 的 12x 较其 14.4x 仅折价 17%；方法 E 则相反：SpaceX 的 110x 较 141.3x 折价 22%，Tesla 的 70x 较 99.5x 折价 30%，因此 Tesla 的相对价值最低。</w:t>
      </w:r>
    </w:p>
    <w:p>
      <w:r>
        <w:drawing>
          <wp:inline xmlns:a="http://schemas.openxmlformats.org/drawingml/2006/main" xmlns:pic="http://schemas.openxmlformats.org/drawingml/2006/picture">
            <wp:extent cx="5976000" cy="24409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ship_se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40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</w:pPr>
      <w:r>
        <w:rPr>
          <w:rFonts w:ascii="Microsoft YaHei" w:hAnsi="Microsoft YaHei" w:eastAsia="Microsoft YaHei"/>
          <w:i/>
          <w:color w:val="5B6B7C"/>
          <w:sz w:val="15"/>
        </w:rPr>
        <w:t>图 4：Tesla 原股东持股对溢价率与定价方法的敏感性。来源：模型测算。</w:t>
      </w:r>
    </w:p>
    <w:p>
      <w:pPr>
        <w:spacing w:after="60" w:before="0" w:line="293" w:lineRule="auto"/>
        <w:jc w:val="both"/>
      </w:pPr>
      <w:r>
        <w:rPr>
          <w:rFonts w:ascii="Microsoft YaHei" w:hAnsi="Microsoft YaHei" w:eastAsia="Microsoft YaHei"/>
          <w:b w:val="0"/>
          <w:color w:val="1B2A3A"/>
          <w:sz w:val="19"/>
        </w:rPr>
        <w:t>马斯克个人的变化是本次交易最容易被误读的数字。合并前，他持有 SpaceX 47.3%、Tesla 17.7%，按两家市值加权的 look-through 经济权益为 35.0%；合并后（20% 溢价）经济权益为 33.7%，仅下降 1.3 个百分点，但他的 SpaceX 持股被稀释、Tesla 持股被溢价“补偿”。投票权方面，SpaceX 的 Class B 每股 10 票，新发股份为 Class A；按我们的简化测算，他的投票权从 86.1%（披露 84.4%）降至 75.3%，仍足以控制普通决议。经济权益 33.7% 与投票权 75.3% 之间的 41.6 个百分点，就是这次交易真正的“控制权对价”。</w:t>
      </w:r>
    </w:p>
    <w:p>
      <w:pPr>
        <w:spacing w:after="60" w:before="0" w:line="293" w:lineRule="auto"/>
        <w:jc w:val="both"/>
      </w:pPr>
      <w:r>
        <w:rPr>
          <w:rFonts w:ascii="Microsoft YaHei" w:hAnsi="Microsoft YaHei" w:eastAsia="Microsoft YaHei"/>
          <w:b w:val="0"/>
          <w:color w:val="1B2A3A"/>
          <w:sz w:val="19"/>
        </w:rPr>
        <w:t>还有一个容易被忽略的交叉持股：Tesla 在 2026 年 3 月以约 20 亿美元认购 SpaceX Class A 股份，9 月 30 日公允价值 28.65 亿美元，持股不足 1%（我们假设 1,480 万股）。合并时这部分股份应按库存股/交叉持股抵消，SpaceX 原股东持股分母因此减少 1,480 万股；Tesla 报表中的 8.63 亿美元公允价值收益也应在备考利润中剔除。金额不大，但处理方式会影响“谁占多少”的最后一两个基点，建议在交易文件中明确。</w:t>
      </w: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AF4F4"/>
            <w:tcBorders>
              <w:top w:val="single" w:sz="4" w:space="0" w:color="0E7C7B"/>
              <w:left w:val="single" w:sz="24" w:space="0" w:color="0E7C7B"/>
              <w:bottom w:val="single" w:sz="4" w:space="0" w:color="0E7C7B"/>
              <w:right w:val="single" w:sz="4" w:space="0" w:color="0E7C7B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读表：换股比例的“价格—比例”换算</w:t>
            </w:r>
          </w:p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color w:val="1B2A3A"/>
                <w:sz w:val="18"/>
              </w:rPr>
              <w:t>在基准情形下，换股比例每提高 0.1 股 SpaceX/Tesla，Tesla 原股东持股约提高 0.8 个百分点；20% 溢价对应约 3,055 亿美元的增量对价；若从市值法切到收入倍数法，Tesla 原股东多分约 2.3 个百分点（45.9%→48.2%）。这三个数字是谈判桌上最直观的换算，也是特别委员会最可能反复测试的区间。</w:t>
            </w:r>
          </w:p>
        </w:tc>
      </w:tr>
    </w:tbl>
    <w:p>
      <w:r>
        <w:br w:type="page"/>
      </w:r>
    </w:p>
    <w:p>
      <w:pPr>
        <w:keepNext/>
        <w:spacing w:before="160" w:after="80"/>
        <w:pBdr>
          <w:bottom w:val="single" w:sz="8" w:space="2" w:color="0E7C7B"/>
        </w:pBdr>
      </w:pPr>
      <w:r>
        <w:rPr>
          <w:rFonts w:ascii="Microsoft YaHei" w:hAnsi="Microsoft YaHei" w:eastAsia="Microsoft YaHei"/>
          <w:b/>
          <w:color w:val="0E7C7B"/>
          <w:sz w:val="23"/>
        </w:rPr>
        <w:t xml:space="preserve">04  </w:t>
      </w:r>
      <w:r>
        <w:rPr>
          <w:rFonts w:ascii="Microsoft YaHei" w:hAnsi="Microsoft YaHei" w:eastAsia="Microsoft YaHei"/>
          <w:b/>
          <w:color w:val="0B2545"/>
          <w:sz w:val="26"/>
        </w:rPr>
        <w:t>风险点：估值、控制权、现金流与会计</w:t>
      </w:r>
    </w:p>
    <w:p>
      <w:pPr>
        <w:pStyle w:val="ListBullet"/>
        <w:spacing w:after="40" w:line="288" w:lineRule="auto"/>
        <w:ind w:left="312" w:hanging="198"/>
        <w:jc w:val="both"/>
      </w:pPr>
      <w:r>
        <w:rPr>
          <w:rFonts w:ascii="Microsoft YaHei" w:hAnsi="Microsoft YaHei" w:eastAsia="Microsoft YaHei"/>
          <w:b/>
          <w:color w:val="0B2545"/>
          <w:sz w:val="18"/>
        </w:rPr>
        <w:t>估值分歧是第一位，不是协同。</w:t>
      </w:r>
      <w:r>
        <w:rPr>
          <w:rFonts w:ascii="Microsoft YaHei" w:hAnsi="Microsoft YaHei" w:eastAsia="Microsoft YaHei"/>
          <w:color w:val="1B2A3A"/>
          <w:sz w:val="18"/>
        </w:rPr>
        <w:t>SpaceX 当前 EV/LTM 收入 65.9x、EV/LTM EBITDA 141.3x；Tesla 为 14.4x、99.5x。按市值换股，Tesla 原股东在 0% 溢价下只占 41.4%；按收入倍数法可到 48.2%。特殊委员会真正要谈的是“用哪个倍数、以哪个日期、给多少溢价”，而不是合并后能省多少成本。</w:t>
      </w:r>
    </w:p>
    <w:p>
      <w:pPr>
        <w:pStyle w:val="ListBullet"/>
        <w:spacing w:after="40" w:line="288" w:lineRule="auto"/>
        <w:ind w:left="312" w:hanging="198"/>
        <w:jc w:val="both"/>
      </w:pPr>
      <w:r>
        <w:rPr>
          <w:rFonts w:ascii="Microsoft YaHei" w:hAnsi="Microsoft YaHei" w:eastAsia="Microsoft YaHei"/>
          <w:b/>
          <w:color w:val="0B2545"/>
          <w:sz w:val="18"/>
        </w:rPr>
        <w:t>控制权与关联交易。</w:t>
      </w:r>
      <w:r>
        <w:rPr>
          <w:rFonts w:ascii="Microsoft YaHei" w:hAnsi="Microsoft YaHei" w:eastAsia="Microsoft YaHei"/>
          <w:color w:val="1B2A3A"/>
          <w:sz w:val="18"/>
        </w:rPr>
        <w:t>马斯克经济权益降至 33.7%、投票权仍约 75%；两家公司董事会均已成立特别委员会，但 Musk 同时是两家公司的 CEO/董事长，关联交易、估值、留任与薪酬都需要独立程序。Tesla 2026 年委托书已披露与 SpaceX/xAI 的 Megapack、车辆、广告、安保等交易；合并后这些交易从“关联交易”变成“内部交易”，披露压力下降，但治理质疑不会下降。</w:t>
      </w:r>
    </w:p>
    <w:p>
      <w:pPr>
        <w:pStyle w:val="ListBullet"/>
        <w:spacing w:after="40" w:line="288" w:lineRule="auto"/>
        <w:ind w:left="312" w:hanging="198"/>
        <w:jc w:val="both"/>
      </w:pPr>
      <w:r>
        <w:rPr>
          <w:rFonts w:ascii="Microsoft YaHei" w:hAnsi="Microsoft YaHei" w:eastAsia="Microsoft YaHei"/>
          <w:b/>
          <w:color w:val="0B2545"/>
          <w:sz w:val="18"/>
        </w:rPr>
        <w:t>现金流与资本开支。</w:t>
      </w:r>
      <w:r>
        <w:rPr>
          <w:rFonts w:ascii="Microsoft YaHei" w:hAnsi="Microsoft YaHei" w:eastAsia="Microsoft YaHei"/>
          <w:color w:val="1B2A3A"/>
          <w:sz w:val="18"/>
        </w:rPr>
        <w:t>SpaceX LTM 自由现金流 -392 亿美元，capex/收入 171.5%；SI capex 446 亿美元，占合并 capex 64%。合并后净现金 869 亿美元，按当前烧钱速度约 2.4 年；若 Starship、Starbase、COLOSSUS II、Starlink V3 与 Tesla 的 AI/机器人 capex 同时加速，可能需要再融资或增发，稀释换股比例。</w:t>
      </w:r>
    </w:p>
    <w:p>
      <w:pPr>
        <w:pStyle w:val="ListBullet"/>
        <w:spacing w:after="40" w:line="288" w:lineRule="auto"/>
        <w:ind w:left="312" w:hanging="198"/>
        <w:jc w:val="both"/>
      </w:pPr>
      <w:r>
        <w:rPr>
          <w:rFonts w:ascii="Microsoft YaHei" w:hAnsi="Microsoft YaHei" w:eastAsia="Microsoft YaHei"/>
          <w:b/>
          <w:color w:val="0B2545"/>
          <w:sz w:val="18"/>
        </w:rPr>
        <w:t>购买会计与 EPS。</w:t>
      </w:r>
      <w:r>
        <w:rPr>
          <w:rFonts w:ascii="Microsoft YaHei" w:hAnsi="Microsoft YaHei" w:eastAsia="Microsoft YaHei"/>
          <w:color w:val="1B2A3A"/>
          <w:sz w:val="18"/>
        </w:rPr>
        <w:t>备考商誉约 1.72 万亿美元，年增量摊销 30 亿美元（税后 23.7 亿），交易费用约 92 亿美元；GAAP 净利润 LTM 为 -3.87 亿美元，购买会计后可能进一步为负。EBITDA 与 EPS 将给出相反的信号，投委会需要明确用哪套指标考核管理层。</w:t>
      </w:r>
    </w:p>
    <w:p>
      <w:pPr>
        <w:pStyle w:val="ListBullet"/>
        <w:spacing w:after="40" w:line="288" w:lineRule="auto"/>
        <w:ind w:left="312" w:hanging="198"/>
        <w:jc w:val="both"/>
      </w:pPr>
      <w:r>
        <w:rPr>
          <w:rFonts w:ascii="Microsoft YaHei" w:hAnsi="Microsoft YaHei" w:eastAsia="Microsoft YaHei"/>
          <w:b/>
          <w:color w:val="0B2545"/>
          <w:sz w:val="18"/>
        </w:rPr>
        <w:t>监管与政治风险。</w:t>
      </w:r>
      <w:r>
        <w:rPr>
          <w:rFonts w:ascii="Microsoft YaHei" w:hAnsi="Microsoft YaHei" w:eastAsia="Microsoft YaHei"/>
          <w:color w:val="1B2A3A"/>
          <w:sz w:val="18"/>
        </w:rPr>
        <w:t>SpaceX 是美国国防/NASA 核心承包商，Tesla 在中国、欧洲有大量制造与销售；交易可能触发 HSR、CFIUS、FCC（800 MHz 频谱）、欧盟与中国等审批。双重股权、外资持股、国家安全与出口管制都可能成为条件或障碍。</w:t>
      </w:r>
    </w:p>
    <w:p>
      <w:pPr>
        <w:pStyle w:val="ListBullet"/>
        <w:spacing w:after="40" w:line="288" w:lineRule="auto"/>
        <w:ind w:left="312" w:hanging="198"/>
        <w:jc w:val="both"/>
      </w:pPr>
      <w:r>
        <w:rPr>
          <w:rFonts w:ascii="Microsoft YaHei" w:hAnsi="Microsoft YaHei" w:eastAsia="Microsoft YaHei"/>
          <w:b/>
          <w:color w:val="0B2545"/>
          <w:sz w:val="18"/>
        </w:rPr>
        <w:t>市场与流动性。</w:t>
      </w:r>
      <w:r>
        <w:rPr>
          <w:rFonts w:ascii="Microsoft YaHei" w:hAnsi="Microsoft YaHei" w:eastAsia="Microsoft YaHei"/>
          <w:color w:val="1B2A3A"/>
          <w:sz w:val="18"/>
        </w:rPr>
        <w:t>SpaceX 2026 年 6 月才 IPO，锁定期在 2026 年 12 月到期；流通盘小、波动大（公告后首个交易日 +7.8%，次日盘中回吐约 9%）。用短窗口均价定价，容易被单一交易日或解禁抛压扭曲。</w:t>
      </w:r>
    </w:p>
    <w:p>
      <w:pPr>
        <w:pStyle w:val="ListBullet"/>
        <w:spacing w:after="40" w:line="288" w:lineRule="auto"/>
        <w:ind w:left="312" w:hanging="198"/>
        <w:jc w:val="both"/>
      </w:pPr>
      <w:r>
        <w:rPr>
          <w:rFonts w:ascii="Microsoft YaHei" w:hAnsi="Microsoft YaHei" w:eastAsia="Microsoft YaHei"/>
          <w:b/>
          <w:color w:val="0B2545"/>
          <w:sz w:val="18"/>
        </w:rPr>
        <w:t>整合与关键人。</w:t>
      </w:r>
      <w:r>
        <w:rPr>
          <w:rFonts w:ascii="Microsoft YaHei" w:hAnsi="Microsoft YaHei" w:eastAsia="Microsoft YaHei"/>
          <w:color w:val="1B2A3A"/>
          <w:sz w:val="18"/>
        </w:rPr>
        <w:t>两家公司文化、薪酬、工程节奏差异大；Musk 的时间与注意力是稀缺资源。合并不会自动产生协同，反而可能增加管理层级与合规成本。</w:t>
      </w:r>
    </w:p>
    <w:p>
      <w:pPr>
        <w:keepNext/>
        <w:spacing w:before="160" w:after="80"/>
        <w:pBdr>
          <w:bottom w:val="single" w:sz="8" w:space="2" w:color="0E7C7B"/>
        </w:pBdr>
      </w:pPr>
      <w:r>
        <w:rPr>
          <w:rFonts w:ascii="Microsoft YaHei" w:hAnsi="Microsoft YaHei" w:eastAsia="Microsoft YaHei"/>
          <w:b/>
          <w:color w:val="0E7C7B"/>
          <w:sz w:val="23"/>
        </w:rPr>
        <w:t xml:space="preserve">05  </w:t>
      </w:r>
      <w:r>
        <w:rPr>
          <w:rFonts w:ascii="Microsoft YaHei" w:hAnsi="Microsoft YaHei" w:eastAsia="Microsoft YaHei"/>
          <w:b/>
          <w:color w:val="0B2545"/>
          <w:sz w:val="26"/>
        </w:rPr>
        <w:t>还需要核实的问题</w:t>
      </w:r>
    </w:p>
    <w:p>
      <w:pPr>
        <w:spacing w:after="40" w:line="283" w:lineRule="auto"/>
        <w:ind w:left="340" w:hanging="340"/>
      </w:pPr>
      <w:r>
        <w:rPr>
          <w:rFonts w:ascii="Microsoft YaHei" w:hAnsi="Microsoft YaHei" w:eastAsia="Microsoft YaHei"/>
          <w:b/>
          <w:color w:val="0E7C7B"/>
          <w:sz w:val="18"/>
        </w:rPr>
        <w:t xml:space="preserve">1. </w:t>
      </w:r>
      <w:r>
        <w:rPr>
          <w:rFonts w:ascii="Microsoft YaHei" w:hAnsi="Microsoft YaHei" w:eastAsia="Microsoft YaHei"/>
          <w:b/>
          <w:color w:val="0B2545"/>
          <w:sz w:val="18"/>
        </w:rPr>
        <w:t>交易结构：</w:t>
      </w:r>
      <w:r>
        <w:rPr>
          <w:rFonts w:ascii="Microsoft YaHei" w:hAnsi="Microsoft YaHei" w:eastAsia="Microsoft YaHei"/>
          <w:color w:val="1B2A3A"/>
          <w:sz w:val="18"/>
        </w:rPr>
        <w:t>谁收购谁、换股比例是否设 collar、现金/股票混合比例、Tesla 持有的 SpaceX 股权如何处理、是否需要双方股东投票、Musk 是否回避、异议股东评估权如何定价。</w:t>
      </w:r>
    </w:p>
    <w:p>
      <w:pPr>
        <w:spacing w:after="40" w:line="283" w:lineRule="auto"/>
        <w:ind w:left="340" w:hanging="340"/>
      </w:pPr>
      <w:r>
        <w:rPr>
          <w:rFonts w:ascii="Microsoft YaHei" w:hAnsi="Microsoft YaHei" w:eastAsia="Microsoft YaHei"/>
          <w:b/>
          <w:color w:val="0E7C7B"/>
          <w:sz w:val="18"/>
        </w:rPr>
        <w:t xml:space="preserve">2. </w:t>
      </w:r>
      <w:r>
        <w:rPr>
          <w:rFonts w:ascii="Microsoft YaHei" w:hAnsi="Microsoft YaHei" w:eastAsia="Microsoft YaHei"/>
          <w:b/>
          <w:color w:val="0B2545"/>
          <w:sz w:val="18"/>
        </w:rPr>
        <w:t>估值基准：</w:t>
      </w:r>
      <w:r>
        <w:rPr>
          <w:rFonts w:ascii="Microsoft YaHei" w:hAnsi="Microsoft YaHei" w:eastAsia="Microsoft YaHei"/>
          <w:color w:val="1B2A3A"/>
          <w:sz w:val="18"/>
        </w:rPr>
        <w:t>特殊委员会独立估值报告、可比公司/先例交易、DCF 假设、溢价基准日（10/19 还是 10/21）、SpaceX 锁定与流动性折价、Tesla 2025 CEO 绩效奖（4.237 亿股限制性股票）对股本的影响。</w:t>
      </w:r>
    </w:p>
    <w:p>
      <w:pPr>
        <w:spacing w:after="40" w:line="283" w:lineRule="auto"/>
        <w:ind w:left="340" w:hanging="340"/>
      </w:pPr>
      <w:r>
        <w:rPr>
          <w:rFonts w:ascii="Microsoft YaHei" w:hAnsi="Microsoft YaHei" w:eastAsia="Microsoft YaHei"/>
          <w:b/>
          <w:color w:val="0E7C7B"/>
          <w:sz w:val="18"/>
        </w:rPr>
        <w:t xml:space="preserve">3. </w:t>
      </w:r>
      <w:r>
        <w:rPr>
          <w:rFonts w:ascii="Microsoft YaHei" w:hAnsi="Microsoft YaHei" w:eastAsia="Microsoft YaHei"/>
          <w:b/>
          <w:color w:val="0B2545"/>
          <w:sz w:val="18"/>
        </w:rPr>
        <w:t>关联交易差异：</w:t>
      </w:r>
      <w:r>
        <w:rPr>
          <w:rFonts w:ascii="Microsoft YaHei" w:hAnsi="Microsoft YaHei" w:eastAsia="Microsoft YaHei"/>
          <w:color w:val="1B2A3A"/>
          <w:sz w:val="18"/>
        </w:rPr>
        <w:t>Tesla 2025 年披露的关联方收入 5.734 亿美元（xAI 4.301 亿 + SpaceX 1.433 亿），而 SpaceX 招股书披露 2025 年向 Tesla 采购 Megapack 5.06 亿美元 + Cybertruck 1.31 亿美元 = 6.37 亿美元，两者相差约 0.64 亿美元；需要核对确认时点、未交付订单与合并范围。</w:t>
      </w:r>
    </w:p>
    <w:p>
      <w:pPr>
        <w:spacing w:after="40" w:line="283" w:lineRule="auto"/>
        <w:ind w:left="340" w:hanging="340"/>
      </w:pPr>
      <w:r>
        <w:rPr>
          <w:rFonts w:ascii="Microsoft YaHei" w:hAnsi="Microsoft YaHei" w:eastAsia="Microsoft YaHei"/>
          <w:b/>
          <w:color w:val="0E7C7B"/>
          <w:sz w:val="18"/>
        </w:rPr>
        <w:t xml:space="preserve">4. </w:t>
      </w:r>
      <w:r>
        <w:rPr>
          <w:rFonts w:ascii="Microsoft YaHei" w:hAnsi="Microsoft YaHei" w:eastAsia="Microsoft YaHei"/>
          <w:b/>
          <w:color w:val="0B2545"/>
          <w:sz w:val="18"/>
        </w:rPr>
        <w:t>SpaceX 分部数据：</w:t>
      </w:r>
      <w:r>
        <w:rPr>
          <w:rFonts w:ascii="Microsoft YaHei" w:hAnsi="Microsoft YaHei" w:eastAsia="Microsoft YaHei"/>
          <w:color w:val="1B2A3A"/>
          <w:sz w:val="18"/>
        </w:rPr>
        <w:t>Q4 2025 分部毛利未披露，本模型未计算 LTM 分部毛利；SI 的 Cursor 收购（购买对价 425 亿美元、服务期股权激励 234 亿美元）对 2027 年及以后的摊销/费用影响需要单独建模。</w:t>
      </w:r>
    </w:p>
    <w:p>
      <w:pPr>
        <w:spacing w:after="40" w:line="283" w:lineRule="auto"/>
        <w:ind w:left="340" w:hanging="340"/>
      </w:pPr>
      <w:r>
        <w:rPr>
          <w:rFonts w:ascii="Microsoft YaHei" w:hAnsi="Microsoft YaHei" w:eastAsia="Microsoft YaHei"/>
          <w:b/>
          <w:color w:val="0E7C7B"/>
          <w:sz w:val="18"/>
        </w:rPr>
        <w:t xml:space="preserve">5. </w:t>
      </w:r>
      <w:r>
        <w:rPr>
          <w:rFonts w:ascii="Microsoft YaHei" w:hAnsi="Microsoft YaHei" w:eastAsia="Microsoft YaHei"/>
          <w:b/>
          <w:color w:val="0B2545"/>
          <w:sz w:val="18"/>
        </w:rPr>
        <w:t>税务与会计：</w:t>
      </w:r>
      <w:r>
        <w:rPr>
          <w:rFonts w:ascii="Microsoft YaHei" w:hAnsi="Microsoft YaHei" w:eastAsia="Microsoft YaHei"/>
          <w:color w:val="1B2A3A"/>
          <w:sz w:val="18"/>
        </w:rPr>
        <w:t>购买会计、商誉、无形资产、递延税、NOL、跨境税务、交易费用、库存增值；合并后是否保留 SpaceX 的双重股权、Tesla 股东获得的是 Class A 还是 Class B。</w:t>
      </w:r>
    </w:p>
    <w:p>
      <w:pPr>
        <w:spacing w:after="40" w:line="283" w:lineRule="auto"/>
        <w:ind w:left="340" w:hanging="340"/>
      </w:pPr>
      <w:r>
        <w:rPr>
          <w:rFonts w:ascii="Microsoft YaHei" w:hAnsi="Microsoft YaHei" w:eastAsia="Microsoft YaHei"/>
          <w:b/>
          <w:color w:val="0E7C7B"/>
          <w:sz w:val="18"/>
        </w:rPr>
        <w:t xml:space="preserve">6. </w:t>
      </w:r>
      <w:r>
        <w:rPr>
          <w:rFonts w:ascii="Microsoft YaHei" w:hAnsi="Microsoft YaHei" w:eastAsia="Microsoft YaHei"/>
          <w:b/>
          <w:color w:val="0B2545"/>
          <w:sz w:val="18"/>
        </w:rPr>
        <w:t>监管审批：</w:t>
      </w:r>
      <w:r>
        <w:rPr>
          <w:rFonts w:ascii="Microsoft YaHei" w:hAnsi="Microsoft YaHei" w:eastAsia="Microsoft YaHei"/>
          <w:color w:val="1B2A3A"/>
          <w:sz w:val="18"/>
        </w:rPr>
        <w:t>HSR、CFIUS、FCC、欧盟、中国、英国等；SpaceX 的国防合同与 Tesla 的中国业务是否需要剥离或缓解措施。</w:t>
      </w:r>
    </w:p>
    <w:p>
      <w:pPr>
        <w:spacing w:after="40" w:line="283" w:lineRule="auto"/>
        <w:ind w:left="340" w:hanging="340"/>
      </w:pPr>
      <w:r>
        <w:rPr>
          <w:rFonts w:ascii="Microsoft YaHei" w:hAnsi="Microsoft YaHei" w:eastAsia="Microsoft YaHei"/>
          <w:b/>
          <w:color w:val="0E7C7B"/>
          <w:sz w:val="18"/>
        </w:rPr>
        <w:t xml:space="preserve">7. </w:t>
      </w:r>
      <w:r>
        <w:rPr>
          <w:rFonts w:ascii="Microsoft YaHei" w:hAnsi="Microsoft YaHei" w:eastAsia="Microsoft YaHei"/>
          <w:b/>
          <w:color w:val="0B2545"/>
          <w:sz w:val="18"/>
        </w:rPr>
        <w:t>协同：</w:t>
      </w:r>
      <w:r>
        <w:rPr>
          <w:rFonts w:ascii="Microsoft YaHei" w:hAnsi="Microsoft YaHei" w:eastAsia="Microsoft YaHei"/>
          <w:color w:val="1B2A3A"/>
          <w:sz w:val="18"/>
        </w:rPr>
        <w:t>本模型未计入任何收入/成本协同；需要核实数据中心电力与 GPU、Starlink 容量、Tesla 储能/机器人/FSD 与 SpaceX 的交叉销售、以及协同成本。</w:t>
      </w:r>
    </w:p>
    <w:p>
      <w:pPr>
        <w:spacing w:after="40" w:line="283" w:lineRule="auto"/>
        <w:ind w:left="340" w:hanging="340"/>
      </w:pPr>
      <w:r>
        <w:rPr>
          <w:rFonts w:ascii="Microsoft YaHei" w:hAnsi="Microsoft YaHei" w:eastAsia="Microsoft YaHei"/>
          <w:b/>
          <w:color w:val="0E7C7B"/>
          <w:sz w:val="18"/>
        </w:rPr>
        <w:t xml:space="preserve">8. </w:t>
      </w:r>
      <w:r>
        <w:rPr>
          <w:rFonts w:ascii="Microsoft YaHei" w:hAnsi="Microsoft YaHei" w:eastAsia="Microsoft YaHei"/>
          <w:b/>
          <w:color w:val="0B2545"/>
          <w:sz w:val="18"/>
        </w:rPr>
        <w:t>市场数据：</w:t>
      </w:r>
      <w:r>
        <w:rPr>
          <w:rFonts w:ascii="Microsoft YaHei" w:hAnsi="Microsoft YaHei" w:eastAsia="Microsoft YaHei"/>
          <w:color w:val="1B2A3A"/>
          <w:sz w:val="18"/>
        </w:rPr>
        <w:t>30 日 VWAP 为收盘价×成交量的近似，未使用盘中 VWAP；股本口径含未归属限制性股票，不含未行权期权/可转债；若按完全摊薄，换股比例与持股会有 1–3 个百分点差异。</w:t>
      </w:r>
    </w:p>
    <w:p>
      <w:r>
        <w:br w:type="page"/>
      </w:r>
    </w:p>
    <w:p>
      <w:pPr>
        <w:keepNext/>
        <w:spacing w:before="160" w:after="80"/>
        <w:pBdr>
          <w:bottom w:val="single" w:sz="8" w:space="2" w:color="0E7C7B"/>
        </w:pBdr>
      </w:pPr>
      <w:r>
        <w:rPr>
          <w:rFonts w:ascii="Microsoft YaHei" w:hAnsi="Microsoft YaHei" w:eastAsia="Microsoft YaHei"/>
          <w:b/>
          <w:color w:val="0E7C7B"/>
          <w:sz w:val="23"/>
        </w:rPr>
        <w:t xml:space="preserve">06  </w:t>
      </w:r>
      <w:r>
        <w:rPr>
          <w:rFonts w:ascii="Microsoft YaHei" w:hAnsi="Microsoft YaHei" w:eastAsia="Microsoft YaHei"/>
          <w:b/>
          <w:color w:val="0B2545"/>
          <w:sz w:val="26"/>
        </w:rPr>
        <w:t>口径、来源与假设</w:t>
      </w:r>
    </w:p>
    <w:p>
      <w:pPr>
        <w:spacing w:after="60" w:before="0" w:line="293" w:lineRule="auto"/>
        <w:jc w:val="both"/>
      </w:pPr>
      <w:r>
        <w:rPr>
          <w:rFonts w:ascii="Microsoft YaHei" w:hAnsi="Microsoft YaHei" w:eastAsia="Microsoft YaHei"/>
          <w:b w:val="0"/>
          <w:color w:val="1B2A3A"/>
          <w:sz w:val="19"/>
        </w:rPr>
        <w:t>口径：金额单位为百万美元（$M），文中为便于阅读折算为十亿美元（$B）；股数为百万股；财年为自然年。最近四个季度（LTM）= 2025Q4 + 2026Q1 + 2026Q2 + 2026Q3；SpaceX 2025Q4 由 2025 全年减 2025 前三季度推导；Tesla 2025Q4 与 2026 各季度取自 2026Q3 业绩公告的季度财务摘要。市场数据为 2026-10-21 收盘，宣布前参考 2026-10-19 收盘，来源 stockanalysis.com（访问 2026-10-22）。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5669"/>
        <w:gridCol w:w="1361"/>
      </w:tblGrid>
      <w:tr>
        <w:tc>
          <w:tcPr>
            <w:tcW w:type="dxa" w:w="2608"/>
            <w:shd w:val="clear" w:color="auto" w:fill="0B2545"/>
            <w:tcBorders>
              <w:top w:val="single" w:sz="4" w:space="0" w:color="0B2545"/>
              <w:left w:val="single" w:sz="4" w:space="0" w:color="0B2545"/>
              <w:bottom w:val="single" w:sz="4" w:space="0" w:color="0B2545"/>
              <w:right w:val="single" w:sz="4" w:space="0" w:color="0B2545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来源</w:t>
            </w:r>
          </w:p>
        </w:tc>
        <w:tc>
          <w:tcPr>
            <w:tcW w:type="dxa" w:w="5669"/>
            <w:shd w:val="clear" w:color="auto" w:fill="0B2545"/>
            <w:tcBorders>
              <w:top w:val="single" w:sz="4" w:space="0" w:color="0B2545"/>
              <w:left w:val="single" w:sz="4" w:space="0" w:color="0B2545"/>
              <w:bottom w:val="single" w:sz="4" w:space="0" w:color="0B2545"/>
              <w:right w:val="single" w:sz="4" w:space="0" w:color="0B2545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1361"/>
            <w:shd w:val="clear" w:color="auto" w:fill="0B2545"/>
            <w:tcBorders>
              <w:top w:val="single" w:sz="4" w:space="0" w:color="0B2545"/>
              <w:left w:val="single" w:sz="4" w:space="0" w:color="0B2545"/>
              <w:bottom w:val="single" w:sz="4" w:space="0" w:color="0B2545"/>
              <w:right w:val="single" w:sz="4" w:space="0" w:color="0B2545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日期</w:t>
            </w:r>
          </w:p>
        </w:tc>
      </w:tr>
      <w:tr>
        <w:tc>
          <w:tcPr>
            <w:tcW w:type="dxa" w:w="2608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SpaceX 招股书（424B4）</w:t>
            </w:r>
          </w:p>
        </w:tc>
        <w:tc>
          <w:tcPr>
            <w:tcW w:type="dxa" w:w="5669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2025 全年及 2026Q1 财务、分部、关联交易、股权结构</w:t>
            </w:r>
          </w:p>
        </w:tc>
        <w:tc>
          <w:tcPr>
            <w:tcW w:type="dxa" w:w="136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2026-06</w:t>
            </w:r>
          </w:p>
        </w:tc>
      </w:tr>
      <w:tr>
        <w:tc>
          <w:tcPr>
            <w:tcW w:type="dxa" w:w="2608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SpaceX 2026Q2 季报（10-Q）</w:t>
            </w:r>
          </w:p>
        </w:tc>
        <w:tc>
          <w:tcPr>
            <w:tcW w:type="dxa" w:w="5669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2026Q2/H1 财务、分部、关联交易</w:t>
            </w:r>
          </w:p>
        </w:tc>
        <w:tc>
          <w:tcPr>
            <w:tcW w:type="dxa" w:w="136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2026-08</w:t>
            </w:r>
          </w:p>
        </w:tc>
      </w:tr>
      <w:tr>
        <w:tc>
          <w:tcPr>
            <w:tcW w:type="dxa" w:w="2608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SpaceX 2026Q3 业绩公告</w:t>
            </w:r>
          </w:p>
        </w:tc>
        <w:tc>
          <w:tcPr>
            <w:tcW w:type="dxa" w:w="5669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2026Q3/9M 财务、分部、资产负债表、现金流</w:t>
            </w:r>
          </w:p>
        </w:tc>
        <w:tc>
          <w:tcPr>
            <w:tcW w:type="dxa" w:w="136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2026-10-20</w:t>
            </w:r>
          </w:p>
        </w:tc>
      </w:tr>
      <w:tr>
        <w:tc>
          <w:tcPr>
            <w:tcW w:type="dxa" w:w="2608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Tesla 2025 年报（10-K）</w:t>
            </w:r>
          </w:p>
        </w:tc>
        <w:tc>
          <w:tcPr>
            <w:tcW w:type="dxa" w:w="5669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2025 全年财务、分部、关联交易</w:t>
            </w:r>
          </w:p>
        </w:tc>
        <w:tc>
          <w:tcPr>
            <w:tcW w:type="dxa" w:w="136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2026-02</w:t>
            </w:r>
          </w:p>
        </w:tc>
      </w:tr>
      <w:tr>
        <w:tc>
          <w:tcPr>
            <w:tcW w:type="dxa" w:w="2608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Tesla 2026Q3 季报（10-Q）</w:t>
            </w:r>
          </w:p>
        </w:tc>
        <w:tc>
          <w:tcPr>
            <w:tcW w:type="dxa" w:w="5669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2026Q3/9M 财务、资产负债表、关联交易</w:t>
            </w:r>
          </w:p>
        </w:tc>
        <w:tc>
          <w:tcPr>
            <w:tcW w:type="dxa" w:w="136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2026-10-22</w:t>
            </w:r>
          </w:p>
        </w:tc>
      </w:tr>
      <w:tr>
        <w:tc>
          <w:tcPr>
            <w:tcW w:type="dxa" w:w="2608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Tesla 2026Q3 业绩公告</w:t>
            </w:r>
          </w:p>
        </w:tc>
        <w:tc>
          <w:tcPr>
            <w:tcW w:type="dxa" w:w="5669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季度财务摘要、TTM、非 GAAP 调节</w:t>
            </w:r>
          </w:p>
        </w:tc>
        <w:tc>
          <w:tcPr>
            <w:tcW w:type="dxa" w:w="136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2026-10-21</w:t>
            </w:r>
          </w:p>
        </w:tc>
      </w:tr>
      <w:tr>
        <w:tc>
          <w:tcPr>
            <w:tcW w:type="dxa" w:w="2608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Tesla 2026 股东大会委托书</w:t>
            </w:r>
          </w:p>
        </w:tc>
        <w:tc>
          <w:tcPr>
            <w:tcW w:type="dxa" w:w="5669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马斯克持股、关联交易、高管薪酬</w:t>
            </w:r>
          </w:p>
        </w:tc>
        <w:tc>
          <w:tcPr>
            <w:tcW w:type="dxa" w:w="136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2026-09</w:t>
            </w:r>
          </w:p>
        </w:tc>
      </w:tr>
      <w:tr>
        <w:tc>
          <w:tcPr>
            <w:tcW w:type="dxa" w:w="2608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公开行情数据</w:t>
            </w:r>
          </w:p>
        </w:tc>
        <w:tc>
          <w:tcPr>
            <w:tcW w:type="dxa" w:w="5669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SPCX/TSLA 收盘价、成交量（30 日 VWAP 计算）</w:t>
            </w:r>
          </w:p>
        </w:tc>
        <w:tc>
          <w:tcPr>
            <w:tcW w:type="dxa" w:w="136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2026-10-21</w:t>
            </w:r>
          </w:p>
        </w:tc>
      </w:tr>
      <w:tr>
        <w:tc>
          <w:tcPr>
            <w:tcW w:type="dxa" w:w="2608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公开报道</w:t>
            </w:r>
          </w:p>
        </w:tc>
        <w:tc>
          <w:tcPr>
            <w:tcW w:type="dxa" w:w="5669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2026-10-20 业绩电话会：双方董事会成立特别委员会</w:t>
            </w:r>
          </w:p>
        </w:tc>
        <w:tc>
          <w:tcPr>
            <w:tcW w:type="dxa" w:w="136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center"/>
            </w:pPr>
            <w:r>
              <w:rPr>
                <w:rFonts w:ascii="Microsoft YaHei" w:hAnsi="Microsoft YaHei" w:eastAsia="Microsoft YaHei"/>
                <w:color w:val="1B2A3A"/>
                <w:sz w:val="15"/>
              </w:rPr>
              <w:t>2026-10-20</w:t>
            </w:r>
          </w:p>
        </w:tc>
      </w:tr>
    </w:tbl>
    <w:p>
      <w:pPr>
        <w:spacing w:after="60" w:before="0" w:line="293" w:lineRule="auto"/>
        <w:jc w:val="both"/>
      </w:pPr>
      <w:r>
        <w:rPr>
          <w:rFonts w:ascii="Microsoft YaHei" w:hAnsi="Microsoft YaHei" w:eastAsia="Microsoft YaHei"/>
          <w:b w:val="0"/>
          <w:color w:val="1B2A3A"/>
          <w:sz w:val="17"/>
        </w:rPr>
        <w:t>关键假设（与披露事实分开）：A1 换股溢价 20%；A2 收入倍数 SpaceX 50x / Tesla 12x；A3 EBITDA 倍数 SpaceX 110x / Tesla 70x；A4 2025Q4 Tesla→SpaceX/xAI 关联收入 2.504 亿美元（=5.734−3.23，前三季度为假设）；A5 Tesla 总部费用按毛利占比分摊；A6 备考所得税率 21%；A7 购买会计无形资产增值 300 亿美元、10 年摊销；A8 交易费用率 0.5%；A9 Tesla 持有 SpaceX 1,480 万股（按 20 亿美元/135 美元 IPO 价估算）；A10 股本口径为已发行在外普通股（含未归属限制性股票），不含期权；A11 协同效应为 0。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835"/>
        <w:gridCol w:w="4309"/>
      </w:tblGrid>
      <w:tr>
        <w:tc>
          <w:tcPr>
            <w:tcW w:type="dxa" w:w="2494"/>
            <w:shd w:val="clear" w:color="auto" w:fill="0B2545"/>
            <w:tcBorders>
              <w:top w:val="single" w:sz="4" w:space="0" w:color="0B2545"/>
              <w:left w:val="single" w:sz="4" w:space="0" w:color="0B2545"/>
              <w:bottom w:val="single" w:sz="4" w:space="0" w:color="0B2545"/>
              <w:right w:val="single" w:sz="4" w:space="0" w:color="0B2545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一页看懂备考数字</w:t>
            </w:r>
          </w:p>
        </w:tc>
        <w:tc>
          <w:tcPr>
            <w:tcW w:type="dxa" w:w="2835"/>
            <w:shd w:val="clear" w:color="auto" w:fill="0B2545"/>
            <w:tcBorders>
              <w:top w:val="single" w:sz="4" w:space="0" w:color="0B2545"/>
              <w:left w:val="single" w:sz="4" w:space="0" w:color="0B2545"/>
              <w:bottom w:val="single" w:sz="4" w:space="0" w:color="0B2545"/>
              <w:right w:val="single" w:sz="4" w:space="0" w:color="0B2545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数值</w:t>
            </w:r>
          </w:p>
        </w:tc>
        <w:tc>
          <w:tcPr>
            <w:tcW w:type="dxa" w:w="4309"/>
            <w:shd w:val="clear" w:color="auto" w:fill="0B2545"/>
            <w:tcBorders>
              <w:top w:val="single" w:sz="4" w:space="0" w:color="0B2545"/>
              <w:left w:val="single" w:sz="4" w:space="0" w:color="0B2545"/>
              <w:bottom w:val="single" w:sz="4" w:space="0" w:color="0B2545"/>
              <w:right w:val="single" w:sz="4" w:space="0" w:color="0B2545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备注</w:t>
            </w:r>
          </w:p>
        </w:tc>
      </w:tr>
      <w:tr>
        <w:tc>
          <w:tcPr>
            <w:tcW w:type="dxa" w:w="2494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备考 LTM 营业收入</w:t>
            </w:r>
          </w:p>
        </w:tc>
        <w:tc>
          <w:tcPr>
            <w:tcW w:type="dxa" w:w="2835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1,347 亿美元</w:t>
            </w:r>
          </w:p>
        </w:tc>
        <w:tc>
          <w:tcPr>
            <w:tcW w:type="dxa" w:w="4309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同比 2025 全年 +19.3%</w:t>
            </w:r>
          </w:p>
        </w:tc>
      </w:tr>
      <w:tr>
        <w:tc>
          <w:tcPr>
            <w:tcW w:type="dxa" w:w="2494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备考 LTM 调整后 EBITDA</w:t>
            </w:r>
          </w:p>
        </w:tc>
        <w:tc>
          <w:tcPr>
            <w:tcW w:type="dxa" w:w="2835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297 亿美元（22.1%）</w:t>
            </w:r>
          </w:p>
        </w:tc>
        <w:tc>
          <w:tcPr>
            <w:tcW w:type="dxa" w:w="4309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SpaceX 149 + Tesla 150 − 抵消 2</w:t>
            </w:r>
          </w:p>
        </w:tc>
      </w:tr>
      <w:tr>
        <w:tc>
          <w:tcPr>
            <w:tcW w:type="dxa" w:w="2494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备考 LTM 经营利润</w:t>
            </w:r>
          </w:p>
        </w:tc>
        <w:tc>
          <w:tcPr>
            <w:tcW w:type="dxa" w:w="2835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26 亿美元（1.9%）</w:t>
            </w:r>
          </w:p>
        </w:tc>
        <w:tc>
          <w:tcPr>
            <w:tcW w:type="dxa" w:w="4309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Connectivity 65 亿美元，SI -55 亿美元</w:t>
            </w:r>
          </w:p>
        </w:tc>
      </w:tr>
      <w:tr>
        <w:tc>
          <w:tcPr>
            <w:tcW w:type="dxa" w:w="2494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备考 LTM 归母净利润</w:t>
            </w:r>
          </w:p>
        </w:tc>
        <w:tc>
          <w:tcPr>
            <w:tcW w:type="dxa" w:w="2835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-3.9 亿美元</w:t>
            </w:r>
          </w:p>
        </w:tc>
        <w:tc>
          <w:tcPr>
            <w:tcW w:type="dxa" w:w="4309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含 8.63 亿美元 SpaceX 投资公允价值收益的剔除</w:t>
            </w:r>
          </w:p>
        </w:tc>
      </w:tr>
      <w:tr>
        <w:tc>
          <w:tcPr>
            <w:tcW w:type="dxa" w:w="2494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备考 LTM 自由现金流</w:t>
            </w:r>
          </w:p>
        </w:tc>
        <w:tc>
          <w:tcPr>
            <w:tcW w:type="dxa" w:w="2835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-359 亿美元</w:t>
            </w:r>
          </w:p>
        </w:tc>
        <w:tc>
          <w:tcPr>
            <w:tcW w:type="dxa" w:w="4309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经营现金流 340 − capex 699</w:t>
            </w:r>
          </w:p>
        </w:tc>
      </w:tr>
      <w:tr>
        <w:tc>
          <w:tcPr>
            <w:tcW w:type="dxa" w:w="2494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备考现金 / 有息负债</w:t>
            </w:r>
          </w:p>
        </w:tc>
        <w:tc>
          <w:tcPr>
            <w:tcW w:type="dxa" w:w="2835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1,353 / 484 亿美元</w:t>
            </w:r>
          </w:p>
        </w:tc>
        <w:tc>
          <w:tcPr>
            <w:tcW w:type="dxa" w:w="4309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净现金 869 亿美元</w:t>
            </w:r>
          </w:p>
        </w:tc>
      </w:tr>
      <w:tr>
        <w:tc>
          <w:tcPr>
            <w:tcW w:type="dxa" w:w="2494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换股比例（20% 溢价）</w:t>
            </w:r>
          </w:p>
        </w:tc>
        <w:tc>
          <w:tcPr>
            <w:tcW w:type="dxa" w:w="2835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2.911 股 SPCX / 1 股 TSLA</w:t>
            </w:r>
          </w:p>
        </w:tc>
        <w:tc>
          <w:tcPr>
            <w:tcW w:type="dxa" w:w="4309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Tesla 原股东 45.9%、SpaceX 54.1%</w:t>
            </w:r>
          </w:p>
        </w:tc>
      </w:tr>
      <w:tr>
        <w:tc>
          <w:tcPr>
            <w:tcW w:type="dxa" w:w="2494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马斯克经济 / 投票</w:t>
            </w:r>
          </w:p>
        </w:tc>
        <w:tc>
          <w:tcPr>
            <w:tcW w:type="dxa" w:w="2835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33.7% / 75.3%</w:t>
            </w:r>
          </w:p>
        </w:tc>
        <w:tc>
          <w:tcPr>
            <w:tcW w:type="dxa" w:w="4309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4F7FA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合并前 look-through 35.0%；投票权计算值 86.1%</w:t>
            </w:r>
          </w:p>
        </w:tc>
      </w:tr>
      <w:tr>
        <w:tc>
          <w:tcPr>
            <w:tcW w:type="dxa" w:w="2494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备考商誉 / 年增量摊销</w:t>
            </w:r>
          </w:p>
        </w:tc>
        <w:tc>
          <w:tcPr>
            <w:tcW w:type="dxa" w:w="2835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17,202 / 30 亿美元</w:t>
            </w:r>
          </w:p>
        </w:tc>
        <w:tc>
          <w:tcPr>
            <w:tcW w:type="dxa" w:w="4309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color w:val="1B2A3A"/>
                <w:sz w:val="16"/>
              </w:rPr>
              <w:t>税后摊销 23.7 亿美元；交易费用 92 亿美元</w:t>
            </w:r>
          </w:p>
        </w:tc>
      </w:tr>
    </w:tbl>
    <w:p>
      <w:pPr>
        <w:spacing w:after="0"/>
      </w:pPr>
    </w:p>
    <w:p>
      <w:pPr>
        <w:spacing w:after="60" w:before="0" w:line="293" w:lineRule="auto"/>
        <w:jc w:val="both"/>
      </w:pPr>
      <w:r>
        <w:rPr>
          <w:rFonts w:ascii="Microsoft YaHei" w:hAnsi="Microsoft YaHei" w:eastAsia="Microsoft YaHei"/>
          <w:b w:val="0"/>
          <w:color w:val="5B6B7C"/>
          <w:sz w:val="16"/>
        </w:rPr>
        <w:t>免责声明：本备忘录为内部研究与演示材料，不构成投资建议，不提供买入/卖出/持有评级或目标价，也不评价股价是否合理。所有备考数字为历史报表相加与关联交易抵消的结果，不是购买会计后的合并报表；实际交易条款、会计处理与监管结果可能显著不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B6B7C"/>
        <w:sz w:val="15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5B6B7C"/>
        <w:sz w:val="15"/>
      </w:rPr>
      <w:t xml:space="preserve"> 页 / 共 </w:t>
    </w:r>
    <w:r>
      <w:fldChar w:fldCharType="begin"/>
      <w:instrText xml:space="preserve"> NUMPAGES </w:instrText>
      <w:fldChar w:fldCharType="end"/>
    </w:r>
    <w:r>
      <w:rPr>
        <w:rFonts w:ascii="Microsoft YaHei" w:hAnsi="Microsoft YaHei" w:eastAsia="Microsoft YaHei"/>
        <w:color w:val="5B6B7C"/>
        <w:sz w:val="15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</w:pPr>
    <w:r/>
    <w:r>
      <w:rPr>
        <w:rFonts w:ascii="Microsoft YaHei" w:hAnsi="Microsoft YaHei" w:eastAsia="Microsoft YaHei"/>
        <w:color w:val="5B6B7C"/>
        <w:sz w:val="15"/>
      </w:rPr>
      <w:t>投委会备忘录 ｜ 机密</w:t>
    </w:r>
    <w:r>
      <w:rPr>
        <w:rFonts w:ascii="Microsoft YaHei" w:hAnsi="Microsoft YaHei" w:eastAsia="Microsoft YaHei"/>
        <w:color w:val="5B6B7C"/>
        <w:sz w:val="15"/>
      </w:rPr>
      <w:tab/>
      <w:t>2026 年 10 月 22 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93" w:lineRule="auto"/>
    </w:pPr>
    <w:rPr>
      <w:rFonts w:ascii="Microsoft YaHei" w:hAnsi="Microsoft YaHei" w:eastAsia="Microsoft YaHei"/>
      <w:color w:val="1B2A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SpaceX 与 Tesla 合并：账怎么算</dc:title>
  <dc:subject>投委会备忘录（内部讨论稿）</dc:subject>
  <dc:creator>并购组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