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6"/>
        </w:rPr>
        <w:t>INTERNAL M&amp;A  /  INVESTMENT COMMITTEE MEMO</w:t>
      </w:r>
    </w:p>
    <w:p>
      <w:pPr>
        <w:spacing w:after="60"/>
      </w:pPr>
      <w:r>
        <w:rPr>
          <w:rFonts w:ascii="Arial" w:hAnsi="Arial" w:eastAsia="PingFang SC"/>
          <w:b/>
          <w:i w:val="0"/>
          <w:color w:val="102A43"/>
          <w:sz w:val="44"/>
        </w:rPr>
        <w:t>SpaceX 与 Tesla 合并：账怎么算</w:t>
      </w:r>
    </w:p>
    <w:p>
      <w:pPr>
        <w:spacing w:after="160" w:line="259" w:lineRule="auto"/>
      </w:pPr>
      <w:r>
        <w:rPr>
          <w:rFonts w:ascii="Arial" w:hAnsi="Arial" w:eastAsia="PingFang SC"/>
          <w:b w:val="0"/>
          <w:i w:val="0"/>
          <w:color w:val="52606D"/>
          <w:sz w:val="18"/>
        </w:rPr>
        <w:t>投委会备忘录｜2026年10月22日｜基于材料披露、公开行情与明确假设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376"/>
            <w:shd w:fill="E8F1FB"/>
            <w:tcBorders>
              <w:top w:val="single" w:sz="0" w:color="E8F1FB"/>
              <w:left w:val="single" w:sz="0" w:color="E8F1FB"/>
              <w:bottom w:val="single" w:sz="0" w:color="E8F1FB"/>
              <w:right w:val="single" w:sz="0" w:color="E8F1FB"/>
              <w:insideH w:val="single" w:sz="0" w:color="E8F1FB"/>
              <w:insideV w:val="single" w:sz="0" w:color="E8F1FB"/>
            </w:tcBorders>
            <w:vAlign w:val="center"/>
          </w:tcPr>
          <w:p>
            <w:pPr>
              <w:spacing w:after="80" w:before="80" w:line="269" w:lineRule="auto"/>
            </w:pPr>
            <w:r>
              <w:rPr>
                <w:rFonts w:ascii="Arial" w:hAnsi="Arial" w:eastAsia="PingFang SC"/>
                <w:b/>
                <w:i w:val="0"/>
                <w:color w:val="102A43"/>
                <w:sz w:val="21"/>
              </w:rPr>
              <w:t>结论先行：合并会把“汽车与能源的现金流”与“航天、连接和 SI 的高资本开支”放进同一张资产负债表。LTM 收入约 US$135.6bn，但经营利润仅 US$2.8bn、自由现金流为负 US$35.9bn；财务看点在业务互补与连接/SI 毛利，核心风险在资本配置、会计抵销和控制权，而不是简单的收入相加。</w:t>
            </w:r>
          </w:p>
        </w:tc>
      </w:tr>
    </w:tbl>
    <w:p>
      <w:pPr>
        <w:spacing w:after="100" w:line="259" w:lineRule="auto"/>
      </w:pPr>
      <w:r>
        <w:rPr>
          <w:rFonts w:ascii="Arial" w:hAnsi="Arial" w:eastAsia="PingFang SC"/>
          <w:b/>
          <w:i w:val="0"/>
          <w:color w:val="102A43"/>
          <w:sz w:val="21"/>
        </w:rPr>
        <w:t>关键财务轮廓（LTM；期末为2026-09-30；未抵销汇总）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94"/>
            <w:shd w:fill="102A43"/>
            <w:tcBorders>
              <w:top w:val="single" w:sz="0" w:color="102A43"/>
              <w:left w:val="single" w:sz="0" w:color="102A43"/>
              <w:bottom w:val="single" w:sz="0" w:color="102A43"/>
              <w:right w:val="single" w:sz="0" w:color="102A43"/>
              <w:insideH w:val="single" w:sz="0" w:color="102A43"/>
              <w:insideV w:val="single" w:sz="0" w:color="102A4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FFFFFF"/>
                <w:sz w:val="16"/>
              </w:rPr>
              <w:t>LTM营收</w:t>
            </w:r>
          </w:p>
        </w:tc>
        <w:tc>
          <w:tcPr>
            <w:tcW w:type="dxa" w:w="2594"/>
            <w:shd w:fill="102A43"/>
            <w:tcBorders>
              <w:top w:val="single" w:sz="0" w:color="102A43"/>
              <w:left w:val="single" w:sz="0" w:color="102A43"/>
              <w:bottom w:val="single" w:sz="0" w:color="102A43"/>
              <w:right w:val="single" w:sz="0" w:color="102A43"/>
              <w:insideH w:val="single" w:sz="0" w:color="102A43"/>
              <w:insideV w:val="single" w:sz="0" w:color="102A4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FFFFFF"/>
                <w:sz w:val="16"/>
              </w:rPr>
              <w:t>LTM经营利润</w:t>
            </w:r>
          </w:p>
        </w:tc>
        <w:tc>
          <w:tcPr>
            <w:tcW w:type="dxa" w:w="2594"/>
            <w:shd w:fill="102A43"/>
            <w:tcBorders>
              <w:top w:val="single" w:sz="0" w:color="102A43"/>
              <w:left w:val="single" w:sz="0" w:color="102A43"/>
              <w:bottom w:val="single" w:sz="0" w:color="102A43"/>
              <w:right w:val="single" w:sz="0" w:color="102A43"/>
              <w:insideH w:val="single" w:sz="0" w:color="102A43"/>
              <w:insideV w:val="single" w:sz="0" w:color="102A4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FFFFFF"/>
                <w:sz w:val="16"/>
              </w:rPr>
              <w:t>LTM自由现金流</w:t>
            </w:r>
          </w:p>
        </w:tc>
        <w:tc>
          <w:tcPr>
            <w:tcW w:type="dxa" w:w="2594"/>
            <w:shd w:fill="102A43"/>
            <w:tcBorders>
              <w:top w:val="single" w:sz="0" w:color="102A43"/>
              <w:left w:val="single" w:sz="0" w:color="102A43"/>
              <w:bottom w:val="single" w:sz="0" w:color="102A43"/>
              <w:right w:val="single" w:sz="0" w:color="102A43"/>
              <w:insideH w:val="single" w:sz="0" w:color="102A43"/>
              <w:insideV w:val="single" w:sz="0" w:color="102A43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 w:val="0"/>
                <w:i w:val="0"/>
                <w:color w:val="FFFFFF"/>
                <w:sz w:val="16"/>
              </w:rPr>
              <w:t>期末净现金</w:t>
            </w:r>
          </w:p>
        </w:tc>
      </w:tr>
      <w:tr>
        <w:tc>
          <w:tcPr>
            <w:tcW w:type="dxa" w:w="2594"/>
            <w:shd w:fill="E8F1FB"/>
            <w:tcBorders>
              <w:top w:val="single" w:sz="0" w:color="E8F1FB"/>
              <w:left w:val="single" w:sz="0" w:color="E8F1FB"/>
              <w:bottom w:val="single" w:sz="0" w:color="E8F1FB"/>
              <w:right w:val="single" w:sz="0" w:color="E8F1FB"/>
              <w:insideH w:val="single" w:sz="0" w:color="E8F1FB"/>
              <w:insideV w:val="single" w:sz="0" w:color="E8F1FB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PingFang SC"/>
                <w:b/>
                <w:i w:val="0"/>
                <w:color w:val="102A43"/>
                <w:sz w:val="30"/>
              </w:rPr>
              <w:t>US$135.6bn</w:t>
            </w:r>
          </w:p>
        </w:tc>
        <w:tc>
          <w:tcPr>
            <w:tcW w:type="dxa" w:w="2594"/>
            <w:shd w:fill="E8F1FB"/>
            <w:tcBorders>
              <w:top w:val="single" w:sz="0" w:color="E8F1FB"/>
              <w:left w:val="single" w:sz="0" w:color="E8F1FB"/>
              <w:bottom w:val="single" w:sz="0" w:color="E8F1FB"/>
              <w:right w:val="single" w:sz="0" w:color="E8F1FB"/>
              <w:insideH w:val="single" w:sz="0" w:color="E8F1FB"/>
              <w:insideV w:val="single" w:sz="0" w:color="E8F1FB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PingFang SC"/>
                <w:b/>
                <w:i w:val="0"/>
                <w:color w:val="102A43"/>
                <w:sz w:val="30"/>
              </w:rPr>
              <w:t>US$2.8bn</w:t>
            </w:r>
          </w:p>
        </w:tc>
        <w:tc>
          <w:tcPr>
            <w:tcW w:type="dxa" w:w="2594"/>
            <w:shd w:fill="E8F1FB"/>
            <w:tcBorders>
              <w:top w:val="single" w:sz="0" w:color="E8F1FB"/>
              <w:left w:val="single" w:sz="0" w:color="E8F1FB"/>
              <w:bottom w:val="single" w:sz="0" w:color="E8F1FB"/>
              <w:right w:val="single" w:sz="0" w:color="E8F1FB"/>
              <w:insideH w:val="single" w:sz="0" w:color="E8F1FB"/>
              <w:insideV w:val="single" w:sz="0" w:color="E8F1FB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PingFang SC"/>
                <w:b/>
                <w:i w:val="0"/>
                <w:color w:val="102A43"/>
                <w:sz w:val="30"/>
              </w:rPr>
              <w:t>−US$35.9bn</w:t>
            </w:r>
          </w:p>
        </w:tc>
        <w:tc>
          <w:tcPr>
            <w:tcW w:type="dxa" w:w="2594"/>
            <w:shd w:fill="E8F1FB"/>
            <w:tcBorders>
              <w:top w:val="single" w:sz="0" w:color="E8F1FB"/>
              <w:left w:val="single" w:sz="0" w:color="E8F1FB"/>
              <w:bottom w:val="single" w:sz="0" w:color="E8F1FB"/>
              <w:right w:val="single" w:sz="0" w:color="E8F1FB"/>
              <w:insideH w:val="single" w:sz="0" w:color="E8F1FB"/>
              <w:insideV w:val="single" w:sz="0" w:color="E8F1FB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PingFang SC"/>
                <w:b/>
                <w:i w:val="0"/>
                <w:color w:val="102A43"/>
                <w:sz w:val="30"/>
              </w:rPr>
              <w:t>US$86.9bn</w:t>
            </w:r>
          </w:p>
        </w:tc>
      </w:tr>
    </w:tbl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102A43"/>
          <w:sz w:val="22"/>
        </w:rPr>
        <w:t>三项判断</w:t>
      </w:r>
    </w:p>
    <w:p>
      <w:pPr>
        <w:pStyle w:val="ListBullet"/>
        <w:spacing w:after="60" w:line="252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组合形态：Tesla汽车报告分部贡献合并收入67.3%，SpaceX贡献23.6%；合并后是五大业务平台，而不是一家单纯汽车公司。</w:t>
      </w:r>
    </w:p>
    <w:p>
      <w:pPr>
        <w:pStyle w:val="ListBullet"/>
        <w:spacing w:after="60" w:line="252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利润与现金错位：Connectivity与SI合计贡献40.1%的可比毛利；SpaceX LTM Capex US$55.0bn、FCF −US$39.2bn，抵消Tesla FCF +US$3.3bn。</w:t>
      </w:r>
    </w:p>
    <w:p>
      <w:pPr>
        <w:pStyle w:val="ListBullet"/>
        <w:spacing w:after="60" w:line="252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换股不是单一答案：0%溢价下四种方法为2.36x–3.43x SpaceX股/Tesla股；收盘市值法为2.43x，Musk静态经济持股约33.5%，但合并后投票权不能由该比例推导。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102A43"/>
          <w:sz w:val="21"/>
        </w:rPr>
        <w:t>交易状态与分析边界</w:t>
      </w:r>
    </w:p>
    <w:p>
      <w:pPr>
        <w:spacing w:after="60" w:line="259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Tesla 10-Q披露董事会特别委员会正在探索深化与SpaceX的关系，可能包括业务合并；材料未披露正式合并协议、对价、会计收购方或购买价格分配，交易并非确定事项。本备忘录不构成买入、卖出、持有或目标价建议。</w:t>
      </w:r>
    </w:p>
    <w:p>
      <w:pPr>
        <w:spacing w:before="60" w:after="40" w:line="240" w:lineRule="auto"/>
      </w:pPr>
      <w:r>
        <w:rPr>
          <w:rFonts w:ascii="Arial" w:hAnsi="Arial" w:eastAsia="PingFang SC"/>
          <w:b w:val="0"/>
          <w:i/>
          <w:color w:val="52606D"/>
          <w:sz w:val="14"/>
        </w:rPr>
        <w:t>来源：Tesla 2026Q3季报 Part II Item 5；SpaceX 2026Q3业绩公告；Tesla 2026Q3业绩公告。金额均为US$；bn=十亿美元。模型页“说明”列有完整取数日期与出处。</w:t>
      </w:r>
    </w:p>
    <w:p>
      <w:r>
        <w:br w:type="page"/>
      </w:r>
    </w:p>
    <w:p>
      <w:pPr>
        <w:keepNext/>
        <w:spacing w:before="60" w:after="120"/>
      </w:pPr>
      <w:r>
        <w:rPr>
          <w:rFonts w:ascii="Arial" w:hAnsi="Arial" w:eastAsia="PingFang SC"/>
          <w:b/>
          <w:i w:val="0"/>
          <w:color w:val="102A43"/>
          <w:sz w:val="28"/>
        </w:rPr>
        <w:t>1. 财务看点：收入由汽车压舱，利润与现金流出现分化</w:t>
      </w:r>
    </w:p>
    <w:p>
      <w:pPr>
        <w:spacing w:after="100" w:line="259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将两家公司按同一集团做未抵销汇总，收入结构与利润结构并不相同：汽车收入体量最大，Connectivity和SI的毛利权重明显上升；同时，SpaceX的投资强度决定了合并自由现金流的方向。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501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14000" cy="14478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_mi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00" cy="144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14000" cy="14989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h_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00" cy="14989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102A43"/>
          <w:sz w:val="20"/>
        </w:rPr>
        <w:t>五大报告分部：LTM收入与可比毛利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701"/>
        <w:gridCol w:w="1474"/>
        <w:gridCol w:w="1701"/>
        <w:gridCol w:w="1474"/>
      </w:tblGrid>
      <w:tr>
        <w:trPr>
          <w:cantSplit/>
        </w:trPr>
        <w:tc>
          <w:tcPr>
            <w:tcW w:type="dxa" w:w="1814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分部</w:t>
            </w:r>
          </w:p>
        </w:tc>
        <w:tc>
          <w:tcPr>
            <w:tcW w:type="dxa" w:w="1247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公司</w:t>
            </w:r>
          </w:p>
        </w:tc>
        <w:tc>
          <w:tcPr>
            <w:tcW w:type="dxa" w:w="170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收入 US$bn</w:t>
            </w:r>
          </w:p>
        </w:tc>
        <w:tc>
          <w:tcPr>
            <w:tcW w:type="dxa" w:w="1474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收入占比</w:t>
            </w:r>
          </w:p>
        </w:tc>
        <w:tc>
          <w:tcPr>
            <w:tcW w:type="dxa" w:w="170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毛利 US$bn</w:t>
            </w:r>
          </w:p>
        </w:tc>
        <w:tc>
          <w:tcPr>
            <w:tcW w:type="dxa" w:w="1474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毛利占比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Automotive</w:t>
            </w:r>
          </w:p>
        </w:tc>
        <w:tc>
          <w:tcPr>
            <w:tcW w:type="dxa" w:w="1247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Tesla</w:t>
            </w:r>
          </w:p>
        </w:tc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91.3</w:t>
            </w:r>
          </w:p>
        </w:tc>
        <w:tc>
          <w:tcPr>
            <w:tcW w:type="dxa" w:w="147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67.3%</w:t>
            </w:r>
          </w:p>
        </w:tc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16.3</w:t>
            </w:r>
          </w:p>
        </w:tc>
        <w:tc>
          <w:tcPr>
            <w:tcW w:type="dxa" w:w="147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42.8%</w:t>
            </w:r>
          </w:p>
        </w:tc>
      </w:tr>
      <w:tr>
        <w:trPr>
          <w:cantSplit/>
        </w:trPr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Energy</w:t>
            </w:r>
          </w:p>
        </w:tc>
        <w:tc>
          <w:tcPr>
            <w:tcW w:type="dxa" w:w="1247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Tesla</w:t>
            </w:r>
          </w:p>
        </w:tc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12.3</w:t>
            </w:r>
          </w:p>
        </w:tc>
        <w:tc>
          <w:tcPr>
            <w:tcW w:type="dxa" w:w="147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9.0%</w:t>
            </w:r>
          </w:p>
        </w:tc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3.6</w:t>
            </w:r>
          </w:p>
        </w:tc>
        <w:tc>
          <w:tcPr>
            <w:tcW w:type="dxa" w:w="147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9.6%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Connectivity</w:t>
            </w:r>
          </w:p>
        </w:tc>
        <w:tc>
          <w:tcPr>
            <w:tcW w:type="dxa" w:w="1247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SpaceX</w:t>
            </w:r>
          </w:p>
        </w:tc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16.0</w:t>
            </w:r>
          </w:p>
        </w:tc>
        <w:tc>
          <w:tcPr>
            <w:tcW w:type="dxa" w:w="147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11.8%</w:t>
            </w:r>
          </w:p>
        </w:tc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8.3</w:t>
            </w:r>
          </w:p>
        </w:tc>
        <w:tc>
          <w:tcPr>
            <w:tcW w:type="dxa" w:w="147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21.7%</w:t>
            </w:r>
          </w:p>
        </w:tc>
      </w:tr>
      <w:tr>
        <w:trPr>
          <w:cantSplit/>
        </w:trPr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SI</w:t>
            </w:r>
          </w:p>
        </w:tc>
        <w:tc>
          <w:tcPr>
            <w:tcW w:type="dxa" w:w="1247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SpaceX</w:t>
            </w:r>
          </w:p>
        </w:tc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11.9</w:t>
            </w:r>
          </w:p>
        </w:tc>
        <w:tc>
          <w:tcPr>
            <w:tcW w:type="dxa" w:w="147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8.7%</w:t>
            </w:r>
          </w:p>
        </w:tc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7.0</w:t>
            </w:r>
          </w:p>
        </w:tc>
        <w:tc>
          <w:tcPr>
            <w:tcW w:type="dxa" w:w="147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18.4%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Space</w:t>
            </w:r>
          </w:p>
        </w:tc>
        <w:tc>
          <w:tcPr>
            <w:tcW w:type="dxa" w:w="1247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SpaceX</w:t>
            </w:r>
          </w:p>
        </w:tc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4.2</w:t>
            </w:r>
          </w:p>
        </w:tc>
        <w:tc>
          <w:tcPr>
            <w:tcW w:type="dxa" w:w="147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3.1%</w:t>
            </w:r>
          </w:p>
        </w:tc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2.9</w:t>
            </w:r>
          </w:p>
        </w:tc>
        <w:tc>
          <w:tcPr>
            <w:tcW w:type="dxa" w:w="147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7.5%</w:t>
            </w:r>
          </w:p>
        </w:tc>
      </w:tr>
      <w:tr>
        <w:trPr>
          <w:cantSplit/>
        </w:trPr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合计</w:t>
            </w:r>
          </w:p>
        </w:tc>
        <w:tc>
          <w:tcPr>
            <w:tcW w:type="dxa" w:w="1247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—</w:t>
            </w:r>
          </w:p>
        </w:tc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135.6</w:t>
            </w:r>
          </w:p>
        </w:tc>
        <w:tc>
          <w:tcPr>
            <w:tcW w:type="dxa" w:w="147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100.0%</w:t>
            </w:r>
          </w:p>
        </w:tc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38.2</w:t>
            </w:r>
          </w:p>
        </w:tc>
        <w:tc>
          <w:tcPr>
            <w:tcW w:type="dxa" w:w="147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100.0%</w:t>
            </w:r>
          </w:p>
        </w:tc>
      </w:tr>
    </w:tbl>
    <w:p>
      <w:pPr>
        <w:spacing w:after="60" w:line="259" w:lineRule="auto"/>
      </w:pPr>
      <w:r>
        <w:rPr>
          <w:rFonts w:ascii="Arial" w:hAnsi="Arial" w:eastAsia="PingFang SC"/>
          <w:b w:val="0"/>
          <w:i w:val="0"/>
          <w:color w:val="102A43"/>
          <w:sz w:val="17"/>
        </w:rPr>
        <w:t>解读：SpaceX Space分部LTM经营亏损US$1.7bn、SI经营亏损US$5.5bn，Connectivity经营利润US$6.5bn；Tesla仅披露分部毛利，不能把其毛利当作经营利润。</w:t>
      </w:r>
    </w:p>
    <w:p>
      <w:pPr>
        <w:spacing w:before="60" w:after="40" w:line="240" w:lineRule="auto"/>
      </w:pPr>
      <w:r>
        <w:rPr>
          <w:rFonts w:ascii="Arial" w:hAnsi="Arial" w:eastAsia="PingFang SC"/>
          <w:b w:val="0"/>
          <w:i/>
          <w:color w:val="52606D"/>
          <w:sz w:val="14"/>
        </w:rPr>
        <w:t>来源：SpaceX招股书Note 19、Q2季报Note 18、Q3公告p.3–6；Tesla 10-K Note 16、10-Q Note 14、Q3 Update slides 27–32。毛利为收入减成本的分析计算；现金流图Capex为正数现金流出。</w:t>
      </w:r>
    </w:p>
    <w:p>
      <w:r>
        <w:br w:type="page"/>
      </w:r>
    </w:p>
    <w:p>
      <w:pPr>
        <w:keepNext/>
        <w:spacing w:before="60" w:after="120"/>
      </w:pPr>
      <w:r>
        <w:rPr>
          <w:rFonts w:ascii="Arial" w:hAnsi="Arial" w:eastAsia="PingFang SC"/>
          <w:b/>
          <w:i w:val="0"/>
          <w:color w:val="102A43"/>
          <w:sz w:val="28"/>
        </w:rPr>
        <w:t>2. 换股与控制权：市场法约2.43x，定价方法会改变股东结构</w:t>
      </w:r>
    </w:p>
    <w:p>
      <w:pPr>
        <w:spacing w:after="80" w:line="259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结构假设为SpaceX发行Class A给Tesla股东，溢价应用于Tesla对价。市场法使用2026-10-21已完成交易日；VWAP*为截至该日20个交易日的成交量加权收盘价，属于分析计算而非官方VWAP。</w:t>
      </w:r>
    </w:p>
    <w:p>
      <w:r>
        <w:drawing>
          <wp:inline xmlns:a="http://schemas.openxmlformats.org/drawingml/2006/main" xmlns:pic="http://schemas.openxmlformats.org/drawingml/2006/picture">
            <wp:extent cx="6336000" cy="31465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1465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531"/>
        <w:gridCol w:w="1814"/>
        <w:gridCol w:w="1814"/>
        <w:gridCol w:w="2268"/>
      </w:tblGrid>
      <w:tr>
        <w:trPr>
          <w:cantSplit/>
        </w:trPr>
        <w:tc>
          <w:tcPr>
            <w:tcW w:type="dxa" w:w="2324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方法（0%溢价）</w:t>
            </w:r>
          </w:p>
        </w:tc>
        <w:tc>
          <w:tcPr>
            <w:tcW w:type="dxa" w:w="153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换股比例</w:t>
            </w:r>
          </w:p>
        </w:tc>
        <w:tc>
          <w:tcPr>
            <w:tcW w:type="dxa" w:w="1814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SpaceX原股东</w:t>
            </w:r>
          </w:p>
        </w:tc>
        <w:tc>
          <w:tcPr>
            <w:tcW w:type="dxa" w:w="1814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Tesla原股东</w:t>
            </w:r>
          </w:p>
        </w:tc>
        <w:tc>
          <w:tcPr>
            <w:tcW w:type="dxa" w:w="2268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Musk合并后经济持股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收盘市值</w:t>
            </w:r>
          </w:p>
        </w:tc>
        <w:tc>
          <w:tcPr>
            <w:tcW w:type="dxa" w:w="153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2.43x</w:t>
            </w:r>
          </w:p>
        </w:tc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58.6%</w:t>
            </w:r>
          </w:p>
        </w:tc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41.4%</w:t>
            </w:r>
          </w:p>
        </w:tc>
        <w:tc>
          <w:tcPr>
            <w:tcW w:type="dxa" w:w="226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33.5%</w:t>
            </w:r>
          </w:p>
        </w:tc>
      </w:tr>
      <w:tr>
        <w:trPr>
          <w:cantSplit/>
        </w:trPr>
        <w:tc>
          <w:tcPr>
            <w:tcW w:type="dxa" w:w="232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20日VWAP*</w:t>
            </w:r>
          </w:p>
        </w:tc>
        <w:tc>
          <w:tcPr>
            <w:tcW w:type="dxa" w:w="153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2.36x</w:t>
            </w:r>
          </w:p>
        </w:tc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59.2%</w:t>
            </w:r>
          </w:p>
        </w:tc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40.8%</w:t>
            </w:r>
          </w:p>
        </w:tc>
        <w:tc>
          <w:tcPr>
            <w:tcW w:type="dxa" w:w="2268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33.7%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收入倍数</w:t>
            </w:r>
          </w:p>
        </w:tc>
        <w:tc>
          <w:tcPr>
            <w:tcW w:type="dxa" w:w="153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3.43x</w:t>
            </w:r>
          </w:p>
        </w:tc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50.0%</w:t>
            </w:r>
          </w:p>
        </w:tc>
        <w:tc>
          <w:tcPr>
            <w:tcW w:type="dxa" w:w="1814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50.0%</w:t>
            </w:r>
          </w:p>
        </w:tc>
        <w:tc>
          <w:tcPr>
            <w:tcW w:type="dxa" w:w="226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31.2%</w:t>
            </w:r>
          </w:p>
        </w:tc>
      </w:tr>
      <w:tr>
        <w:trPr>
          <w:cantSplit/>
        </w:trPr>
        <w:tc>
          <w:tcPr>
            <w:tcW w:type="dxa" w:w="232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EBITDA倍数</w:t>
            </w:r>
          </w:p>
        </w:tc>
        <w:tc>
          <w:tcPr>
            <w:tcW w:type="dxa" w:w="153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3.30x</w:t>
            </w:r>
          </w:p>
        </w:tc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51.0%</w:t>
            </w:r>
          </w:p>
        </w:tc>
        <w:tc>
          <w:tcPr>
            <w:tcW w:type="dxa" w:w="1814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49.0%</w:t>
            </w:r>
          </w:p>
        </w:tc>
        <w:tc>
          <w:tcPr>
            <w:tcW w:type="dxa" w:w="2268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31.5%</w:t>
            </w:r>
          </w:p>
        </w:tc>
      </w:tr>
    </w:tbl>
    <w:p>
      <w:pPr>
        <w:spacing w:after="60" w:line="259" w:lineRule="auto"/>
      </w:pPr>
      <w:r>
        <w:rPr>
          <w:rFonts w:ascii="Arial" w:hAnsi="Arial" w:eastAsia="PingFang SC"/>
          <w:b/>
          <w:i w:val="0"/>
          <w:color w:val="102A43"/>
          <w:sz w:val="19"/>
        </w:rPr>
        <w:t>溢价敏感性（每1股Tesla换取SpaceX股数）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70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Tesla对价溢价</w:t>
            </w:r>
          </w:p>
        </w:tc>
        <w:tc>
          <w:tcPr>
            <w:tcW w:type="dxa" w:w="187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收盘市值</w:t>
            </w:r>
          </w:p>
        </w:tc>
        <w:tc>
          <w:tcPr>
            <w:tcW w:type="dxa" w:w="187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20日VWAP*</w:t>
            </w:r>
          </w:p>
        </w:tc>
        <w:tc>
          <w:tcPr>
            <w:tcW w:type="dxa" w:w="187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收入倍数</w:t>
            </w:r>
          </w:p>
        </w:tc>
        <w:tc>
          <w:tcPr>
            <w:tcW w:type="dxa" w:w="1871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hAnsi="Arial" w:eastAsia="PingFang SC"/>
                <w:b/>
                <w:i w:val="0"/>
                <w:color w:val="FFFFFF"/>
                <w:sz w:val="15"/>
              </w:rPr>
              <w:t>EBITDA倍数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0%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2.43x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2.36x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3.43x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3.30x</w:t>
            </w:r>
          </w:p>
        </w:tc>
      </w:tr>
      <w:tr>
        <w:trPr>
          <w:cantSplit/>
        </w:trPr>
        <w:tc>
          <w:tcPr>
            <w:tcW w:type="dxa" w:w="170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10%</w:t>
            </w:r>
          </w:p>
        </w:tc>
        <w:tc>
          <w:tcPr>
            <w:tcW w:type="dxa" w:w="187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2.67x</w:t>
            </w:r>
          </w:p>
        </w:tc>
        <w:tc>
          <w:tcPr>
            <w:tcW w:type="dxa" w:w="187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2.60x</w:t>
            </w:r>
          </w:p>
        </w:tc>
        <w:tc>
          <w:tcPr>
            <w:tcW w:type="dxa" w:w="187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3.78x</w:t>
            </w:r>
          </w:p>
        </w:tc>
        <w:tc>
          <w:tcPr>
            <w:tcW w:type="dxa" w:w="1871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3.63x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20%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2.91x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2.84x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4.12x</w:t>
            </w:r>
          </w:p>
        </w:tc>
        <w:tc>
          <w:tcPr>
            <w:tcW w:type="dxa" w:w="1871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  <w:jc w:val="right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5"/>
              </w:rPr>
              <w:t>3.96x</w:t>
            </w:r>
          </w:p>
        </w:tc>
      </w:tr>
    </w:tbl>
    <w:p>
      <w:pPr>
        <w:spacing w:after="60" w:line="259" w:lineRule="auto"/>
      </w:pPr>
      <w:r>
        <w:rPr>
          <w:rFonts w:ascii="Arial" w:hAnsi="Arial" w:eastAsia="PingFang SC"/>
          <w:b w:val="0"/>
          <w:i w:val="0"/>
          <w:color w:val="102A43"/>
          <w:sz w:val="17"/>
        </w:rPr>
        <w:t>Musk持股口径：SpaceX招股书IPO后实际Class A+B经济持股约46.1%（不含350m期权）；按Q3较新股数静态计算为44.7%。Tesla Proxy披露受益所有权19.8%（调整分母），按全部已发行股数简单计算为17.7%。收盘法下合并后约33.5%，较SpaceX最新股数静态口径下降11.2个百分点；这是经济权益桥，不是投票权预测。</w:t>
      </w:r>
    </w:p>
    <w:p>
      <w:pPr>
        <w:spacing w:before="60" w:after="40" w:line="240" w:lineRule="auto"/>
      </w:pPr>
      <w:r>
        <w:rPr>
          <w:rFonts w:ascii="Arial" w:hAnsi="Arial" w:eastAsia="PingFang SC"/>
          <w:b w:val="0"/>
          <w:i/>
          <w:color w:val="52606D"/>
          <w:sz w:val="14"/>
        </w:rPr>
        <w:t>来源：Yahoo Finance Chart API，2026-10-22访问；SpaceX招股书Security Ownership/IPO股数；Tesla 2026 Proxy Ownership of Securities及Voting Agreement。收入倍数6.0x/2.0x、EBITDA共同20.0x均为假设，非目标价。</w:t>
      </w:r>
    </w:p>
    <w:p>
      <w:r>
        <w:br w:type="page"/>
      </w:r>
    </w:p>
    <w:p>
      <w:pPr>
        <w:keepNext/>
        <w:spacing w:before="60" w:after="120"/>
      </w:pPr>
      <w:r>
        <w:rPr>
          <w:rFonts w:ascii="Arial" w:hAnsi="Arial" w:eastAsia="PingFang SC"/>
          <w:b/>
          <w:i w:val="0"/>
          <w:color w:val="102A43"/>
          <w:sz w:val="28"/>
        </w:rPr>
        <w:t>3. 风险与会计处理：先解决抵销和交叉持股，再谈协同</w:t>
      </w:r>
    </w:p>
    <w:p>
      <w:pPr>
        <w:spacing w:after="80" w:line="259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材料已经显示两家公司及马斯克其他实体之间存在多类交易，但披露期间、法律主体和会计口径不完全一致。合并备考保留未抵销汇总，并单独展示可核对的抵销起点，避免制造精确但不可靠的“合并后利润”。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989"/>
      </w:tblGrid>
      <w:tr>
        <w:trPr>
          <w:cantSplit/>
        </w:trPr>
        <w:tc>
          <w:tcPr>
            <w:tcW w:type="dxa" w:w="1757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PingFang SC"/>
                <w:b/>
                <w:i w:val="0"/>
                <w:color w:val="FFFFFF"/>
                <w:sz w:val="14"/>
              </w:rPr>
              <w:t>问题</w:t>
            </w:r>
          </w:p>
        </w:tc>
        <w:tc>
          <w:tcPr>
            <w:tcW w:type="dxa" w:w="3458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PingFang SC"/>
                <w:b/>
                <w:i w:val="0"/>
                <w:color w:val="FFFFFF"/>
                <w:sz w:val="14"/>
              </w:rPr>
              <w:t>披露证据（US$m）</w:t>
            </w:r>
          </w:p>
        </w:tc>
        <w:tc>
          <w:tcPr>
            <w:tcW w:type="dxa" w:w="4989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PingFang SC"/>
                <w:b/>
                <w:i w:val="0"/>
                <w:color w:val="FFFFFF"/>
                <w:sz w:val="14"/>
              </w:rPr>
              <w:t>合并时处理 / 风险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内部Megapack销售</w:t>
            </w:r>
          </w:p>
        </w:tc>
        <w:tc>
          <w:tcPr>
            <w:tcW w:type="dxa" w:w="345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Tesla Q3对SpaceX收入221、成本171；9M收入626、成本478</w:t>
            </w:r>
          </w:p>
        </w:tc>
        <w:tc>
          <w:tcPr>
            <w:tcW w:type="dxa" w:w="4989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抵销内部收入/成本，并核对SpaceX PP&amp;E、未实现利润和折旧；Q3示例毛利影响50，不等同正式合并调整。</w:t>
            </w:r>
          </w:p>
        </w:tc>
      </w:tr>
      <w:tr>
        <w:trPr>
          <w:cantSplit/>
        </w:trPr>
        <w:tc>
          <w:tcPr>
            <w:tcW w:type="dxa" w:w="1757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往来与递延项目</w:t>
            </w:r>
          </w:p>
        </w:tc>
        <w:tc>
          <w:tcPr>
            <w:tcW w:type="dxa" w:w="3458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Q3末SpaceX相关应收729、递延收入648</w:t>
            </w:r>
          </w:p>
        </w:tc>
        <w:tc>
          <w:tcPr>
            <w:tcW w:type="dxa" w:w="4989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与SpaceX应付/预收及合同负债逐笔核对后抵销；Tesla披露的141/60补充口径不是GAAP资产负债表抵销。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交叉持股</w:t>
            </w:r>
          </w:p>
        </w:tc>
        <w:tc>
          <w:tcPr>
            <w:tcW w:type="dxa" w:w="345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Tesla持有SpaceX投资期末公允价值2,865，成本2,002；9M公允价值净收益863</w:t>
            </w:r>
          </w:p>
        </w:tc>
        <w:tc>
          <w:tcPr>
            <w:tcW w:type="dxa" w:w="4989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合并层面消除交叉投资，防止估值和资产重复计算；收购方、原持有权益和购买法处理待确定。</w:t>
            </w:r>
          </w:p>
        </w:tc>
      </w:tr>
      <w:tr>
        <w:trPr>
          <w:cantSplit/>
        </w:trPr>
        <w:tc>
          <w:tcPr>
            <w:tcW w:type="dxa" w:w="1757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历史主体与非GAAP</w:t>
            </w:r>
          </w:p>
        </w:tc>
        <w:tc>
          <w:tcPr>
            <w:tcW w:type="dxa" w:w="3458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SpaceX已按共同控制重编xAI/X；Cursor于2026-08-14纳入，Q3贡献收入608、收购相关SBC 1,217</w:t>
            </w:r>
          </w:p>
        </w:tc>
        <w:tc>
          <w:tcPr>
            <w:tcW w:type="dxa" w:w="4989"/>
            <w:shd w:fill="F2F6FA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不能把SpaceX/xAI历史逻辑直接套到Tesla；统一Adjusted EBITDA定义，剔除或单列收购和公允价值影响。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债务与控制</w:t>
            </w:r>
          </w:p>
        </w:tc>
        <w:tc>
          <w:tcPr>
            <w:tcW w:type="dxa" w:w="345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SpaceX Q3债务及租赁38,844；Tesla 9,523；Musk双重股权/奖励股安排复杂</w:t>
            </w:r>
          </w:p>
        </w:tc>
        <w:tc>
          <w:tcPr>
            <w:tcW w:type="dxa" w:w="4989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vAlign w:val="top"/>
          </w:tcPr>
          <w:p>
            <w:pPr>
              <w:spacing w:after="20" w:before="20" w:line="240" w:lineRule="auto"/>
            </w:pPr>
            <w:r>
              <w:rPr>
                <w:rFonts w:ascii="Arial" w:hAnsi="Arial" w:eastAsia="PingFang SC"/>
                <w:b w:val="0"/>
                <w:i w:val="0"/>
                <w:color w:val="102A43"/>
                <w:sz w:val="14"/>
              </w:rPr>
              <w:t>核查change-of-control、融资契约、Class B权利、Tesla CEO奖励股投票代理和股东批准；经济持股不等于控制权。</w:t>
            </w:r>
          </w:p>
        </w:tc>
      </w:tr>
    </w:tbl>
    <w:p>
      <w:pPr>
        <w:spacing w:after="60" w:line="259" w:lineRule="auto"/>
      </w:pPr>
      <w:r>
        <w:rPr>
          <w:rFonts w:ascii="Arial" w:hAnsi="Arial" w:eastAsia="PingFang SC"/>
          <w:b w:val="0"/>
          <w:i w:val="0"/>
          <w:color w:val="102A43"/>
          <w:sz w:val="17"/>
        </w:rPr>
        <w:t>其他风险：SpaceX LTM自由现金流为负US$39.2bn，SI基础设施和频谱/芯片项目可能继续提高资金需求；Tesla汽车收入周期、能源订单兑现、监管与数据/自动驾驶责任也会影响合并后的资本配置。Terafab和Macrohard目前只有框架，不应计入协同或承诺Capex。</w:t>
      </w:r>
    </w:p>
    <w:p>
      <w:pPr>
        <w:spacing w:before="60" w:after="40" w:line="240" w:lineRule="auto"/>
      </w:pPr>
      <w:r>
        <w:rPr>
          <w:rFonts w:ascii="Arial" w:hAnsi="Arial" w:eastAsia="PingFang SC"/>
          <w:b w:val="0"/>
          <w:i/>
          <w:color w:val="52606D"/>
          <w:sz w:val="14"/>
        </w:rPr>
        <w:t>来源：Tesla 10-Q Note 1/2/8/13；Tesla Proxy Related Person Transactions；SpaceX招股书Basis of Presentation、Note 17/18、Business；SpaceX Q3公告p.6–7/p.10。</w:t>
      </w:r>
    </w:p>
    <w:p>
      <w:r>
        <w:br w:type="page"/>
      </w:r>
    </w:p>
    <w:p>
      <w:pPr>
        <w:keepNext/>
        <w:spacing w:before="60" w:after="120"/>
      </w:pPr>
      <w:r>
        <w:rPr>
          <w:rFonts w:ascii="Arial" w:hAnsi="Arial" w:eastAsia="PingFang SC"/>
          <w:b/>
          <w:i w:val="0"/>
          <w:color w:val="102A43"/>
          <w:sz w:val="28"/>
        </w:rPr>
        <w:t>4. 仍需核实的问题与投委会讨论清单</w:t>
      </w:r>
    </w:p>
    <w:p>
      <w:pPr>
        <w:spacing w:after="100" w:line="259" w:lineRule="auto"/>
      </w:pPr>
      <w:r>
        <w:rPr>
          <w:rFonts w:ascii="Arial" w:hAnsi="Arial" w:eastAsia="PingFang SC"/>
          <w:b w:val="0"/>
          <w:i w:val="0"/>
          <w:color w:val="102A43"/>
          <w:sz w:val="18"/>
        </w:rPr>
        <w:t>建议将以下问题作为下一轮尽调和特别委员会沟通的硬性清单；在答案明确前，模型结果只适合比较情景，不适合形成最终对价或会计结论。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01  交易结构：</w:t>
      </w:r>
      <w:r>
        <w:rPr>
          <w:rFonts w:ascii="Arial" w:hAnsi="Arial" w:eastAsia="PingFang SC"/>
          <w:b w:val="0"/>
          <w:i w:val="0"/>
          <w:color w:val="102A43"/>
          <w:sz w:val="18"/>
        </w:rPr>
        <w:t>SpaceX还是Tesla为会计收购方？采用何种法律合并路径、股票类别和对价锁价机制？是否需要双方股东及监管批准？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02  换股与稀释：</w:t>
      </w:r>
      <w:r>
        <w:rPr>
          <w:rFonts w:ascii="Arial" w:hAnsi="Arial" w:eastAsia="PingFang SC"/>
          <w:b w:val="0"/>
          <w:i w:val="0"/>
          <w:color w:val="102A43"/>
          <w:sz w:val="18"/>
        </w:rPr>
        <w:t>最终股数基准日、库存股/限制性股/期权/2025 CEO奖励股如何处理？溢价是否适用于全部Tesla股东？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03  投票权与治理：</w:t>
      </w:r>
      <w:r>
        <w:rPr>
          <w:rFonts w:ascii="Arial" w:hAnsi="Arial" w:eastAsia="PingFang SC"/>
          <w:b w:val="0"/>
          <w:i w:val="0"/>
          <w:color w:val="102A43"/>
          <w:sz w:val="18"/>
        </w:rPr>
        <w:t>SpaceX Class B的10倍投票权、Class B董事选举权与Tesla奖励股代理投票如何延续？Musk交割后实际投票权是多少？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04  内部交易全量清单：</w:t>
      </w:r>
      <w:r>
        <w:rPr>
          <w:rFonts w:ascii="Arial" w:hAnsi="Arial" w:eastAsia="PingFang SC"/>
          <w:b w:val="0"/>
          <w:i w:val="0"/>
          <w:color w:val="102A43"/>
          <w:sz w:val="18"/>
        </w:rPr>
        <w:t>取得2025Q4至2026Q3双方总账、合同、应收应付、递延收入、PP&amp;E和折旧明细，完成全量抵销而非只做Q3 Megapack示例。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05  交叉投资与购买法：</w:t>
      </w:r>
      <w:r>
        <w:rPr>
          <w:rFonts w:ascii="Arial" w:hAnsi="Arial" w:eastAsia="PingFang SC"/>
          <w:b w:val="0"/>
          <w:i w:val="0"/>
          <w:color w:val="102A43"/>
          <w:sz w:val="18"/>
        </w:rPr>
        <w:t>Tesla持有SpaceX股权在合并对价、资产和权益中的具体会计处理是什么？是否产生商誉、原持有权益重估或其他调整？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06  现金、债务与资本开支：</w:t>
      </w:r>
      <w:r>
        <w:rPr>
          <w:rFonts w:ascii="Arial" w:hAnsi="Arial" w:eastAsia="PingFang SC"/>
          <w:b w:val="0"/>
          <w:i w:val="0"/>
          <w:color w:val="102A43"/>
          <w:sz w:val="18"/>
        </w:rPr>
        <w:t>SpaceX Q3债务本金和租赁拆分、change-of-control条款、未提取额度、频谱/芯片项目承诺及未来融资计划是什么？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07  经营可持续性：</w:t>
      </w:r>
      <w:r>
        <w:rPr>
          <w:rFonts w:ascii="Arial" w:hAnsi="Arial" w:eastAsia="PingFang SC"/>
          <w:b w:val="0"/>
          <w:i w:val="0"/>
          <w:color w:val="102A43"/>
          <w:sz w:val="18"/>
        </w:rPr>
        <w:t>Cursor并表后的收入、SBC、商誉和整合成本如何拆分？SI云服务合同的期限、价格、毛利和资本回收期如何验证？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007F82"/>
          <w:sz w:val="18"/>
        </w:rPr>
        <w:t>08  税务与少数股东：</w:t>
      </w:r>
      <w:r>
        <w:rPr>
          <w:rFonts w:ascii="Arial" w:hAnsi="Arial" w:eastAsia="PingFang SC"/>
          <w:b w:val="0"/>
          <w:i w:val="0"/>
          <w:color w:val="102A43"/>
          <w:sz w:val="18"/>
        </w:rPr>
        <w:t>合并税负、NCI/可赎回NCI、数字资产公允价值变动及历史共同控制重编是否需要调整？</w:t>
      </w:r>
    </w:p>
    <w:p>
      <w:pPr>
        <w:spacing w:after="80" w:line="259" w:lineRule="auto"/>
      </w:pPr>
      <w:r>
        <w:rPr>
          <w:rFonts w:ascii="Arial" w:hAnsi="Arial" w:eastAsia="PingFang SC"/>
          <w:b/>
          <w:i w:val="0"/>
          <w:color w:val="102A43"/>
          <w:sz w:val="20"/>
        </w:rPr>
        <w:t>模型假设与未核实事项</w:t>
      </w:r>
    </w:p>
    <w:p>
      <w:pPr>
        <w:spacing w:after="80" w:line="259" w:lineRule="auto"/>
      </w:pPr>
      <w:r>
        <w:rPr>
          <w:rFonts w:ascii="Arial" w:hAnsi="Arial" w:eastAsia="PingFang SC"/>
          <w:b w:val="0"/>
          <w:i w:val="0"/>
          <w:color w:val="102A43"/>
          <w:sz w:val="17"/>
        </w:rPr>
        <w:t>假设：SpaceX发行Class A；基准溢价0%；收入倍数SpaceX 6.0x/Tesla 2.0x；共同EV/LTM调整后EBITDA 20.0x；不扣交叉持股、协同、交易成本、税务和奖励股稀释。未核实：正式合并协议、完整内部交易、购买价格分配、交割后投票权、实际公众流通股和SpaceX Q3债务本金/租赁拆分。</w:t>
      </w:r>
    </w:p>
    <w:p>
      <w:pPr>
        <w:spacing w:before="60" w:after="40" w:line="240" w:lineRule="auto"/>
      </w:pPr>
      <w:r>
        <w:rPr>
          <w:rFonts w:ascii="Arial" w:hAnsi="Arial" w:eastAsia="PingFang SC"/>
          <w:b w:val="0"/>
          <w:i/>
          <w:color w:val="52606D"/>
          <w:sz w:val="14"/>
        </w:rPr>
        <w:t>主要材料：SpaceX招股书、2026Q2季报、2026Q3业绩公告；Tesla 2025年报、2026Q3季报、2026Q3业绩公告、2026股东大会委托书。市场数据：Yahoo Finance Chart API，2026-10-22访问，定价日2026-10-21。所有关键数字详见交付/合并模型.xlsx；本备忘录仅用于研究展示，不构成投资建议。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52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i w:val="0"/>
        <w:color w:val="52606D"/>
        <w:sz w:val="16"/>
      </w:rPr>
      <w:t xml:space="preserve">第 </w:t>
    </w:r>
    <w:fldSimple w:instr="PAGE"/>
    <w:r>
      <w:rPr>
        <w:rFonts w:ascii="Arial" w:hAnsi="Arial" w:eastAsia="PingFang SC"/>
        <w:b w:val="0"/>
        <w:i w:val="0"/>
        <w:color w:val="52606D"/>
        <w:sz w:val="16"/>
      </w:rPr>
      <w:t xml:space="preserve"> 页｜内部讨论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/>
        <w:b/>
        <w:i w:val="0"/>
        <w:color w:val="52606D"/>
        <w:sz w:val="15"/>
      </w:rPr>
      <w:t>SPACEX + TESLA  /  MERGER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PingFang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PingFang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SpaceX 与 Tesla 合并：投委会备忘录</dc:title>
  <dc:subject>财务分析与相对换股情景</dc:subject>
  <dc:creator>Internal M&amp;A Analysis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