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穿越下行，兑现 HBM</w:t>
        <w:br/>
        <w:t>十六季度经营复盘</w:t>
      </w:r>
    </w:p>
    <w:p>
      <w:r>
        <w:t>致董事会  /  2026年10月22日</w:t>
        <w:br/>
        <w:t>虚构公司展示名称：晶序内存；不对应真实企业。</w:t>
      </w:r>
    </w:p>
    <w:p>
      <w:pPr>
        <w:pStyle w:val="Heading1"/>
      </w:pPr>
      <w:r>
        <w:t>期末权益增至 171.2457 十亿美元</w:t>
      </w:r>
    </w:p>
    <w:p>
      <w:r>
        <w:t>公司完成全部16个季度，未破产，未动用紧急授信。期初权益34.9600，期末171.2457，增幅389.83%；导出累计净利润136.2858。期末现金152.9207、普通借款与紧急借款均为零。权益增量与累计净利润相差0.0001，属于接口四位小数舍入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董事会指标</w:t>
            </w:r>
          </w:p>
        </w:tc>
        <w:tc>
          <w:tcPr>
            <w:tcW w:type="dxa" w:w="4929"/>
          </w:tcPr>
          <w:p>
            <w:r>
              <w:t>结果（十亿美元，另注除外）</w:t>
            </w:r>
          </w:p>
        </w:tc>
      </w:tr>
      <w:tr>
        <w:tc>
          <w:tcPr>
            <w:tcW w:type="dxa" w:w="4929"/>
          </w:tcPr>
          <w:p>
            <w:r>
              <w:t>累计收入 / HBM收入</w:t>
            </w:r>
          </w:p>
        </w:tc>
        <w:tc>
          <w:tcPr>
            <w:tcW w:type="dxa" w:w="4929"/>
          </w:tcPr>
          <w:p>
            <w:r>
              <w:t>259.0555 / 150.7872</w:t>
            </w:r>
          </w:p>
        </w:tc>
      </w:tr>
      <w:tr>
        <w:tc>
          <w:tcPr>
            <w:tcW w:type="dxa" w:w="4929"/>
          </w:tcPr>
          <w:p>
            <w:r>
              <w:t>累计经营现金流 / 资本开支</w:t>
            </w:r>
          </w:p>
        </w:tc>
        <w:tc>
          <w:tcPr>
            <w:tcW w:type="dxa" w:w="4929"/>
          </w:tcPr>
          <w:p>
            <w:r>
              <w:t>175.9208 / 27.0000</w:t>
            </w:r>
          </w:p>
        </w:tc>
      </w:tr>
      <w:tr>
        <w:tc>
          <w:tcPr>
            <w:tcW w:type="dxa" w:w="4929"/>
          </w:tcPr>
          <w:p>
            <w:r>
              <w:t>现金最低点 / 权益最低点</w:t>
            </w:r>
          </w:p>
        </w:tc>
        <w:tc>
          <w:tcPr>
            <w:tcW w:type="dxa" w:w="4929"/>
          </w:tcPr>
          <w:p>
            <w:r>
              <w:t>Q3：2.9765 / Q6：20.9828</w:t>
            </w:r>
          </w:p>
        </w:tc>
      </w:tr>
      <w:tr>
        <w:tc>
          <w:tcPr>
            <w:tcW w:type="dxa" w:w="4929"/>
          </w:tcPr>
          <w:p>
            <w:r>
              <w:t>首次单季盈利 / 债务归零</w:t>
            </w:r>
          </w:p>
        </w:tc>
        <w:tc>
          <w:tcPr>
            <w:tcW w:type="dxa" w:w="4929"/>
          </w:tcPr>
          <w:p>
            <w:r>
              <w:t>Q7 / Q11</w:t>
            </w:r>
          </w:p>
        </w:tc>
      </w:tr>
      <w:tr>
        <w:tc>
          <w:tcPr>
            <w:tcW w:type="dxa" w:w="4929"/>
          </w:tcPr>
          <w:p>
            <w:r>
              <w:t>期末产能 / 累计HBM销售</w:t>
            </w:r>
          </w:p>
        </w:tc>
        <w:tc>
          <w:tcPr>
            <w:tcW w:type="dxa" w:w="4929"/>
          </w:tcPr>
          <w:p>
            <w:r>
              <w:t>325.0千片每季 / 952.0千片</w:t>
            </w:r>
          </w:p>
        </w:tc>
      </w:tr>
    </w:tbl>
    <w:p>
      <w:r>
        <w:t>成果由两部分共同形成：早期完成研发与现金管理使公司存活并有能力接单；后期模拟市场的剧烈涨价放大了回报。末四季贡献122.2572净利润，占全期89.71%。不应把这一市场红利全部归因为管理能力。</w:t>
      </w:r>
    </w:p>
    <w:p>
      <w:pPr>
        <w:pStyle w:val="Caption"/>
      </w:pPr>
      <w:r>
        <w:t>依据｜数据/完整导出.json → final、cumulative_net_income、history[].income_statement/cash_flow/balance_sheet；期初见数据/Q01_决策前.json。全篇金额统一为十亿美元（1单位=10亿美元）。</w:t>
      </w:r>
    </w:p>
    <w:p>
      <w:r>
        <w:br w:type="page"/>
      </w:r>
    </w:p>
    <w:p>
      <w:pPr>
        <w:pStyle w:val="Heading1"/>
      </w:pPr>
      <w:r>
        <w:t>01  /  周期如何改变了公司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阶段</w:t>
            </w:r>
          </w:p>
        </w:tc>
        <w:tc>
          <w:tcPr>
            <w:tcW w:type="dxa" w:w="3286"/>
          </w:tcPr>
          <w:p>
            <w:r>
              <w:t>实际市场与经营变化</w:t>
            </w:r>
          </w:p>
        </w:tc>
        <w:tc>
          <w:tcPr>
            <w:tcW w:type="dxa" w:w="3286"/>
          </w:tcPr>
          <w:p>
            <w:r>
              <w:t>管理动作</w:t>
            </w:r>
          </w:p>
        </w:tc>
      </w:tr>
      <w:tr>
        <w:tc>
          <w:tcPr>
            <w:tcW w:type="dxa" w:w="3286"/>
          </w:tcPr>
          <w:p>
            <w:r>
              <w:t>Q1—Q3 下行</w:t>
            </w:r>
          </w:p>
        </w:tc>
        <w:tc>
          <w:tcPr>
            <w:tcW w:type="dxa" w:w="3286"/>
          </w:tcPr>
          <w:p>
            <w:r>
              <w:t>普通价格0.80→0.50；累计亏损9.4835</w:t>
            </w:r>
          </w:p>
        </w:tc>
        <w:tc>
          <w:tcPr>
            <w:tcW w:type="dxa" w:w="3286"/>
          </w:tcPr>
          <w:p>
            <w:r>
              <w:t>降低开工、Q2清空普通库存；Q1一次投3.0额外研发</w:t>
            </w:r>
          </w:p>
        </w:tc>
      </w:tr>
      <w:tr>
        <w:tc>
          <w:tcPr>
            <w:tcW w:type="dxa" w:w="3286"/>
          </w:tcPr>
          <w:p>
            <w:r>
              <w:t>Q4—Q6 筑底</w:t>
            </w:r>
          </w:p>
        </w:tc>
        <w:tc>
          <w:tcPr>
            <w:tcW w:type="dxa" w:w="3286"/>
          </w:tcPr>
          <w:p>
            <w:r>
              <w:t>HBM开始量产；Q5经营现金流转正</w:t>
            </w:r>
          </w:p>
        </w:tc>
        <w:tc>
          <w:tcPr>
            <w:tcW w:type="dxa" w:w="3286"/>
          </w:tcPr>
          <w:p>
            <w:r>
              <w:t>借款合计3.0支持周转；逐步增产</w:t>
            </w:r>
          </w:p>
        </w:tc>
      </w:tr>
      <w:tr>
        <w:tc>
          <w:tcPr>
            <w:tcW w:type="dxa" w:w="3286"/>
          </w:tcPr>
          <w:p>
            <w:r>
              <w:t>Q7—Q10 修复</w:t>
            </w:r>
          </w:p>
        </w:tc>
        <w:tc>
          <w:tcPr>
            <w:tcW w:type="dxa" w:w="3286"/>
          </w:tcPr>
          <w:p>
            <w:r>
              <w:t>Q7首次盈利；Q10 HBM收入占51.08%</w:t>
            </w:r>
          </w:p>
        </w:tc>
        <w:tc>
          <w:tcPr>
            <w:tcW w:type="dxa" w:w="3286"/>
          </w:tcPr>
          <w:p>
            <w:r>
              <w:t>满开工；两季各追加1.5扩产；开始还款</w:t>
            </w:r>
          </w:p>
        </w:tc>
      </w:tr>
      <w:tr>
        <w:tc>
          <w:tcPr>
            <w:tcW w:type="dxa" w:w="3286"/>
          </w:tcPr>
          <w:p>
            <w:r>
              <w:t>Q11—Q16 加速</w:t>
            </w:r>
          </w:p>
        </w:tc>
        <w:tc>
          <w:tcPr>
            <w:tcW w:type="dxa" w:w="3286"/>
          </w:tcPr>
          <w:p>
            <w:r>
              <w:t>产能300→325；Q16毛利率90.10%</w:t>
            </w:r>
          </w:p>
        </w:tc>
        <w:tc>
          <w:tcPr>
            <w:tcW w:type="dxa" w:w="3286"/>
          </w:tcPr>
          <w:p>
            <w:r>
              <w:t>Q11还清债务；逐季增加HBM占比</w:t>
            </w:r>
          </w:p>
        </w:tc>
      </w:tr>
    </w:tbl>
    <w:p>
      <w:pPr>
        <w:pStyle w:val="Heading2"/>
      </w:pPr>
      <w:r>
        <w:t>价格是回报幅度的主要外部变量</w:t>
      </w:r>
    </w:p>
    <w:p>
      <w:r>
        <w:t>普通价格指数从Q3低点0.50升至Q16的4.55，达到9.10倍；HBM价格从Q4的1.40升至Q16的9.60，达到6.86倍。Q16收入57.3060，其中HBM收入41.4720，占72.37%。相较之下，期末产能仅比初始增加8.33%。</w:t>
      </w:r>
    </w:p>
    <w:p>
      <w:pPr>
        <w:pStyle w:val="Heading2"/>
      </w:pPr>
      <w:r>
        <w:t>净利润与现金流的转正不同步</w:t>
      </w:r>
    </w:p>
    <w:p>
      <w:r>
        <w:t>Q5净利润仍为−1.6757，但经营现金流已为0.3993，主要因2.0750折旧并非当期现金支出。Q6仍亏0.5007，权益触底20.9828；Q7净利润才转正为0.8407。管理中同时看利润和现金，不用单一利润指标决定是否继续经营。</w:t>
      </w:r>
    </w:p>
    <w:p>
      <w:pPr>
        <w:pStyle w:val="Caption"/>
      </w:pPr>
      <w:r>
        <w:t>依据｜完整导出 → history[0:16].market、operations、income_statement、cash_flow。阶段统计按所属季度求和；比率由三张表.xlsx公式计算。</w:t>
      </w:r>
    </w:p>
    <w:p>
      <w:r>
        <w:br w:type="page"/>
      </w:r>
    </w:p>
    <w:p>
      <w:pPr>
        <w:pStyle w:val="Heading1"/>
      </w:pPr>
      <w:r>
        <w:t>02  /  做对了什么</w:t>
      </w:r>
    </w:p>
    <w:p>
      <w:pPr>
        <w:pStyle w:val="Heading2"/>
      </w:pPr>
      <w:r>
        <w:t>以研发换取进入 HBM 的时间</w:t>
      </w:r>
    </w:p>
    <w:p>
      <w:r>
        <w:t>Q1一次投入3.0000额外HBM研发；接口确认为Q4具备资格。Q4—Q16累计HBM收入150.7872，占累计收入58.21%；累计销售952.0千片。这个收入规模证明HBM成为核心业务，但不能直接当作研发净收益：它包含共享产能、成本、价格环境与普通产品机会成本。</w:t>
      </w:r>
    </w:p>
    <w:p>
      <w:pPr>
        <w:pStyle w:val="Heading2"/>
      </w:pPr>
      <w:r>
        <w:t>下行期去库存，避免跌价持续侵蚀权益</w:t>
      </w:r>
    </w:p>
    <w:p>
      <w:r>
        <w:t>期初普通库存60.0千片、账面0.9600；Q1剩余30.0千片，Q2清零，此后维持零期末库存。全期计提存货跌价仅0.0095，全部在Q1。代价是部分季度普通需求未被满足；低库存并非没有机会成本。</w:t>
      </w:r>
    </w:p>
    <w:p>
      <w:pPr>
        <w:pStyle w:val="Heading2"/>
      </w:pPr>
      <w:r>
        <w:t>用有限借款跨过现金低谷，再及时偿还</w:t>
      </w:r>
    </w:p>
    <w:p>
      <w:r>
        <w:t>Q3期末现金最低2.9765，仍高于规则0.5000紧急授信触发线2.4765。Q4、Q5分别借2.0与1.0，普通债务峰值9.0；Q9—Q11累计偿还9.0，Q11起零负债。全期经营现金流175.9208减资本开支27.0，得到自由现金流148.9208；再减净偿债6.0，现金较期初增加142.9207，微差来自舍入。</w:t>
      </w:r>
    </w:p>
    <w:p>
      <w:pPr>
        <w:pStyle w:val="Heading2"/>
      </w:pPr>
      <w:r>
        <w:t>扩产节奏控制了资本承诺</w:t>
      </w:r>
    </w:p>
    <w:p>
      <w:r>
        <w:t>Q7、Q8分别投入3.0资本开支，各含1.5维持、1.5扩产；分别在Q11、Q12上线12.5千片/季。全期资本开支27.0，包含24.0维持与3.0扩产。没有在末期大涨时追加四季建设，避免交付期内无法验证的新项目。</w:t>
      </w:r>
    </w:p>
    <w:p>
      <w:pPr>
        <w:pStyle w:val="Caption"/>
      </w:pPr>
      <w:r>
        <w:t>依据｜完整导出 → history[].decision、operations、income_statement、cash_flow、balance_sheet；Q02_决策前 → hbm.qualified_from_quarter；规则.txt。</w:t>
      </w:r>
    </w:p>
    <w:p>
      <w:r>
        <w:br w:type="page"/>
      </w:r>
    </w:p>
    <w:p>
      <w:pPr>
        <w:pStyle w:val="Heading1"/>
      </w:pPr>
      <w:r>
        <w:t>03  /  判断失误与未满足的需求</w:t>
      </w:r>
    </w:p>
    <w:p>
      <w:pPr>
        <w:pStyle w:val="Heading2"/>
      </w:pPr>
      <w:r>
        <w:t>量产时间理解早了一个季度</w:t>
      </w:r>
    </w:p>
    <w:p>
      <w:r>
        <w:t>Q1原始note写“争取Q3取得资格”，但提交后接口明确qualified_from_quarter=4。Q2立即修正判断。没有把这一误读从日志中删除；以后先把“累计达标后再过2季”的计时口径转成明确的季度里程碑，并以接口反馈为准。</w:t>
      </w:r>
    </w:p>
    <w:p>
      <w:pPr>
        <w:pStyle w:val="Heading2"/>
      </w:pPr>
      <w:r>
        <w:t>HBM并非每季都准确匹配订单</w:t>
      </w:r>
    </w:p>
    <w:p>
      <w:r>
        <w:t>全期HBM生产963.7千片，销售952.0千片，合计11.7千片未售作废，占生产1.21%。Q4浪费2.8、Q10浪费3.0千片，分别反映首次导入和增长外推偏高。相反，Q14和Q16各少供5.0千片，说明保守假设也会牺牲高价值订单。</w:t>
      </w:r>
    </w:p>
    <w:p>
      <w:r>
        <w:t>事后静态估算（假设）：若在Q14、Q16各把5千片普通产出改成HBM，且总成本、市场价格和税率不变，新增收入分别为5×0.024×(7.60−2.65)=0.5940、5×0.024×(9.60−4.55)=0.6060，税后合计约1.0200。这是局部机会成本估算，既非真实已得利润，也不是对整局最优策略的证明。单价换算0.024依据导出收入、销量与价格指数反推。</w:t>
      </w:r>
    </w:p>
    <w:p>
      <w:pPr>
        <w:pStyle w:val="Heading2"/>
      </w:pPr>
      <w:r>
        <w:t>产能保守有真实代价，不能只宣称扩产克制正确</w:t>
      </w:r>
    </w:p>
    <w:p>
      <w:r>
        <w:t>16季普通市场需求减实际销量合计1600.2千片；Q16普通需求510.0、销量145.0，缺口365.0千片。这里是模拟市场需求与公司供货差额，不等同于已锁定可赚钱的客户订单。Q7以后需求持续增长，较早追加产能可能更好，但在决策当时存在周期风险，且没有第二局或反事实引擎结果，不能声称已验证最佳扩产路径。</w:t>
      </w:r>
    </w:p>
    <w:p>
      <w:pPr>
        <w:pStyle w:val="Caption"/>
      </w:pPr>
      <w:r>
        <w:t>依据｜完整导出 → history[].market/operations/decision；Q01_决策.json原始note。估算公式与假设如上，和已发生结果分开。</w:t>
      </w:r>
    </w:p>
    <w:p>
      <w:r>
        <w:br w:type="page"/>
      </w:r>
    </w:p>
    <w:p>
      <w:pPr>
        <w:pStyle w:val="Heading1"/>
      </w:pPr>
      <w:r>
        <w:t>04  /  如果重来：改进决策机制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改进动作（建议，非已发生事实）</w:t>
            </w:r>
          </w:p>
        </w:tc>
        <w:tc>
          <w:tcPr>
            <w:tcW w:type="dxa" w:w="4929"/>
          </w:tcPr>
          <w:p>
            <w:r>
              <w:t>具体约束与检验</w:t>
            </w:r>
          </w:p>
        </w:tc>
      </w:tr>
      <w:tr>
        <w:tc>
          <w:tcPr>
            <w:tcW w:type="dxa" w:w="4929"/>
          </w:tcPr>
          <w:p>
            <w:r>
              <w:t>先核对研发时钟</w:t>
            </w:r>
          </w:p>
        </w:tc>
        <w:tc>
          <w:tcPr>
            <w:tcW w:type="dxa" w:w="4929"/>
          </w:tcPr>
          <w:p>
            <w:r>
              <w:t>用接口qualified_from_quarter设置最早可销售季度；达标后停追加研发</w:t>
            </w:r>
          </w:p>
        </w:tc>
      </w:tr>
      <w:tr>
        <w:tc>
          <w:tcPr>
            <w:tcW w:type="dxa" w:w="4929"/>
          </w:tcPr>
          <w:p>
            <w:r>
              <w:t>把HBM预测写成区间</w:t>
            </w:r>
          </w:p>
        </w:tc>
        <w:tc>
          <w:tcPr>
            <w:tcW w:type="dxa" w:w="4929"/>
          </w:tcPr>
          <w:p>
            <w:r>
              <w:t>以最近销量与订单信号列低/中/高情景；比较报废成本和少供机会成本</w:t>
            </w:r>
          </w:p>
        </w:tc>
      </w:tr>
      <w:tr>
        <w:tc>
          <w:tcPr>
            <w:tcW w:type="dxa" w:w="4929"/>
          </w:tcPr>
          <w:p>
            <w:r>
              <w:t>提前进行扩产压力测试</w:t>
            </w:r>
          </w:p>
        </w:tc>
        <w:tc>
          <w:tcPr>
            <w:tcW w:type="dxa" w:w="4929"/>
          </w:tcPr>
          <w:p>
            <w:r>
              <w:t>对投产时价格和需求做下行情景；同时检验现金最低点与回收期</w:t>
            </w:r>
          </w:p>
        </w:tc>
      </w:tr>
      <w:tr>
        <w:tc>
          <w:tcPr>
            <w:tcW w:type="dxa" w:w="4929"/>
          </w:tcPr>
          <w:p>
            <w:r>
              <w:t>保持现金下限纪律</w:t>
            </w:r>
          </w:p>
        </w:tc>
        <w:tc>
          <w:tcPr>
            <w:tcW w:type="dxa" w:w="4929"/>
          </w:tcPr>
          <w:p>
            <w:r>
              <w:t>示例目标3.0；Q3实际2.9765略低于目标，应提前安排少量周转款</w:t>
            </w:r>
          </w:p>
        </w:tc>
      </w:tr>
      <w:tr>
        <w:tc>
          <w:tcPr>
            <w:tcW w:type="dxa" w:w="4929"/>
          </w:tcPr>
          <w:p>
            <w:r>
              <w:t>每季同时看四个指标</w:t>
            </w:r>
          </w:p>
        </w:tc>
        <w:tc>
          <w:tcPr>
            <w:tcW w:type="dxa" w:w="4929"/>
          </w:tcPr>
          <w:p>
            <w:r>
              <w:t>现金、平均库存、需求未满足量、HBM报废率；不只看毛利率</w:t>
            </w:r>
          </w:p>
        </w:tc>
      </w:tr>
    </w:tbl>
    <w:p>
      <w:pPr>
        <w:pStyle w:val="Heading2"/>
      </w:pPr>
      <w:r>
        <w:t>示例压力测试：收入下降20%</w:t>
      </w:r>
    </w:p>
    <w:p>
      <w:r>
        <w:t>三张表.xlsx 的“导览与假设”B8可调整收入下降比例。假设Q16收入下降20%，总销售成本5.6750、研发0.8000、管理0.2500与净利息−0.8612均不变，税率15%仅对盈利征税，则收入45.8448、税前利润39.9810、净利润33.98385。相较实际净利润43.7258，下降约9.74195。</w:t>
      </w:r>
    </w:p>
    <w:p>
      <w:r>
        <w:t>对应经营现金流约37.03385，系以实际46.7758加净利润变动推导，并假设折旧和营运资金不变。这是静态压力情景，不是未来预测；未模拟订单萎缩、存货减值、债务变化、竞争新增产能或售价与销量之间的联动。</w:t>
      </w:r>
    </w:p>
    <w:p>
      <w:pPr>
        <w:pStyle w:val="Heading2"/>
      </w:pPr>
      <w:r>
        <w:t>期末现金并不等于永久盈利能力</w:t>
      </w:r>
    </w:p>
    <w:p>
      <w:r>
        <w:t>期末152.9207现金和零债务提高了抗风险能力，但市场新闻已提示新产能陆续投产、价格涨幅收窄。实际经营若继续，应重新评估下一轮周期的研发、维护与扩产预算；16季成绩没有提供第17季之后的经营事实。</w:t>
      </w:r>
    </w:p>
    <w:p>
      <w:pPr>
        <w:pStyle w:val="Caption"/>
      </w:pPr>
      <w:r>
        <w:t>依据｜三张表.xlsx → 导览与假设、经营分析24—28行；完整导出 → history[15].income_statement/cash_flow；Q16_决策前 → signals。</w:t>
      </w:r>
    </w:p>
    <w:p>
      <w:r>
        <w:br w:type="page"/>
      </w:r>
    </w:p>
    <w:p>
      <w:pPr>
        <w:pStyle w:val="Heading1"/>
      </w:pPr>
      <w:r>
        <w:t>05  /  财务口径、来源和复核边界</w:t>
      </w:r>
    </w:p>
    <w:p>
      <w:r>
        <w:t>本报告严格使用接口公开数据，没有读取引擎代码或市场未来数据。财务信息原始材料只有游戏通行证，实际财务事实来自授权本地接口；所有响应均保存于“数据/”。没有使用外部财务数字。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交付物</w:t>
            </w:r>
          </w:p>
        </w:tc>
        <w:tc>
          <w:tcPr>
            <w:tcW w:type="dxa" w:w="4929"/>
          </w:tcPr>
          <w:p>
            <w:r>
              <w:t>如何追溯</w:t>
            </w:r>
          </w:p>
        </w:tc>
      </w:tr>
      <w:tr>
        <w:tc>
          <w:tcPr>
            <w:tcW w:type="dxa" w:w="4929"/>
          </w:tcPr>
          <w:p>
            <w:r>
              <w:t>三张表.xlsx</w:t>
            </w:r>
          </w:p>
        </w:tc>
        <w:tc>
          <w:tcPr>
            <w:tcW w:type="dxa" w:w="4929"/>
          </w:tcPr>
          <w:p>
            <w:r>
              <w:t>原始数据的R列标注JSON字段；三张表和经营分析用公式引用</w:t>
            </w:r>
          </w:p>
        </w:tc>
      </w:tr>
      <w:tr>
        <w:tc>
          <w:tcPr>
            <w:tcW w:type="dxa" w:w="4929"/>
          </w:tcPr>
          <w:p>
            <w:r>
              <w:t>决策日志.md</w:t>
            </w:r>
          </w:p>
        </w:tc>
        <w:tc>
          <w:tcPr>
            <w:tcW w:type="dxa" w:w="4929"/>
          </w:tcPr>
          <w:p>
            <w:r>
              <w:t>每季保留决策前新闻、现金状态、提交note与结果</w:t>
            </w:r>
          </w:p>
        </w:tc>
      </w:tr>
      <w:tr>
        <w:tc>
          <w:tcPr>
            <w:tcW w:type="dxa" w:w="4929"/>
          </w:tcPr>
          <w:p>
            <w:r>
              <w:t>web/index.html</w:t>
            </w:r>
          </w:p>
        </w:tc>
        <w:tc>
          <w:tcPr>
            <w:tcW w:type="dxa" w:w="4929"/>
          </w:tcPr>
          <w:p>
            <w:r>
              <w:t>data.js由同一完整导出生成；展示金额与Excel统一为十亿美元</w:t>
            </w:r>
          </w:p>
        </w:tc>
      </w:tr>
      <w:tr>
        <w:tc>
          <w:tcPr>
            <w:tcW w:type="dxa" w:w="4929"/>
          </w:tcPr>
          <w:p>
            <w:r>
              <w:t>数据/完整导出.json</w:t>
            </w:r>
          </w:p>
        </w:tc>
        <w:tc>
          <w:tcPr>
            <w:tcW w:type="dxa" w:w="4929"/>
          </w:tcPr>
          <w:p>
            <w:r>
              <w:t>history共16条；final为期末状态；bankrupt=false</w:t>
            </w:r>
          </w:p>
        </w:tc>
      </w:tr>
    </w:tbl>
    <w:p>
      <w:r>
        <w:t>引擎会计简化：只提供现金、普通库存、固定资产、普通借款、紧急借款和权益，没有独立应收、应付或权益明细。存货跌价包含在销售成本中，不重复扣除；经营现金流重构使用净库存余额变化，不重复加回减值。</w:t>
      </w:r>
    </w:p>
    <w:p>
      <w:r>
        <w:t>存货周转天数以期初期末平均普通库存账面额除总销售成本，乘90天。因为接口没有普通与HBM成本拆分，该指标是近似值；90天为假设。单季ROE使用平均权益，年化倍数4为假设。净负债定义为全部有息债务减现金。</w:t>
      </w:r>
    </w:p>
    <w:p>
      <w:r>
        <w:t>原始财务数保留四位小数，跨表重构可能有0.0001量级差异。公式校验使用0.0003十亿美元容差，不用“修正源数”强行消除舍入差。累计净利润136.2858与权益增量136.2857相差0.0001。</w:t>
      </w:r>
    </w:p>
    <w:p>
      <w:r>
        <w:t>尚未核实：策略是否全局最优、替代扩产路径的全期回报、真实行业适用性及第17季以后表现。模拟没有给出这些事实，本报告不作推断性承诺。未要求制作演示文稿，因此无PPT文件。</w:t>
      </w:r>
    </w:p>
    <w:p>
      <w:r>
        <w:t>研究与展示用途，不提供买卖持有建议、目标价或股价贵贱评价。</w:t>
      </w:r>
    </w:p>
    <w:p>
      <w:pPr>
        <w:pStyle w:val="Caption"/>
      </w:pPr>
      <w:r>
        <w:t>依据｜数据/规则.txt、数据/完整导出.json、数据/Q01_决策前.json；资料读取日期2026-10-22。工具与网页验收记录见检查/验收报告.md。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虚构经营模拟 · 研究与展示用途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晶序内存  /  董事会经营复盘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33B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133B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color w:val="133B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