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研究备忘录  /  2026 H1</w:t>
      </w:r>
    </w:p>
    <w:p>
      <w:pPr>
        <w:pStyle w:val="Title"/>
      </w:pPr>
      <w:r>
        <w:t>交班之后，</w:t>
        <w:br/>
        <w:t>账本先说话。</w:t>
      </w:r>
    </w:p>
    <w:p>
      <w:pPr>
        <w:pStyle w:val="Subtitle"/>
      </w:pPr>
      <w:r>
        <w:t>伯克希尔·哈撒韦｜2021—2025 年度与 2026 年上半年</w:t>
      </w:r>
    </w:p>
    <w:p>
      <w:r>
        <w:t>研究基准：提供的2025年报、2026年二季报及业绩公告；补充历史资料访问日：2026年10月22日。观察窗口截止2026年6月30日，另标明已披露期后事项。</w:t>
      </w:r>
    </w:p>
    <w:p>
      <w:pPr>
        <w:pStyle w:val="Heading2"/>
      </w:pPr>
      <w:r>
        <w:t>核心判断</w:t>
      </w:r>
    </w:p>
    <w:p>
      <w:r>
        <w:t>交接后的第一个半年，同时出现了经营利润上升、股票投资由净卖出转为净买入，以及恢复回购。现金与短期国债仍然庞大。不过，汇兑反转解释了经营利润增量的大部分；此前签订的收购也在这一时期交割。因此，账本显示资本开始更积极地投入，却不足以把所有变化归因于新任首席执行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551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观察指标</w:t>
            </w:r>
          </w:p>
        </w:tc>
        <w:tc>
          <w:tcPr>
            <w:tcW w:type="dxa" w:w="1701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2025H1</w:t>
            </w:r>
          </w:p>
        </w:tc>
        <w:tc>
          <w:tcPr>
            <w:tcW w:type="dxa" w:w="1701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2026H1</w:t>
            </w:r>
          </w:p>
        </w:tc>
        <w:tc>
          <w:tcPr>
            <w:tcW w:type="dxa" w:w="3118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读法</w:t>
            </w:r>
          </w:p>
        </w:tc>
      </w:tr>
      <w:tr>
        <w:trPr>
          <w:cantSplit/>
        </w:trPr>
        <w:tc>
          <w:tcPr>
            <w:tcW w:type="dxa" w:w="255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经营分项利润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20,801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24,329</w:t>
            </w:r>
          </w:p>
        </w:tc>
        <w:tc>
          <w:tcPr>
            <w:tcW w:type="dxa" w:w="311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同比 +17.0%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现金＋短期国债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344,091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365,514</w:t>
            </w:r>
          </w:p>
        </w:tc>
        <w:tc>
          <w:tcPr>
            <w:tcW w:type="dxa" w:w="311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合并期末口径</w:t>
            </w:r>
          </w:p>
        </w:tc>
      </w:tr>
      <w:tr>
        <w:trPr>
          <w:cantSplit/>
        </w:trPr>
        <w:tc>
          <w:tcPr>
            <w:tcW w:type="dxa" w:w="255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权益证券净买入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−4,500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11,625</w:t>
            </w:r>
          </w:p>
        </w:tc>
        <w:tc>
          <w:tcPr>
            <w:tcW w:type="dxa" w:w="311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负数表示净卖出</w:t>
            </w:r>
          </w:p>
        </w:tc>
      </w:tr>
      <w:tr>
        <w:trPr>
          <w:cantSplit/>
        </w:trPr>
        <w:tc>
          <w:tcPr>
            <w:tcW w:type="dxa" w:w="255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回购入账额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0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4,762</w:t>
            </w:r>
          </w:p>
        </w:tc>
        <w:tc>
          <w:tcPr>
            <w:tcW w:type="dxa" w:w="311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现金支付为4,444</w:t>
            </w:r>
          </w:p>
        </w:tc>
      </w:tr>
    </w:tbl>
    <w:p>
      <w:pPr>
        <w:pStyle w:val="Caption"/>
      </w:pPr>
      <w:r>
        <w:t>表内金额：百万美元。利润为税后归属股东；现金含铁路能源，不扣未结算国债应付款。来源：L2损益、资产负债表及现金流量表；2025H1现金补充E3。</w:t>
      </w:r>
    </w:p>
    <w:p>
      <w:pPr>
        <w:pStyle w:val="Heading2"/>
      </w:pPr>
      <w:r>
        <w:t>三条贯穿全文的线索</w:t>
      </w:r>
    </w:p>
    <w:p>
      <w:r>
        <w:t>利润：先分经营与投资，再分业务改善与汇兑影响。</w:t>
        <w:br/>
        <w:t>资金：现金、浮存金和股东权益承担不同角色，不能相加成“可花的钱”。</w:t>
        <w:br/>
        <w:t>交接：区分签约、交割和报表确认的时间，再讨论管理层的资本配置。</w:t>
      </w:r>
    </w:p>
    <w:p>
      <w:r>
        <w:t>这是一份研究与历史学习材料，不提供买卖、持有、目标价或股价贵贱判断。小游戏的契合度也不是投资能力评分。</w:t>
      </w:r>
    </w:p>
    <w:p>
      <w:r>
        <w:br w:type="page"/>
      </w:r>
    </w:p>
    <w:p>
      <w:pPr>
        <w:pStyle w:val="Heading1"/>
      </w:pPr>
      <w:r>
        <w:t>01  增长是真的，成分也重要</w:t>
      </w:r>
    </w:p>
    <w:p>
      <w:pPr>
        <w:pStyle w:val="Heading2"/>
      </w:pPr>
      <w:r>
        <w:t>先搭好利润的桥</w:t>
      </w:r>
    </w:p>
    <w:p>
      <w:r>
        <w:t>2026H1归母净利润357.73亿美元，由经营分项利润243.29亿美元与投资收益114.44亿美元组成。2025H1的169.73亿美元净利润则受到37.60亿美元权益法投资减值和0.68亿美元投资亏损影响。净利润同比大幅跳升，不能直接等同于经营能力同步提高。[L2，Results of Operations；L3，业绩汇总]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2665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百万美元</w:t>
            </w:r>
          </w:p>
        </w:tc>
        <w:tc>
          <w:tcPr>
            <w:tcW w:type="dxa" w:w="1701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2025H1</w:t>
            </w:r>
          </w:p>
        </w:tc>
        <w:tc>
          <w:tcPr>
            <w:tcW w:type="dxa" w:w="1701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2026H1</w:t>
            </w:r>
          </w:p>
        </w:tc>
        <w:tc>
          <w:tcPr>
            <w:tcW w:type="dxa" w:w="1417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587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增量</w:t>
            </w:r>
          </w:p>
        </w:tc>
      </w:tr>
      <w:tr>
        <w:trPr>
          <w:cantSplit/>
        </w:trPr>
        <w:tc>
          <w:tcPr>
            <w:tcW w:type="dxa" w:w="2665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保险承保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3,328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3,448</w:t>
            </w:r>
          </w:p>
        </w:tc>
        <w:tc>
          <w:tcPr>
            <w:tcW w:type="dxa" w:w="1417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+3.6%</w:t>
            </w:r>
          </w:p>
        </w:tc>
        <w:tc>
          <w:tcPr>
            <w:tcW w:type="dxa" w:w="1587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+120</w:t>
            </w:r>
          </w:p>
        </w:tc>
      </w:tr>
      <w:tr>
        <w:trPr>
          <w:cantSplit/>
        </w:trPr>
        <w:tc>
          <w:tcPr>
            <w:tcW w:type="dxa" w:w="2665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保险投资收益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6,260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5,738</w:t>
            </w:r>
          </w:p>
        </w:tc>
        <w:tc>
          <w:tcPr>
            <w:tcW w:type="dxa" w:w="1417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-8.3%</w:t>
            </w:r>
          </w:p>
        </w:tc>
        <w:tc>
          <w:tcPr>
            <w:tcW w:type="dxa" w:w="1587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-522</w:t>
            </w:r>
          </w:p>
        </w:tc>
      </w:tr>
      <w:tr>
        <w:trPr>
          <w:cantSplit/>
        </w:trPr>
        <w:tc>
          <w:tcPr>
            <w:tcW w:type="dxa" w:w="2665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BNSF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2,680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2,935</w:t>
            </w:r>
          </w:p>
        </w:tc>
        <w:tc>
          <w:tcPr>
            <w:tcW w:type="dxa" w:w="1417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+9.5%</w:t>
            </w:r>
          </w:p>
        </w:tc>
        <w:tc>
          <w:tcPr>
            <w:tcW w:type="dxa" w:w="1587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+255</w:t>
            </w:r>
          </w:p>
        </w:tc>
      </w:tr>
      <w:tr>
        <w:trPr>
          <w:cantSplit/>
        </w:trPr>
        <w:tc>
          <w:tcPr>
            <w:tcW w:type="dxa" w:w="2665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BHE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1,799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2,005</w:t>
            </w:r>
          </w:p>
        </w:tc>
        <w:tc>
          <w:tcPr>
            <w:tcW w:type="dxa" w:w="1417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+11.5%</w:t>
            </w:r>
          </w:p>
        </w:tc>
        <w:tc>
          <w:tcPr>
            <w:tcW w:type="dxa" w:w="1587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+206</w:t>
            </w:r>
          </w:p>
        </w:tc>
      </w:tr>
      <w:tr>
        <w:trPr>
          <w:cantSplit/>
        </w:trPr>
        <w:tc>
          <w:tcPr>
            <w:tcW w:type="dxa" w:w="2665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制造服务零售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6,661</w:t>
            </w:r>
          </w:p>
        </w:tc>
        <w:tc>
          <w:tcPr>
            <w:tcW w:type="dxa" w:w="170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7,669</w:t>
            </w:r>
          </w:p>
        </w:tc>
        <w:tc>
          <w:tcPr>
            <w:tcW w:type="dxa" w:w="1417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+15.1%</w:t>
            </w:r>
          </w:p>
        </w:tc>
        <w:tc>
          <w:tcPr>
            <w:tcW w:type="dxa" w:w="1587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+1,008</w:t>
            </w:r>
          </w:p>
        </w:tc>
      </w:tr>
      <w:tr>
        <w:trPr>
          <w:cantSplit/>
        </w:trPr>
        <w:tc>
          <w:tcPr>
            <w:tcW w:type="dxa" w:w="2665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其他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73</w:t>
            </w:r>
          </w:p>
        </w:tc>
        <w:tc>
          <w:tcPr>
            <w:tcW w:type="dxa" w:w="170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2,534</w:t>
            </w:r>
          </w:p>
        </w:tc>
        <w:tc>
          <w:tcPr>
            <w:tcW w:type="dxa" w:w="1417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+3371.2%</w:t>
            </w:r>
          </w:p>
        </w:tc>
        <w:tc>
          <w:tcPr>
            <w:tcW w:type="dxa" w:w="1587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+2,461</w:t>
            </w:r>
          </w:p>
        </w:tc>
      </w:tr>
    </w:tbl>
    <w:p>
      <w:pPr>
        <w:pStyle w:val="Caption"/>
      </w:pPr>
      <w:r>
        <w:t>来源：L2 Item 2 Results of Operations，p33；与L3业绩公告交叉核对。</w:t>
      </w:r>
    </w:p>
    <w:p>
      <w:pPr>
        <w:pStyle w:val="Heading2"/>
      </w:pPr>
      <w:r>
        <w:t>增量中，汇兑占了约六成</w:t>
      </w:r>
    </w:p>
    <w:p>
      <w:r>
        <w:t>经营分项利润增加35.28亿美元。“其他”增加24.61亿美元，其中外币债务汇兑从亏损15.90亿美元转为收益5.75亿美元，反转21.65亿美元，约占全部经营增量的61.4%。仅扣除这项汇兑影响，两期经营分项利润为223.91亿和237.54亿美元，增幅约6.1%。这只是研究拆解，仍包含投资收入、收购并表及其他因素，不是有机增长率。[L2，Other，p47；账本「对账」公式]</w:t>
      </w:r>
    </w:p>
    <w:p>
      <w:pPr>
        <w:pStyle w:val="Heading2"/>
      </w:pPr>
      <w:r>
        <w:t>把五年放在一起</w:t>
      </w:r>
    </w:p>
    <w:p>
      <w:r>
        <w:t>统一分类、使用重述后数据的经营分项利润，2021至2025年分别为275.97亿、308.53亿、373.50亿、474.37亿、444.86亿美元。2025年下降约6.2%，主要受到保险承保和保险投资收益回落影响；因此，2026H1的增长也发生在经历调整之后。[L1，K-34；E2，K-35；账本「利润」]</w:t>
      </w:r>
    </w:p>
    <w:p>
      <w:r>
        <w:t>2021—2022数据使用2023年报ASU 2018-12重述版本；原非控制业务归入“其他”，2023年的Pilot税后收益归入制造服务零售。这样做是分类桥接，不是新增利润。</w:t>
      </w:r>
    </w:p>
    <w:p>
      <w:r>
        <w:br w:type="page"/>
      </w:r>
    </w:p>
    <w:p>
      <w:pPr>
        <w:pStyle w:val="Heading1"/>
      </w:pPr>
      <w:r>
        <w:t>02  现金还厚，投入的方向变了</w:t>
      </w:r>
    </w:p>
    <w:p>
      <w:pPr>
        <w:pStyle w:val="Heading2"/>
      </w:pPr>
      <w:r>
        <w:t>现金库略降，仍不等于“闲置余额”</w:t>
      </w:r>
    </w:p>
    <w:p>
      <w:r>
        <w:t>合并现金及等价物加单列短期国债，从2025年末3,733.11亿美元降至2026年6月末3,655.14亿美元，减少77.97亿美元，降幅约2.1%。其中合并现金及等价物为406.09亿美元，单列短期国债为3,249.05亿美元，占该合计的88.9%。现金等价物中已经包含部分短期国债，不能重复加总。[L1/L2，Consolidated Balance Sheets]</w:t>
      </w:r>
    </w:p>
    <w:p>
      <w:r>
        <w:t>管理层另报的“保险及其他业务、扣除未结算国债应付款”口径为3,592亿美元，2025年末约3,690亿美元。它不含铁路能源现金，也扣除了特定应付款，不能与主表的合并毛额混用。所有现金也并非母公司随时可分配资金，子公司经营、保险赔付和监管需求仍然存在。[L1/L2，Financial Condition]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4819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现金用途 / 百万美元</w:t>
            </w:r>
          </w:p>
        </w:tc>
        <w:tc>
          <w:tcPr>
            <w:tcW w:type="dxa" w:w="2268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2025H1</w:t>
            </w:r>
          </w:p>
        </w:tc>
        <w:tc>
          <w:tcPr>
            <w:tcW w:type="dxa" w:w="2268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2026H1</w:t>
            </w:r>
          </w:p>
        </w:tc>
      </w:tr>
      <w:tr>
        <w:trPr>
          <w:cantSplit/>
        </w:trPr>
        <w:tc>
          <w:tcPr>
            <w:tcW w:type="dxa" w:w="4819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经营现金净流入</w:t>
            </w:r>
          </w:p>
        </w:tc>
        <w:tc>
          <w:tcPr>
            <w:tcW w:type="dxa" w:w="226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20,988</w:t>
            </w:r>
          </w:p>
        </w:tc>
        <w:tc>
          <w:tcPr>
            <w:tcW w:type="dxa" w:w="226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21,653</w:t>
            </w:r>
          </w:p>
        </w:tc>
      </w:tr>
      <w:tr>
        <w:trPr>
          <w:cantSplit/>
        </w:trPr>
        <w:tc>
          <w:tcPr>
            <w:tcW w:type="dxa" w:w="4819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资本支出（含租赁设备）</w:t>
            </w:r>
          </w:p>
        </w:tc>
        <w:tc>
          <w:tcPr>
            <w:tcW w:type="dxa" w:w="226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9,139</w:t>
            </w:r>
          </w:p>
        </w:tc>
        <w:tc>
          <w:tcPr>
            <w:tcW w:type="dxa" w:w="226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10,631</w:t>
            </w:r>
          </w:p>
        </w:tc>
      </w:tr>
      <w:tr>
        <w:trPr>
          <w:cantSplit/>
        </w:trPr>
        <w:tc>
          <w:tcPr>
            <w:tcW w:type="dxa" w:w="4819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购入权益证券</w:t>
            </w:r>
          </w:p>
        </w:tc>
        <w:tc>
          <w:tcPr>
            <w:tcW w:type="dxa" w:w="226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7,092</w:t>
            </w:r>
          </w:p>
        </w:tc>
        <w:tc>
          <w:tcPr>
            <w:tcW w:type="dxa" w:w="226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39,405</w:t>
            </w:r>
          </w:p>
        </w:tc>
      </w:tr>
      <w:tr>
        <w:trPr>
          <w:cantSplit/>
        </w:trPr>
        <w:tc>
          <w:tcPr>
            <w:tcW w:type="dxa" w:w="4819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出售权益证券所得</w:t>
            </w:r>
          </w:p>
        </w:tc>
        <w:tc>
          <w:tcPr>
            <w:tcW w:type="dxa" w:w="226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11,592</w:t>
            </w:r>
          </w:p>
        </w:tc>
        <w:tc>
          <w:tcPr>
            <w:tcW w:type="dxa" w:w="226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27,780</w:t>
            </w:r>
          </w:p>
        </w:tc>
      </w:tr>
      <w:tr>
        <w:trPr>
          <w:cantSplit/>
        </w:trPr>
        <w:tc>
          <w:tcPr>
            <w:tcW w:type="dxa" w:w="4819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企业收购净支付</w:t>
            </w:r>
          </w:p>
        </w:tc>
        <w:tc>
          <w:tcPr>
            <w:tcW w:type="dxa" w:w="226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101</w:t>
            </w:r>
          </w:p>
        </w:tc>
        <w:tc>
          <w:tcPr>
            <w:tcW w:type="dxa" w:w="2268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9,704</w:t>
            </w:r>
          </w:p>
        </w:tc>
      </w:tr>
      <w:tr>
        <w:trPr>
          <w:cantSplit/>
        </w:trPr>
        <w:tc>
          <w:tcPr>
            <w:tcW w:type="dxa" w:w="4819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回购现金支付</w:t>
            </w:r>
          </w:p>
        </w:tc>
        <w:tc>
          <w:tcPr>
            <w:tcW w:type="dxa" w:w="226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0</w:t>
            </w:r>
          </w:p>
        </w:tc>
        <w:tc>
          <w:tcPr>
            <w:tcW w:type="dxa" w:w="2268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4,444</w:t>
            </w:r>
          </w:p>
        </w:tc>
      </w:tr>
    </w:tbl>
    <w:p>
      <w:pPr>
        <w:pStyle w:val="Caption"/>
      </w:pPr>
      <w:r>
        <w:t>来源：L2 Consolidated Statements of Cash Flows。表为部分重要现金流，不构成完整现金余额变动桥。</w:t>
      </w:r>
    </w:p>
    <w:p>
      <w:pPr>
        <w:pStyle w:val="Heading2"/>
      </w:pPr>
      <w:r>
        <w:t>从净卖出转向净买入，但不要把市值当交易量</w:t>
      </w:r>
    </w:p>
    <w:p>
      <w:r>
        <w:t>2026H1权益证券净买入116.25亿美元；去年同期净卖出45亿美元。组合公允价值从2025年末2,977.78亿美元增至3,237.79亿美元。商业、工业及其他类升至1,288.16亿美元，占组合39.8%，高于年末33.1%；银行保险金融与消费品分别占29.2%与31.0%。这些是市值权重，受买卖与估值共同影响。[L2，Note 4及现金流量表；账本「股票组合」]</w:t>
      </w:r>
    </w:p>
    <w:p>
      <w:r>
        <w:t>组合采用Note 4行业分类，包含该表中的优先股与认股权证，排除Kraft Heinz、Occidental普通股等权益法投资。2022年Occidental普通股转入权益法影响历史分类可比性。</w:t>
      </w:r>
    </w:p>
    <w:p>
      <w:r>
        <w:br w:type="page"/>
      </w:r>
    </w:p>
    <w:p>
      <w:pPr>
        <w:pStyle w:val="Heading1"/>
      </w:pPr>
      <w:r>
        <w:t>03  保险、铁路、能源：分别看条件</w:t>
      </w:r>
    </w:p>
    <w:p>
      <w:pPr>
        <w:pStyle w:val="Heading2"/>
      </w:pPr>
      <w:r>
        <w:t>保险：承保小幅上升，仍须看损失组成</w:t>
      </w:r>
    </w:p>
    <w:p>
      <w:r>
        <w:t>承保利润34.48亿美元，同比增长3.6%。但2026H1没有重大灾害事件损失，而2025H1包含约8.50亿美元税后重大灾害损失。仅把这项损失加回2025H1，比较基数便从33.28亿变成41.78亿美元，高于本期。该观察不能取代完整的承保质量分析：准备金释放、业务结构和损失趋势仍需分别看。[L2，Results of Operations、Insurance—Underwriting]</w:t>
      </w:r>
    </w:p>
    <w:p>
      <w:r>
        <w:t>材料指出GEICO承保利润回落，再保险和其他初级保险有所抵消；部分再保险业绩也受以前事故年度损失估计下调支持。保险投资收益为57.38亿美元，下降8.3%，主要受到利率下降影响。此前保险子公司向母公司的资本分配，也改变了收入在保险投资与“其他”之间的归属，跨年分析须同时看两处。[L1，Insurance—Investment Income；L2，p33、p38及Other]</w:t>
      </w:r>
    </w:p>
    <w:p>
      <w:r>
        <w:t>6月末浮存金约1,775亿美元，季报披露较年末增加约11亿美元。年报只写约1,760亿美元，两个约数相减得到15亿美元，与季报增量不完全相同；账本保留原披露并注释差异。浮存金是待支付保单义务形成的可投资资金，不是额外的股东权益；承保盈利使其当期成本为负，仍不能保证未来。[L1，K-41；L2，Insurance—Investment Income]</w:t>
      </w:r>
    </w:p>
    <w:p>
      <w:pPr>
        <w:pStyle w:val="Heading2"/>
      </w:pPr>
      <w:r>
        <w:t>BNSF：运量和效率支撑利润，投入不可忽略</w:t>
      </w:r>
    </w:p>
    <w:p>
      <w:r>
        <w:t>BNSF税后利润29.35亿美元，同比增长9.5%。材料将改善归因于运量增加和经营效率提升，部分被燃料成本及有效税率上升抵消。铁路持续需要资本支出，所以利润不能全部当作可上缴母公司的现金。[L2，BNSF及Financial Condition；历史语境见2023年股东信BNSF段]</w:t>
      </w:r>
    </w:p>
    <w:p>
      <w:pPr>
        <w:pStyle w:val="Heading2"/>
      </w:pPr>
      <w:r>
        <w:t>BHE：利润改善，与长期负担并存</w:t>
      </w:r>
    </w:p>
    <w:p>
      <w:r>
        <w:t>BHE税后归属股东利润20.05亿美元，同比增长11.5%，主要来自美国公用事业和天然气管道业务。税前法定分部利润只有13.48亿美元，税后数更高并非录入错误：分部存在税收抵免形成的所得税收益，还须考虑少数股东归属。[L2，BHE；Note 24 Business segment data]</w:t>
      </w:r>
    </w:p>
    <w:p>
      <w:r>
        <w:t>PacifiCorp山火诉讼、监管成本回收及电网投入仍值得持续跟踪。BNSF与BHE上半年合计资本支出约67亿美元，材料预计2026年剩余时间还将投入约86亿美元；后者是管理层展望，不是已经发生的事实。[L2，Note 22 Commitments and contingencies；Financial Condition，p49]</w:t>
      </w:r>
    </w:p>
    <w:p>
      <w:r>
        <w:br w:type="page"/>
      </w:r>
    </w:p>
    <w:p>
      <w:pPr>
        <w:pStyle w:val="Heading1"/>
      </w:pPr>
      <w:r>
        <w:t>04  把交接与报表确认分开</w:t>
      </w:r>
    </w:p>
    <w:p>
      <w:pPr>
        <w:pStyle w:val="Heading2"/>
      </w:pPr>
      <w:r>
        <w:t>交割在新一年，决策未必都在新一年</w:t>
      </w:r>
    </w:p>
    <w:p>
      <w:r>
        <w:t>OxyChem于2026年1月2日交割，现金对价约94亿美元，但协议签于2025年10月1日。这项投入跨越交接期。OxyChem上半年收入约26亿美元、税前利润1.21亿美元，包含收购会计折旧摊销及过渡成本。不能仅凭半年并表利润判断长期成效，更不能把交易全部归入新任CEO的独立决策。[L2，Note 2 Business acquisitions；Manufacturing]</w:t>
      </w:r>
    </w:p>
    <w:p>
      <w:r>
        <w:t>材料还披露Taylor Morrison于2026年7月24日完成收购，现金对价约68亿美元。这是6月末之后的事项，未把该现金支出纳入2026H1模型。[L2，Note 2及Financial Condition]</w:t>
      </w:r>
    </w:p>
    <w:p>
      <w:pPr>
        <w:pStyle w:val="Heading2"/>
      </w:pPr>
      <w:r>
        <w:t>恢复回购，对每股权益的作用可计算</w:t>
      </w:r>
    </w:p>
    <w:p>
      <w:r>
        <w:t>2025全年未回购；2026H1入账回购47.62亿美元，其中第二季45.27亿美元。现金流量表支付44.44亿美元，差额3.18亿美元；缺少逐笔结算明细，本研究不把差额全部归因于某一种原因。季报的回购程序由CEO在与董事长协商后判断，不能仅凭结果推断某个人的独立决策。[L1，Financial Condition；L2，权益变动表、现金流量表及Note 18]</w:t>
      </w:r>
    </w:p>
    <w:p>
      <w:r>
        <w:t>归属股东权益从7,174.19亿美元增至7,479.10亿美元；按期末A股加B股/1500换算，每股A类账面价值从498,823.05美元升至522,395.64美元，增长约4.7%。B类对应约348.26美元。权益增长与股份减少共同影响每股数，账面价值仍不等于内在价值。[L1/L2，资产负债表、Common stock；账本公式]</w:t>
      </w:r>
    </w:p>
    <w:p>
      <w:pPr>
        <w:pStyle w:val="Heading2"/>
      </w:pPr>
      <w:r>
        <w:t>后续研究清单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91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463"/>
            <w:shd w:fill="183D46"/>
          </w:tcPr>
          <w:p>
            <w:pPr>
              <w:spacing w:after="120" w:before="120"/>
            </w:pPr>
            <w:r>
              <w:rPr>
                <w:b/>
                <w:color w:val="FFFFFF"/>
                <w:sz w:val="18"/>
              </w:rPr>
              <w:t>应继续观察的证据</w:t>
            </w:r>
          </w:p>
        </w:tc>
      </w:tr>
      <w:tr>
        <w:trPr>
          <w:cantSplit/>
        </w:trPr>
        <w:tc>
          <w:tcPr>
            <w:tcW w:type="dxa" w:w="289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保险盈利的可持续性</w:t>
            </w:r>
          </w:p>
        </w:tc>
        <w:tc>
          <w:tcPr>
            <w:tcW w:type="dxa" w:w="6463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保费定价、GEICO保单趋势、灾害损失与准备金释放分别贡献多少。</w:t>
            </w:r>
          </w:p>
        </w:tc>
      </w:tr>
      <w:tr>
        <w:trPr>
          <w:cantSplit/>
        </w:trPr>
        <w:tc>
          <w:tcPr>
            <w:tcW w:type="dxa" w:w="289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降息如何传导到利润</w:t>
            </w:r>
          </w:p>
        </w:tc>
        <w:tc>
          <w:tcPr>
            <w:tcW w:type="dxa" w:w="6463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国债余额与实际收益率；保险投资收入与母公司投资收入的合并观察。</w:t>
            </w:r>
          </w:p>
        </w:tc>
      </w:tr>
      <w:tr>
        <w:trPr>
          <w:cantSplit/>
        </w:trPr>
        <w:tc>
          <w:tcPr>
            <w:tcW w:type="dxa" w:w="289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实业增长有多少来自并购</w:t>
            </w:r>
          </w:p>
        </w:tc>
        <w:tc>
          <w:tcPr>
            <w:tcW w:type="dxa" w:w="6463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OxyChem经营与收购会计影响，工业制造、服务业务的可比经营数据。</w:t>
            </w:r>
          </w:p>
        </w:tc>
      </w:tr>
      <w:tr>
        <w:trPr>
          <w:cantSplit/>
        </w:trPr>
        <w:tc>
          <w:tcPr>
            <w:tcW w:type="dxa" w:w="2891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能源资产的现金需求</w:t>
            </w:r>
          </w:p>
        </w:tc>
        <w:tc>
          <w:tcPr>
            <w:tcW w:type="dxa" w:w="6463"/>
            <w:shd w:fill="FFFFFF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山火赔偿与监管成本回收，资本支出、税收抵免及子公司负债。</w:t>
            </w:r>
          </w:p>
        </w:tc>
      </w:tr>
      <w:tr>
        <w:trPr>
          <w:cantSplit/>
        </w:trPr>
        <w:tc>
          <w:tcPr>
            <w:tcW w:type="dxa" w:w="2891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资本配置有没有改变约束</w:t>
            </w:r>
          </w:p>
        </w:tc>
        <w:tc>
          <w:tcPr>
            <w:tcW w:type="dxa" w:w="6463"/>
            <w:shd w:fill="F0F6F3"/>
          </w:tcPr>
          <w:p>
            <w:pPr>
              <w:spacing w:after="120" w:before="120"/>
            </w:pPr>
            <w:r>
              <w:rPr>
                <w:b w:val="0"/>
                <w:color w:val="28434A"/>
                <w:sz w:val="18"/>
              </w:rPr>
              <w:t>股票净买入、并购、回购与现金余额共同变化，而非单看某一笔交易。</w:t>
            </w:r>
          </w:p>
        </w:tc>
      </w:tr>
    </w:tbl>
    <w:p>
      <w:r>
        <w:br w:type="page"/>
      </w:r>
    </w:p>
    <w:p>
      <w:pPr>
        <w:pStyle w:val="Heading1"/>
      </w:pPr>
      <w:r>
        <w:t>05  方法、假设与证据边界</w:t>
      </w:r>
    </w:p>
    <w:p>
      <w:pPr>
        <w:pStyle w:val="Heading2"/>
      </w:pPr>
      <w:r>
        <w:t>可修改假设：利率下降的机械影响</w:t>
      </w:r>
    </w:p>
    <w:p>
      <w:r>
        <w:t>账本「假设」使用2026年6月末现金加国债3,655.14亿美元为固定基数，假设其中80%同步重定价、收益率下降100基点、作用半年、边际税率21%。由公式得到税前影响−14.62亿美元、税后−11.55亿美元，约为已披露上半年经营分项利润的−4.7%。这不是公司预测。它忽略资金流、期限结构、海外税差和管理层应对；改变橙色输入格会自动更新结果和变化页。</w:t>
      </w:r>
    </w:p>
    <w:p>
      <w:pPr>
        <w:pStyle w:val="Heading2"/>
      </w:pPr>
      <w:r>
        <w:t>能核验什么，不能推断什么</w:t>
      </w:r>
    </w:p>
    <w:p>
      <w:r>
        <w:t>已核对：六项利润合计与归母净利润桥、行业组合加总、期末股份换算、回购两种金额、游戏十段原文。全部关键输入在Excel中附文件及章节，集中列入「取数索引」。</w:t>
      </w:r>
    </w:p>
    <w:p>
      <w:r>
        <w:t>未独立核实：所给2025/2026材料的外部真实性；回购入账与现金支付差额的逐笔成因；全部股票的交易明细及未披露投资意图；浮存金精确年末未取整数。研究不将这些空白写成事实。部分早期HTML材料不可读，游戏避开这些文件并使用可核验原文。</w:t>
      </w:r>
    </w:p>
    <w:p>
      <w:r>
        <w:t>所给2025股东信由Gregory E. Abel署名。小游戏只从更早年份的巴菲特股东信选题；1967、1972、1994及2009等决定采用事后回顾并同时标注两种年份。2011年的110%账面价值回购上限仅用于历史题，不是现行政策说明。</w:t>
      </w:r>
    </w:p>
    <w:p>
      <w:pPr>
        <w:pStyle w:val="Heading2"/>
      </w:pPr>
      <w:r>
        <w:t>来源对照</w:t>
      </w:r>
    </w:p>
    <w:p>
      <w:pPr>
        <w:spacing w:after="120"/>
      </w:pPr>
      <w:r>
        <w:rPr>
          <w:sz w:val="17"/>
        </w:rPr>
        <w:t>L1  材料/Berkshire_2025年报__brka-20251231.htm。章节：Item 7、合并财务报表、Note 4、Common stock、Note 26。</w:t>
      </w:r>
    </w:p>
    <w:p>
      <w:pPr>
        <w:spacing w:after="120"/>
      </w:pPr>
      <w:r>
        <w:rPr>
          <w:sz w:val="17"/>
        </w:rPr>
        <w:t>L2  材料/Berkshire_2026Q2季报__brka-20260630.htm。章节：Item 2、合并财务报表、Note 2、4、18、22、24。</w:t>
      </w:r>
    </w:p>
    <w:p>
      <w:pPr>
        <w:spacing w:after="120"/>
      </w:pPr>
      <w:r>
        <w:rPr>
          <w:sz w:val="17"/>
        </w:rPr>
        <w:t>L3  材料/Berkshire_2026Q2业绩公告__d159922dex991.htm。表：经营分项、净利润、回购及浮存金。</w:t>
      </w:r>
    </w:p>
    <w:p>
      <w:pPr>
        <w:spacing w:after="120"/>
      </w:pPr>
      <w:r>
        <w:rPr>
          <w:sz w:val="17"/>
        </w:rPr>
        <w:t>E1  官方2022年报： https://www.berkshirehathaway.com/2022ar/2022ar.pdf</w:t>
      </w:r>
    </w:p>
    <w:p>
      <w:pPr>
        <w:spacing w:after="120"/>
      </w:pPr>
      <w:r>
        <w:rPr>
          <w:sz w:val="17"/>
        </w:rPr>
        <w:t>E2  官方2023年报： https://www.berkshirehathaway.com/2023ar/2023ar.pdf</w:t>
      </w:r>
    </w:p>
    <w:p>
      <w:pPr>
        <w:spacing w:after="120"/>
      </w:pPr>
      <w:r>
        <w:rPr>
          <w:sz w:val="17"/>
        </w:rPr>
        <w:t>E3  官方2025二季报： https://www.berkshirehathaway.com/qtrly/2ndqtr25.pdf</w:t>
      </w:r>
    </w:p>
    <w:p>
      <w:pPr>
        <w:pStyle w:val="Caption"/>
      </w:pPr>
      <w:r>
        <w:t>补充网络来源访问日均为2026-10-22；数字仅用于填补本地材料未覆盖年份或比较期。股东信逐题来源见web/decisions.json及账本「历史决策」。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研究展示 · 不构成投资建议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38B83"/>
      </w:rPr>
      <w:t>THE LONG VIEW  /  伯克希尔研究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 w:eastAsia="等线"/>
      <w:color w:val="2843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183D4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138B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138B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等线"/>
      <w:color w:val="183D46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