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cs="Arial" w:eastAsia="微软雅黑"/>
          <w:b/>
          <w:color w:val="1F3864"/>
          <w:sz w:val="44"/>
        </w:rPr>
        <w:t>交班之后的伯克希尔：账上发生了什么</w:t>
      </w:r>
    </w:p>
    <w:p>
      <w:pPr>
        <w:spacing w:after="200"/>
      </w:pPr>
      <w:r>
        <w:rPr>
          <w:rFonts w:ascii="Arial" w:hAnsi="Arial" w:cs="Arial" w:eastAsia="微软雅黑"/>
          <w:b w:val="0"/>
          <w:color w:val="595959"/>
          <w:sz w:val="23"/>
        </w:rPr>
        <w:t>研究备忘录 · 基于 2021—2025 年年报、2026 年二季度报告与业绩公告</w:t>
      </w:r>
    </w:p>
    <w:tbl>
      <w:tblPr>
        <w:tblW w:type="dxa" w:w="9411"/>
        <w:tblLook w:firstColumn="1" w:firstRow="1" w:lastColumn="0" w:lastRow="0" w:noHBand="0" w:noVBand="1" w:val="04A0"/>
        <w:tblLayout w:type="fixed"/>
        <w:tblCellMar>
          <w:top w:w="50" w:type="dxa"/>
          <w:bottom w:w="50" w:type="dxa"/>
          <w:left w:w="90" w:type="dxa"/>
          <w:right w:w="90" w:type="dxa"/>
        </w:tblCellMar>
        <w:tblLayout w:type="fixed"/>
      </w:tblPr>
      <w:tblGrid>
        <w:gridCol w:w="1587"/>
        <w:gridCol w:w="7824"/>
      </w:tblGrid>
      <w:tr>
        <w:trPr>
          <w:cantSplit w:val="true"/>
        </w:trPr>
        <w:tc>
          <w:tcPr>
            <w:tcW w:type="dxa" w:w="1587"/>
            <w:shd w:val="clear" w:color="auto" w:fill="EEF3F9"/>
          </w:tcPr>
          <w:p>
            <w:pPr>
              <w:spacing w:after="0"/>
            </w:pPr>
            <w:r/>
            <w:r>
              <w:rPr>
                <w:rFonts w:ascii="Arial" w:hAnsi="Arial" w:cs="Arial" w:eastAsia="微软雅黑"/>
                <w:b/>
                <w:color w:val="1F3864"/>
                <w:sz w:val="18"/>
              </w:rPr>
              <w:t>日期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Arial" w:hAnsi="Arial" w:cs="Arial" w:eastAsia="微软雅黑"/>
                <w:b w:val="0"/>
                <w:sz w:val="18"/>
              </w:rPr>
              <w:t>2026 年 10 月 22 日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EEF3F9"/>
          </w:tcPr>
          <w:p>
            <w:pPr>
              <w:spacing w:after="0"/>
            </w:pPr>
            <w:r/>
            <w:r>
              <w:rPr>
                <w:rFonts w:ascii="Arial" w:hAnsi="Arial" w:cs="Arial" w:eastAsia="微软雅黑"/>
                <w:b/>
                <w:color w:val="1F3864"/>
                <w:sz w:val="18"/>
              </w:rPr>
              <w:t>数据截至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Arial" w:hAnsi="Arial" w:cs="Arial" w:eastAsia="微软雅黑"/>
                <w:b w:val="0"/>
                <w:sz w:val="18"/>
              </w:rPr>
              <w:t>2026 年 6 月 30 日（另含 2026 年 8 月 8 日业绩公告、7 月 24 日完成的收购）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EEF3F9"/>
          </w:tcPr>
          <w:p>
            <w:pPr>
              <w:spacing w:after="0"/>
            </w:pPr>
            <w:r/>
            <w:r>
              <w:rPr>
                <w:rFonts w:ascii="Arial" w:hAnsi="Arial" w:cs="Arial" w:eastAsia="微软雅黑"/>
                <w:b/>
                <w:color w:val="1F3864"/>
                <w:sz w:val="18"/>
              </w:rPr>
              <w:t>配套文件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Arial" w:hAnsi="Arial" w:cs="Arial" w:eastAsia="微软雅黑"/>
                <w:b w:val="0"/>
                <w:sz w:val="18"/>
              </w:rPr>
              <w:t>《伯克希尔账本.xlsx》（全部数字、公式与逐格出处）；网页小游戏《和巴菲特一起做决定》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EEF3F9"/>
          </w:tcPr>
          <w:p>
            <w:pPr>
              <w:spacing w:after="0"/>
            </w:pPr>
            <w:r/>
            <w:r>
              <w:rPr>
                <w:rFonts w:ascii="Arial" w:hAnsi="Arial" w:cs="Arial" w:eastAsia="微软雅黑"/>
                <w:b/>
                <w:color w:val="1F3864"/>
                <w:sz w:val="18"/>
              </w:rPr>
              <w:t>性质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rFonts w:ascii="Arial" w:hAnsi="Arial" w:cs="Arial" w:eastAsia="微软雅黑"/>
                <w:b w:val="0"/>
                <w:sz w:val="18"/>
              </w:rPr>
              <w:t>研究与教学用途的事实整理和分析。不构成投资建议：不给出买入、卖出、持有或目标价，也不评价股价高低。</w:t>
            </w:r>
          </w:p>
        </w:tc>
      </w:tr>
    </w:tbl>
    <w:p/>
    <w:p>
      <w:pPr>
        <w:pStyle w:val="Heading1"/>
      </w:pPr>
      <w:r>
        <w:t>核心结论</w:t>
      </w:r>
    </w:p>
    <w:tbl>
      <w:tblPr>
        <w:tblW w:type="dxa" w:w="9411"/>
        <w:jc w:val="center"/>
        <w:tblLook w:firstColumn="1" w:firstRow="1" w:lastColumn="0" w:lastRow="0" w:noHBand="0" w:noVBand="1" w:val="04A0"/>
        <w:tblLayout w:type="fixed"/>
        <w:tblCellMar>
          <w:top w:w="120" w:type="dxa"/>
          <w:bottom w:w="120" w:type="dxa"/>
          <w:left w:w="160" w:type="dxa"/>
          <w:right w:w="160" w:type="dxa"/>
        </w:tblCellMar>
        <w:tblLayout w:type="fixed"/>
        <w:tblBorders>
          <w:top w:val="single" w:sz="6" w:color="F2A91C"/>
          <w:left w:val="single" w:sz="6" w:color="F2A91C"/>
          <w:bottom w:val="single" w:sz="6" w:color="F2A91C"/>
          <w:right w:val="single" w:sz="6" w:color="F2A91C"/>
        </w:tblBorders>
      </w:tblPr>
      <w:tblGrid>
        <w:gridCol w:w="9411"/>
      </w:tblGrid>
      <w:tr>
        <w:trPr>
          <w:cantSplit w:val="true"/>
        </w:trPr>
        <w:tc>
          <w:tcPr>
            <w:tcW w:type="dxa" w:w="9411"/>
            <w:shd w:val="clear" w:color="auto" w:fill="FFF6DD"/>
          </w:tcPr>
          <w:p>
            <w:r/>
            <w:r>
              <w:rPr>
                <w:rFonts w:ascii="Arial" w:hAnsi="Arial" w:cs="Arial" w:eastAsia="微软雅黑"/>
                <w:b/>
                <w:color w:val="B36B00"/>
                <w:sz w:val="22"/>
              </w:rPr>
              <w:t>一页看懂</w:t>
            </w:r>
          </w:p>
          <w:p>
            <w:pPr>
              <w:spacing w:after="60" w:line="312" w:lineRule="auto"/>
            </w:pPr>
            <w:r>
              <w:rPr>
                <w:rFonts w:ascii="Arial" w:hAnsi="Arial" w:cs="Arial" w:eastAsia="微软雅黑"/>
                <w:b w:val="0"/>
                <w:sz w:val="19"/>
              </w:rPr>
              <w:t xml:space="preserve">• </w:t>
            </w:r>
            <w:r>
              <w:rPr>
                <w:rFonts w:ascii="Arial" w:hAnsi="Arial" w:cs="Arial" w:eastAsia="微软雅黑"/>
                <w:b/>
                <w:sz w:val="19"/>
              </w:rPr>
              <w:t>交班平稳，规则未变。</w:t>
            </w:r>
            <w:r>
              <w:rPr>
                <w:rFonts w:ascii="Arial" w:hAnsi="Arial" w:cs="Arial" w:eastAsia="微软雅黑"/>
                <w:b w:val="0"/>
                <w:sz w:val="19"/>
              </w:rPr>
              <w:t>2026 年 1 月 1 日起格雷格·阿贝尔任首席执行官，巴菲特留任董事长；重大资本配置与投资决策由阿贝尔负责（2025 年 10-K）。阿贝尔的首封股东信重申“保险是核心”、不分红原则和 300 亿美元的现金底线，并首次把伯克希尔的文化与价值观逐条写明。</w:t>
            </w:r>
          </w:p>
          <w:p>
            <w:pPr>
              <w:spacing w:after="60" w:line="312" w:lineRule="auto"/>
            </w:pPr>
            <w:r>
              <w:rPr>
                <w:rFonts w:ascii="Arial" w:hAnsi="Arial" w:cs="Arial" w:eastAsia="微软雅黑"/>
                <w:b w:val="0"/>
                <w:sz w:val="19"/>
              </w:rPr>
              <w:t xml:space="preserve">• </w:t>
            </w:r>
            <w:r>
              <w:rPr>
                <w:rFonts w:ascii="Arial" w:hAnsi="Arial" w:cs="Arial" w:eastAsia="微软雅黑"/>
                <w:b/>
                <w:sz w:val="19"/>
              </w:rPr>
              <w:t>利润在长，结构在变。</w:t>
            </w:r>
            <w:r>
              <w:rPr>
                <w:rFonts w:ascii="Arial" w:hAnsi="Arial" w:cs="Arial" w:eastAsia="微软雅黑"/>
                <w:b w:val="0"/>
                <w:sz w:val="19"/>
              </w:rPr>
              <w:t>经营利润从 2021 年的 276.0 亿美元增至 2025 年的 444.9 亿美元（年复合 12.7%），2024 年的 474.4 亿美元为高点。2026 年上半年为 243.3 亿美元，同比 +17.0%，增量主要来自制造服务零售（含新并入的 OxyChem）、BNSF 与 BHE；保险投资收益随利率下行同比 -8.3%。</w:t>
            </w:r>
          </w:p>
          <w:p>
            <w:pPr>
              <w:spacing w:after="60" w:line="312" w:lineRule="auto"/>
            </w:pPr>
            <w:r>
              <w:rPr>
                <w:rFonts w:ascii="Arial" w:hAnsi="Arial" w:cs="Arial" w:eastAsia="微软雅黑"/>
                <w:b w:val="0"/>
                <w:sz w:val="19"/>
              </w:rPr>
              <w:t xml:space="preserve">• </w:t>
            </w:r>
            <w:r>
              <w:rPr>
                <w:rFonts w:ascii="Arial" w:hAnsi="Arial" w:cs="Arial" w:eastAsia="微软雅黑"/>
                <w:b/>
                <w:sz w:val="19"/>
              </w:rPr>
              <w:t>现金先堆高、再小幅回落。</w:t>
            </w:r>
            <w:r>
              <w:rPr>
                <w:rFonts w:ascii="Arial" w:hAnsi="Arial" w:cs="Arial" w:eastAsia="微软雅黑"/>
                <w:b w:val="0"/>
                <w:sz w:val="19"/>
              </w:rPr>
              <w:t>保险及其他业务的现金与短期国债（净额）从 2021 年末的 1,438.5 亿美元增至 2025 年末的 3,690 亿美元，约为同期浮存金（约 1,760 亿美元）的 2.1 倍；2026 年 6 月末为 3,592 亿美元，钱流向了 OxyChem 收购、回购和净买入股票。</w:t>
            </w:r>
          </w:p>
          <w:p>
            <w:pPr>
              <w:spacing w:after="60" w:line="312" w:lineRule="auto"/>
            </w:pPr>
            <w:r>
              <w:rPr>
                <w:rFonts w:ascii="Arial" w:hAnsi="Arial" w:cs="Arial" w:eastAsia="微软雅黑"/>
                <w:b w:val="0"/>
                <w:sz w:val="19"/>
              </w:rPr>
              <w:t xml:space="preserve">• </w:t>
            </w:r>
            <w:r>
              <w:rPr>
                <w:rFonts w:ascii="Arial" w:hAnsi="Arial" w:cs="Arial" w:eastAsia="微软雅黑"/>
                <w:b/>
                <w:sz w:val="19"/>
              </w:rPr>
              <w:t>股票组合换了“重心”。</w:t>
            </w:r>
            <w:r>
              <w:rPr>
                <w:rFonts w:ascii="Arial" w:hAnsi="Arial" w:cs="Arial" w:eastAsia="微软雅黑"/>
                <w:b w:val="0"/>
                <w:sz w:val="19"/>
              </w:rPr>
              <w:t>2026 年 6 月末组合公允价值 3,238 亿美元，前五大集中度 66%；消费品占比从 2021 年末的 54.5% 降至约三成，“商业、工业及其他”升至 39.8%；Alphabet 进入前五大，雪佛龙退出（2026Q2 10-Q）。</w:t>
            </w:r>
          </w:p>
          <w:p>
            <w:pPr>
              <w:spacing w:after="60" w:line="312" w:lineRule="auto"/>
            </w:pPr>
            <w:r>
              <w:rPr>
                <w:rFonts w:ascii="Arial" w:hAnsi="Arial" w:cs="Arial" w:eastAsia="微软雅黑"/>
                <w:b w:val="0"/>
                <w:sz w:val="19"/>
              </w:rPr>
              <w:t xml:space="preserve">• </w:t>
            </w:r>
            <w:r>
              <w:rPr>
                <w:rFonts w:ascii="Arial" w:hAnsi="Arial" w:cs="Arial" w:eastAsia="微软雅黑"/>
                <w:b/>
                <w:sz w:val="19"/>
              </w:rPr>
              <w:t>三块实业各有看点。</w:t>
            </w:r>
            <w:r>
              <w:rPr>
                <w:rFonts w:ascii="Arial" w:hAnsi="Arial" w:cs="Arial" w:eastAsia="微软雅黑"/>
                <w:b w:val="0"/>
                <w:sz w:val="19"/>
              </w:rPr>
              <w:t>承保利润 2023—2025 年处于历史高位，但 GEICO 综合成本率 2026 上半年升至 89.3%（上年同期 81.7%），行业定价转软；BNSF 运营比率由 2023 年的 68.4% 改善到 2025 年的 65.5%，管理层仍称与同业最佳的差距“太大”；BHE 2025 年税后利润回到 39.8 亿美元，但山火诉讼仍有“合理可能的重大额外损失”。</w:t>
            </w:r>
          </w:p>
          <w:p>
            <w:pPr>
              <w:spacing w:after="60" w:line="312" w:lineRule="auto"/>
            </w:pPr>
            <w:r>
              <w:rPr>
                <w:rFonts w:ascii="Arial" w:hAnsi="Arial" w:cs="Arial" w:eastAsia="微软雅黑"/>
                <w:b w:val="0"/>
                <w:sz w:val="19"/>
              </w:rPr>
              <w:t xml:space="preserve">• </w:t>
            </w:r>
            <w:r>
              <w:rPr>
                <w:rFonts w:ascii="Arial" w:hAnsi="Arial" w:cs="Arial" w:eastAsia="微软雅黑"/>
                <w:b/>
                <w:sz w:val="19"/>
              </w:rPr>
              <w:t>回购重启，账面价值继续增长。</w:t>
            </w:r>
            <w:r>
              <w:rPr>
                <w:rFonts w:ascii="Arial" w:hAnsi="Arial" w:cs="Arial" w:eastAsia="微软雅黑"/>
                <w:b w:val="0"/>
                <w:sz w:val="19"/>
              </w:rPr>
              <w:t>2025 年全年零回购，2026 年上半年回购 47.6 亿美元（主要在二季度）；6 月末每股账面价值 522,396 美元，较 2025 年末 +4.7%，2021—2025 年复合增长 10.1%。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一、交班：时间线与“没变的规则”</w:t>
      </w:r>
    </w:p>
    <w:p>
      <w:r>
        <w:rPr>
          <w:rFonts w:ascii="Arial" w:hAnsi="Arial" w:cs="Arial" w:eastAsia="微软雅黑"/>
          <w:b w:val="0"/>
        </w:rPr>
        <w:t>伯克希尔的交接不是一夜之间完成的。下表按时间排列了与交班相关、并在所用材料中有明确记载的事件。</w:t>
      </w:r>
    </w:p>
    <w:tbl>
      <w:tblPr>
        <w:tblStyle w:val="TableGrid"/>
        <w:tblW w:type="dxa" w:w="9412"/>
        <w:jc w:val="center"/>
        <w:tblLook w:firstColumn="1" w:firstRow="1" w:lastColumn="0" w:lastRow="0" w:noHBand="0" w:noVBand="1" w:val="04A0"/>
        <w:tblLayout w:type="fixed"/>
        <w:tblCellMar>
          <w:top w:w="60" w:type="dxa"/>
          <w:bottom w:w="60" w:type="dxa"/>
          <w:left w:w="90" w:type="dxa"/>
          <w:right w:w="90" w:type="dxa"/>
        </w:tblCellMar>
        <w:tblLayout w:type="fixed"/>
      </w:tblPr>
      <w:tblGrid>
        <w:gridCol w:w="1701"/>
        <w:gridCol w:w="5443"/>
        <w:gridCol w:w="2268"/>
      </w:tblGrid>
      <w:tr>
        <w:trPr>
          <w:cantSplit w:val="true"/>
          <w:tblHeader w:val="true"/>
        </w:trPr>
        <w:tc>
          <w:tcPr>
            <w:tcW w:type="dxa" w:w="1701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5443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7"/>
              </w:rPr>
              <w:t>出处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2025 年 5 月</w:t>
            </w:r>
          </w:p>
        </w:tc>
        <w:tc>
          <w:tcPr>
            <w:tcW w:type="dxa" w:w="5443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董事会任命阿贝尔接任首席执行官，2026 年 1 月 1 日生效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2025 年 10-K，Item 1A 风险因素（关键人员）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2025 年</w:t>
            </w:r>
          </w:p>
        </w:tc>
        <w:tc>
          <w:tcPr>
            <w:tcW w:type="dxa" w:w="5443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回购授权改为由首席执行官在与董事长商议后，判断回购价是否低于保守估计的内在价值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2025 年 10-K，Item 5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2025 年 10 月 1 日</w:t>
            </w:r>
          </w:p>
        </w:tc>
        <w:tc>
          <w:tcPr>
            <w:tcW w:type="dxa" w:w="5443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签约收购西方石油的化工业务 OxyChem；2026 年 1 月 2 日完成，现金对价约 94 亿美元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2026Q2 10-Q，附注 2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2025 年 12 月</w:t>
            </w:r>
          </w:p>
        </w:tc>
        <w:tc>
          <w:tcPr>
            <w:tcW w:type="dxa" w:w="5443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宣布 CFO 交接：马克·汉堡（Marc Hamburg）2026 年 6 月 1 日把 CFO 职责交给 Chuck Chang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2025 年致股东信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2026 年 1 月 1 日</w:t>
            </w:r>
          </w:p>
        </w:tc>
        <w:tc>
          <w:tcPr>
            <w:tcW w:type="dxa" w:w="5443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阿贝尔就任 CEO；巴菲特继续任董事长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2025 年 10-K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2026 年 2 月 28 日</w:t>
            </w:r>
          </w:p>
        </w:tc>
        <w:tc>
          <w:tcPr>
            <w:tcW w:type="dxa" w:w="5443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阿贝尔发出作为 CEO 的首封致股东信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2025 年致股东信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2026 年 4 月 1 日</w:t>
            </w:r>
          </w:p>
        </w:tc>
        <w:tc>
          <w:tcPr>
            <w:tcW w:type="dxa" w:w="5443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与东京海上旗下保险公司的十年期整体成数再保险协议生效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2026Q2 10-Q，MD&amp;A·BHRG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2026 年 5 月 31 日</w:t>
            </w:r>
          </w:p>
        </w:tc>
        <w:tc>
          <w:tcPr>
            <w:tcW w:type="dxa" w:w="5443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签约收购住宅开发商 Taylor Morrison；7 月 24 日完成，现金约 68 亿美元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2026Q2 10-Q，附注 2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2026 年 8 月 8 日</w:t>
            </w:r>
          </w:p>
        </w:tc>
        <w:tc>
          <w:tcPr>
            <w:tcW w:type="dxa" w:w="5443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发布二季度业绩：上半年回购约 48 亿美元，浮存金约 1,775 亿美元</w:t>
            </w:r>
          </w:p>
        </w:tc>
        <w:tc>
          <w:tcPr>
            <w:tcW w:type="dxa" w:w="2268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7"/>
              </w:rPr>
              <w:t>2026Q2 业绩公告</w:t>
            </w:r>
          </w:p>
        </w:tc>
      </w:tr>
    </w:tbl>
    <w:p>
      <w:pPr>
        <w:spacing w:after="40"/>
      </w:pPr>
    </w:p>
    <w:p>
      <w:r>
        <w:rPr>
          <w:rFonts w:ascii="Arial" w:hAnsi="Arial" w:cs="Arial" w:eastAsia="微软雅黑"/>
          <w:b/>
        </w:rPr>
        <w:t>没变的规则。</w:t>
      </w:r>
      <w:r>
        <w:rPr>
          <w:rFonts w:ascii="Arial" w:hAnsi="Arial" w:cs="Arial" w:eastAsia="微软雅黑"/>
          <w:b w:val="0"/>
        </w:rPr>
        <w:t>阿贝尔的信把以下原则写得很明确：①不分红——只要每留存 1 美元利润大概率能为股东创造超过 1 美元的市值，就不派现，董事会每年复核；②回购只在股价低于保守估计的内在价值时进行，并且不会让合并口径的现金、现金等价物与国债低于 300 亿美元（同见 10-K Item 5）；③“保险是核心”，首席执行官兼任首席风险官；④去中心化，子公司 CEO 不背季度利润指标。</w:t>
      </w:r>
    </w:p>
    <w:p>
      <w:r>
        <w:rPr>
          <w:rFonts w:ascii="Arial" w:hAnsi="Arial" w:cs="Arial" w:eastAsia="微软雅黑"/>
          <w:b/>
        </w:rPr>
        <w:t>变了的地方。</w:t>
      </w:r>
      <w:r>
        <w:rPr>
          <w:rFonts w:ascii="Arial" w:hAnsi="Arial" w:cs="Arial" w:eastAsia="微软雅黑"/>
          <w:b w:val="0"/>
        </w:rPr>
        <w:t>一是价值观被逐条写成文字，并承诺今后每封信都附上、讨论如何践行；二是投资组合被描述为两层：苹果、美国运通、可口可乐、穆迪与日本五大商社构成的“核心持仓”（2025 年末合计约 1,940 亿美元，接近组合的三分之二），以及“资本配置更灵活”的其他头寸；三是人事：泰德·韦施勒管理约 6% 的投资（含原由托德·库姆斯负责的部分），公司新设总法律顾问，CFO 完成交接。</w:t>
      </w:r>
    </w:p>
    <w:p>
      <w:pPr>
        <w:spacing w:after="160"/>
      </w:pPr>
      <w:r>
        <w:rPr>
          <w:rFonts w:ascii="Arial" w:hAnsi="Arial" w:cs="Arial" w:eastAsia="微软雅黑"/>
          <w:b w:val="0"/>
          <w:color w:val="595959"/>
          <w:sz w:val="17"/>
        </w:rPr>
        <w:t>出处：2025 年致股东信（阿贝尔）PDF 第 5—7、15—16 页；2025 年 10-K Item 5（p.K-32）、Item 1A 风险因素；2026Q2 10-Q 附注 2（p.8）。</w:t>
      </w:r>
    </w:p>
    <w:p>
      <w:pPr>
        <w:pStyle w:val="Heading1"/>
      </w:pPr>
      <w:r>
        <w:t>二、利润：总量在长，结构在变</w:t>
      </w:r>
    </w:p>
    <w:tbl>
      <w:tblPr>
        <w:tblStyle w:val="TableGrid"/>
        <w:tblW w:type="dxa" w:w="8702"/>
        <w:jc w:val="center"/>
        <w:tblLook w:firstColumn="1" w:firstRow="1" w:lastColumn="0" w:lastRow="0" w:noHBand="0" w:noVBand="1" w:val="04A0"/>
        <w:tblLayout w:type="fixed"/>
        <w:tblCellMar>
          <w:top w:w="60" w:type="dxa"/>
          <w:bottom w:w="60" w:type="dxa"/>
          <w:left w:w="90" w:type="dxa"/>
          <w:right w:w="90" w:type="dxa"/>
        </w:tblCellMar>
        <w:tblLayout w:type="fixed"/>
      </w:tblPr>
      <w:tblGrid>
        <w:gridCol w:w="2041"/>
        <w:gridCol w:w="822"/>
        <w:gridCol w:w="822"/>
        <w:gridCol w:w="822"/>
        <w:gridCol w:w="822"/>
        <w:gridCol w:w="822"/>
        <w:gridCol w:w="822"/>
        <w:gridCol w:w="822"/>
        <w:gridCol w:w="907"/>
      </w:tblGrid>
      <w:tr>
        <w:trPr>
          <w:cantSplit w:val="true"/>
          <w:tblHeader w:val="true"/>
        </w:trPr>
        <w:tc>
          <w:tcPr>
            <w:tcW w:type="dxa" w:w="2041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亿美元（税后）</w:t>
            </w:r>
          </w:p>
        </w:tc>
        <w:tc>
          <w:tcPr>
            <w:tcW w:type="dxa" w:w="822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2021</w:t>
            </w:r>
          </w:p>
        </w:tc>
        <w:tc>
          <w:tcPr>
            <w:tcW w:type="dxa" w:w="822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2022</w:t>
            </w:r>
          </w:p>
        </w:tc>
        <w:tc>
          <w:tcPr>
            <w:tcW w:type="dxa" w:w="822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2023</w:t>
            </w:r>
          </w:p>
        </w:tc>
        <w:tc>
          <w:tcPr>
            <w:tcW w:type="dxa" w:w="822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2024</w:t>
            </w:r>
          </w:p>
        </w:tc>
        <w:tc>
          <w:tcPr>
            <w:tcW w:type="dxa" w:w="822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2025</w:t>
            </w:r>
          </w:p>
        </w:tc>
        <w:tc>
          <w:tcPr>
            <w:tcW w:type="dxa" w:w="822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25H1</w:t>
            </w:r>
          </w:p>
        </w:tc>
        <w:tc>
          <w:tcPr>
            <w:tcW w:type="dxa" w:w="822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26H1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26H1 同比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保险承保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8.7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-0.3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54.3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90.2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72.6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33.3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34.5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+3.6%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保险投资收益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48.1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64.8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95.7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136.7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125.1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62.6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57.4</w:t>
            </w:r>
          </w:p>
        </w:tc>
        <w:tc>
          <w:tcPr>
            <w:tcW w:type="dxa" w:w="90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-8.3%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铁路 BNSF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59.9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59.5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50.9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50.3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54.8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26.8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29.4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+9.5%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能源 BHE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35.7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39.0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23.3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37.3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39.8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18.0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20.1</w:t>
            </w:r>
          </w:p>
        </w:tc>
        <w:tc>
          <w:tcPr>
            <w:tcW w:type="dxa" w:w="90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+11.5%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制造、服务与零售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111.2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125.1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133.6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130.7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136.5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66.6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76.7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+15.1%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其他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12.4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20.4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15.8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29.1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16.1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0.7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25.3</w:t>
            </w:r>
          </w:p>
        </w:tc>
        <w:tc>
          <w:tcPr>
            <w:tcW w:type="dxa" w:w="90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n/m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经营利润合计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276.0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308.5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373.5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474.4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444.9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208.0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243.3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+17.0%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投资收益（亏损）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623.4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-536.1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588.7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415.6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307.4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-0.7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114.4</w:t>
            </w:r>
          </w:p>
        </w:tc>
        <w:tc>
          <w:tcPr>
            <w:tcW w:type="dxa" w:w="90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权益法投资减值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0.0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0.0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0.0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0.0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-82.5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-37.6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0.0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归属股东净利润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899.4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-227.6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962.2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890.0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669.7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169.7</w:t>
            </w:r>
          </w:p>
        </w:tc>
        <w:tc>
          <w:tcPr>
            <w:tcW w:type="dxa" w:w="822"/>
            <w:vAlign w:val="center"/>
            <w:shd w:val="clear" w:color="auto" w:fill="F2F5F9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357.7</w:t>
            </w:r>
          </w:p>
        </w:tc>
        <w:tc>
          <w:tcPr>
            <w:tcW w:type="dxa" w:w="907"/>
            <w:vAlign w:val="center"/>
            <w:shd w:val="clear" w:color="auto" w:fill="F2F5F9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+110.8%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 w:cs="Arial" w:eastAsia="微软雅黑"/>
          <w:b w:val="0"/>
          <w:color w:val="595959"/>
          <w:sz w:val="17"/>
        </w:rPr>
        <w:t>表 1 出处：2021—2022 年为 2023 年年报 MD&amp;A 税后利润分解表（官网 PDF PDF 第59页（页脚 K-35），已按 LDTI 追溯调整；“其他”= 非控股企业 + 其他）；2023—2025 年为 2025 年 10-K MD&amp;A（p.K-34）；半年数为 2026Q2 10-Q MD&amp;A（p.33）。经营利润 = 净利润 − 投资收益 − 权益法投资减值，与公司披露一致（见 Excel“核对”表）。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298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eg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9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hAnsi="Arial" w:cs="Arial" w:eastAsia="微软雅黑"/>
          <w:b/>
          <w:color w:val="1F3864"/>
          <w:sz w:val="18"/>
        </w:rPr>
        <w:t>图 1  经营利润构成（左）与交班后首个半年的同比（右）</w:t>
      </w:r>
    </w:p>
    <w:p>
      <w:pPr>
        <w:spacing w:after="160"/>
        <w:jc w:val="center"/>
      </w:pPr>
      <w:r>
        <w:rPr>
          <w:rFonts w:ascii="Arial" w:hAnsi="Arial" w:cs="Arial" w:eastAsia="微软雅黑"/>
          <w:b w:val="0"/>
          <w:color w:val="595959"/>
          <w:sz w:val="17"/>
        </w:rPr>
        <w:t>数据：《伯克希尔账本.xlsx》“分部利润”表；原始出处同表 1。</w:t>
      </w:r>
    </w:p>
    <w:p>
      <w:r>
        <w:rPr>
          <w:rFonts w:ascii="Arial" w:hAnsi="Arial" w:cs="Arial" w:eastAsia="微软雅黑"/>
          <w:b/>
        </w:rPr>
        <w:t>保险投资收益是过去五年最大的变量。</w:t>
      </w:r>
      <w:r>
        <w:rPr>
          <w:rFonts w:ascii="Arial" w:hAnsi="Arial" w:cs="Arial" w:eastAsia="微软雅黑"/>
          <w:b w:val="0"/>
        </w:rPr>
        <w:t>它从 2021 年的 48.1 亿美元升到 2024 年的 136.7 亿美元，占经营利润的比重从 17.4% 升到 2025 年的 28.1%——原因很简单：伯克希尔把巨额现金放在短期国债上，利率上升时利息收入水涨船高。2025 年它回落到 125.1 亿美元，一部分是因为利率走低，另一部分是会计上的“搬家”：2024 年底保险子公司向母公司大额分配资本，这部分资金的利息改记在“其他”里（10-K p.K-34、K-40）。把两者合并看，投资收益 2025 年为 160.8 亿美元，较 2024 年 +6.4%；2026 年上半年为 76.6 亿美元，同比 -4.2%。</w:t>
      </w:r>
    </w:p>
    <w:p>
      <w:r>
        <w:rPr>
          <w:rFonts w:ascii="Arial" w:hAnsi="Arial" w:cs="Arial" w:eastAsia="微软雅黑"/>
          <w:b/>
        </w:rPr>
        <w:t>承保利润从亏损走到高位。</w:t>
      </w:r>
      <w:r>
        <w:rPr>
          <w:rFonts w:ascii="Arial" w:hAnsi="Arial" w:cs="Arial" w:eastAsia="微软雅黑"/>
          <w:b w:val="0"/>
        </w:rPr>
        <w:t>2022 年保险承保税后小亏 0.3 亿美元，2024 年达到 90.2 亿美元，2025 年为 72.6 亿美元。2026 年上半年 34.5 亿美元、同比 +3.6%，但这主要得益于上半年没有重大巨灾（2025 年同期因洛杉矶山火税后损失约 8.5 亿美元），GEICO 本身的承保利润在下滑（见第四节）。</w:t>
      </w:r>
    </w:p>
    <w:p>
      <w:r>
        <w:rPr>
          <w:rFonts w:ascii="Arial" w:hAnsi="Arial" w:cs="Arial" w:eastAsia="微软雅黑"/>
          <w:b/>
        </w:rPr>
        <w:t>实业板块撑起了交班后的增长。</w:t>
      </w:r>
      <w:r>
        <w:rPr>
          <w:rFonts w:ascii="Arial" w:hAnsi="Arial" w:cs="Arial" w:eastAsia="微软雅黑"/>
          <w:b w:val="0"/>
        </w:rPr>
        <w:t>制造、服务与零售是最大的板块，2025 年税后 136.5 亿美元，占经营利润的 30.7%；2026 年上半年同比 +15.1%，主要来自工业品（精密铸件 PCC 的航空与燃气轮机部件需求强劲）以及 1 月并入的 OxyChem（上半年税前利润 1.21 亿美元，含收购会计带来的额外折旧摊销）。BNSF 与 BHE 上半年分别同比 +9.5%、+11.5%。</w:t>
      </w:r>
    </w:p>
    <w:p>
      <w:r>
        <w:rPr>
          <w:rFonts w:ascii="Arial" w:hAnsi="Arial" w:cs="Arial" w:eastAsia="微软雅黑"/>
          <w:b/>
        </w:rPr>
        <w:t>“其他”项的大幅波动主要是汇兑。</w:t>
      </w:r>
      <w:r>
        <w:rPr>
          <w:rFonts w:ascii="Arial" w:hAnsi="Arial" w:cs="Arial" w:eastAsia="微软雅黑"/>
          <w:b w:val="0"/>
        </w:rPr>
        <w:t>伯克希尔有大量日元等非美元债务，汇率变动带来账面损益：2025 年为税后亏损 6.4 亿美元，2026 年上半年转为收益 5.8 亿美元（上年同期亏损 15.9 亿美元）。这使“其他”在 2026 年上半年同比多出约 24.6 亿美元——它并不反映经营改善，解读上半年 +17.0% 的增速时宜剔除这部分。若剔除“其他”，上半年五大板块合计同比为 +5.1%。</w:t>
      </w:r>
    </w:p>
    <w:p>
      <w:r>
        <w:rPr>
          <w:rFonts w:ascii="Arial" w:hAnsi="Arial" w:cs="Arial" w:eastAsia="微软雅黑"/>
          <w:b/>
        </w:rPr>
        <w:t>净利润的波动远大于经营利润。</w:t>
      </w:r>
      <w:r>
        <w:rPr>
          <w:rFonts w:ascii="Arial" w:hAnsi="Arial" w:cs="Arial" w:eastAsia="微软雅黑"/>
          <w:b w:val="0"/>
        </w:rPr>
        <w:t>会计准则要求把持股的未实现涨跌计入利润，所以净利润在 2021 年为 899.4 亿美元、2022 年为 -227.6 亿美元。2025 年还确认了卡夫亨氏和西方石油两笔权益法投资减值，合计税后 82.5 亿美元。伯克希尔一直提示关注经营利润，本备忘录也以经营利润为主线。</w:t>
      </w:r>
    </w:p>
    <w:p>
      <w:pPr>
        <w:pStyle w:val="Heading1"/>
      </w:pPr>
      <w:r>
        <w:t>三、现金与投资：钱放在哪里</w:t>
      </w:r>
    </w:p>
    <w:tbl>
      <w:tblPr>
        <w:tblStyle w:val="TableGrid"/>
        <w:tblW w:type="dxa" w:w="9411"/>
        <w:jc w:val="center"/>
        <w:tblLook w:firstColumn="1" w:firstRow="1" w:lastColumn="0" w:lastRow="0" w:noHBand="0" w:noVBand="1" w:val="04A0"/>
        <w:tblLayout w:type="fixed"/>
        <w:tblCellMar>
          <w:top w:w="60" w:type="dxa"/>
          <w:bottom w:w="60" w:type="dxa"/>
          <w:left w:w="90" w:type="dxa"/>
          <w:right w:w="90" w:type="dxa"/>
        </w:tblCellMar>
        <w:tblLayout w:type="fixed"/>
      </w:tblPr>
      <w:tblGrid>
        <w:gridCol w:w="2835"/>
        <w:gridCol w:w="1077"/>
        <w:gridCol w:w="1077"/>
        <w:gridCol w:w="1077"/>
        <w:gridCol w:w="1077"/>
        <w:gridCol w:w="1077"/>
        <w:gridCol w:w="1191"/>
      </w:tblGrid>
      <w:tr>
        <w:trPr>
          <w:cantSplit w:val="true"/>
          <w:tblHeader w:val="true"/>
        </w:trPr>
        <w:tc>
          <w:tcPr>
            <w:tcW w:type="dxa" w:w="2835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亿美元 / 比率</w:t>
            </w:r>
          </w:p>
        </w:tc>
        <w:tc>
          <w:tcPr>
            <w:tcW w:type="dxa" w:w="1077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2021 末</w:t>
            </w:r>
          </w:p>
        </w:tc>
        <w:tc>
          <w:tcPr>
            <w:tcW w:type="dxa" w:w="1077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2022 末</w:t>
            </w:r>
          </w:p>
        </w:tc>
        <w:tc>
          <w:tcPr>
            <w:tcW w:type="dxa" w:w="1077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2023 末</w:t>
            </w:r>
          </w:p>
        </w:tc>
        <w:tc>
          <w:tcPr>
            <w:tcW w:type="dxa" w:w="1077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2024 末</w:t>
            </w:r>
          </w:p>
        </w:tc>
        <w:tc>
          <w:tcPr>
            <w:tcW w:type="dxa" w:w="1077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2025 末</w:t>
            </w:r>
          </w:p>
        </w:tc>
        <w:tc>
          <w:tcPr>
            <w:tcW w:type="dxa" w:w="1191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2026-06-30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保险浮存金（约数）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1,470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1,640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1,690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1,710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1,760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1,775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现金及短期国债（保险及其他，净额）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1,439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1,250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1,633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3,180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3,690</w:t>
            </w:r>
          </w:p>
        </w:tc>
        <w:tc>
          <w:tcPr>
            <w:tcW w:type="dxa" w:w="1191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3,592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现金及短期国债（合并）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1,467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1,286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1,676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3,214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3,731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3,647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股票投资（公允价值）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3,507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3,088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3,538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2,716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2,978</w:t>
            </w:r>
          </w:p>
        </w:tc>
        <w:tc>
          <w:tcPr>
            <w:tcW w:type="dxa" w:w="1191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3,238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伯克希尔股东权益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5,016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4,734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5,613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6,494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7,174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7,479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现金及国债 ÷ 总资产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15.3%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13.6%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15.7%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27.9%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30.5%</w:t>
            </w:r>
          </w:p>
        </w:tc>
        <w:tc>
          <w:tcPr>
            <w:tcW w:type="dxa" w:w="1191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28.9%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浮存金 ÷ 现金及国债（保险及其他）</w:t>
            </w:r>
          </w:p>
        </w:tc>
        <w:tc>
          <w:tcPr>
            <w:tcW w:type="dxa" w:w="1077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102.2%</w:t>
            </w:r>
          </w:p>
        </w:tc>
        <w:tc>
          <w:tcPr>
            <w:tcW w:type="dxa" w:w="1077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131.2%</w:t>
            </w:r>
          </w:p>
        </w:tc>
        <w:tc>
          <w:tcPr>
            <w:tcW w:type="dxa" w:w="1077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103.5%</w:t>
            </w:r>
          </w:p>
        </w:tc>
        <w:tc>
          <w:tcPr>
            <w:tcW w:type="dxa" w:w="1077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53.8%</w:t>
            </w:r>
          </w:p>
        </w:tc>
        <w:tc>
          <w:tcPr>
            <w:tcW w:type="dxa" w:w="1077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47.7%</w:t>
            </w:r>
          </w:p>
        </w:tc>
        <w:tc>
          <w:tcPr>
            <w:tcW w:type="dxa" w:w="1191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49.4%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 w:cs="Arial" w:eastAsia="微软雅黑"/>
          <w:b w:val="0"/>
          <w:color w:val="595959"/>
          <w:sz w:val="17"/>
        </w:rPr>
        <w:t>表 2 出处：浮存金见 2023 年年报与 2025 年 10-K 的 MD&amp;A（p.K-41）及 10-Q（p.38）；现金、国债、总资产、股票投资见各期合并资产负债表；比率为 Excel 公式。2021—2023 年资产负债表未单列“待付国债款”，按 0 处理（假设）。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143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a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43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hAnsi="Arial" w:cs="Arial" w:eastAsia="微软雅黑"/>
          <w:b/>
          <w:color w:val="1F3864"/>
          <w:sz w:val="18"/>
        </w:rPr>
        <w:t>图 2  现金与短期国债、股票组合、浮存金</w:t>
      </w:r>
    </w:p>
    <w:p>
      <w:pPr>
        <w:spacing w:after="160"/>
        <w:jc w:val="center"/>
      </w:pPr>
      <w:r>
        <w:rPr>
          <w:rFonts w:ascii="Arial" w:hAnsi="Arial" w:cs="Arial" w:eastAsia="微软雅黑"/>
          <w:b w:val="0"/>
          <w:color w:val="595959"/>
          <w:sz w:val="17"/>
        </w:rPr>
        <w:t>数据：《伯克希尔账本.xlsx》“浮存金与现金”“股票组合”表。</w:t>
      </w:r>
    </w:p>
    <w:p>
      <w:r>
        <w:rPr>
          <w:rFonts w:ascii="Arial" w:hAnsi="Arial" w:cs="Arial" w:eastAsia="微软雅黑"/>
          <w:b/>
        </w:rPr>
        <w:t>现金堆到了资产的三成。</w:t>
      </w:r>
      <w:r>
        <w:rPr>
          <w:rFonts w:ascii="Arial" w:hAnsi="Arial" w:cs="Arial" w:eastAsia="微软雅黑"/>
          <w:b w:val="0"/>
        </w:rPr>
        <w:t>2025 年末合并口径的现金及短期国债占总资产的 30.5%（2021 年末为 15.3%），比回购承诺的 300 亿美元底线高出约 3,431 亿美元。2021 年末现金和浮存金大致相当（浮存金 ÷ 现金约 102%），到 2025 年末这一比例降到 48%——现金早已不只是“保户的钱”，大部分是股东自己的留存利润和卖出股票所得。2024 年伯克希尔净卖出股票 1,341 亿美元（现金流量表：出售 1,434 亿、买入 92 亿），是现金跃升的主因。</w:t>
      </w:r>
    </w:p>
    <w:p>
      <w:r>
        <w:rPr>
          <w:rFonts w:ascii="Arial" w:hAnsi="Arial" w:cs="Arial" w:eastAsia="微软雅黑"/>
          <w:b/>
        </w:rPr>
        <w:t>交班后，现金开始“动”起来。</w:t>
      </w:r>
      <w:r>
        <w:rPr>
          <w:rFonts w:ascii="Arial" w:hAnsi="Arial" w:cs="Arial" w:eastAsia="微软雅黑"/>
          <w:b w:val="0"/>
        </w:rPr>
        <w:t>2026 年上半年，保险及其他业务的现金及国债（净额）从 3,690 亿美元降至 3,592 亿美元。同期现金流量表显示：收购业务支出 97.0 亿美元（主要是 OxyChem），买入股票 394.1 亿美元、卖出 277.8 亿美元（净买入 116.2 亿美元，而 2023—2025 年每年都是净卖出），回购付现 44.4 亿美元，资本开支 106.3 亿美元，而经营现金流入 216.5 亿美元。7 月 24 日完成的 Taylor Morrison 收购（约 68 亿美元现金）将体现在三季度。</w:t>
      </w:r>
    </w:p>
    <w:p>
      <w:r>
        <w:rPr>
          <w:rFonts w:ascii="Arial" w:hAnsi="Arial" w:cs="Arial" w:eastAsia="微软雅黑"/>
          <w:b/>
        </w:rPr>
        <w:t>利率敏感度（示意，基于假设）。</w:t>
      </w:r>
      <w:r>
        <w:rPr>
          <w:rFonts w:ascii="Arial" w:hAnsi="Arial" w:cs="Arial" w:eastAsia="微软雅黑"/>
          <w:b w:val="0"/>
        </w:rPr>
        <w:t>以 2026 年 6 月末 3,592 亿美元的现金及国债为基数，若短期利率下降 1 个百分点、利息收入按 21% 税率计算，年化税后利息收入约减少 28.4 亿美元，相当于 2025 年经营利润的 6.4%。这一估算的利率变动和税率均为假设，可在 Excel“假设与参数”表中修改，并非预测。</w:t>
      </w:r>
    </w:p>
    <w:p>
      <w:pPr>
        <w:pStyle w:val="Heading2"/>
      </w:pPr>
      <w:r>
        <w:t>股票组合：从“消费品为主”到更分散</w:t>
      </w:r>
    </w:p>
    <w:tbl>
      <w:tblPr>
        <w:tblStyle w:val="TableGrid"/>
        <w:tblW w:type="dxa" w:w="9411"/>
        <w:jc w:val="center"/>
        <w:tblLook w:firstColumn="1" w:firstRow="1" w:lastColumn="0" w:lastRow="0" w:noHBand="0" w:noVBand="1" w:val="04A0"/>
        <w:tblLayout w:type="fixed"/>
        <w:tblCellMar>
          <w:top w:w="60" w:type="dxa"/>
          <w:bottom w:w="60" w:type="dxa"/>
          <w:left w:w="90" w:type="dxa"/>
          <w:right w:w="90" w:type="dxa"/>
        </w:tblCellMar>
        <w:tblLayout w:type="fixed"/>
      </w:tblPr>
      <w:tblGrid>
        <w:gridCol w:w="2835"/>
        <w:gridCol w:w="1077"/>
        <w:gridCol w:w="1077"/>
        <w:gridCol w:w="1077"/>
        <w:gridCol w:w="1077"/>
        <w:gridCol w:w="1077"/>
        <w:gridCol w:w="1191"/>
      </w:tblGrid>
      <w:tr>
        <w:trPr>
          <w:cantSplit w:val="true"/>
          <w:tblHeader w:val="true"/>
        </w:trPr>
        <w:tc>
          <w:tcPr>
            <w:tcW w:type="dxa" w:w="2835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</w:p>
        </w:tc>
        <w:tc>
          <w:tcPr>
            <w:tcW w:type="dxa" w:w="1077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2021 末</w:t>
            </w:r>
          </w:p>
        </w:tc>
        <w:tc>
          <w:tcPr>
            <w:tcW w:type="dxa" w:w="1077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2022 末</w:t>
            </w:r>
          </w:p>
        </w:tc>
        <w:tc>
          <w:tcPr>
            <w:tcW w:type="dxa" w:w="1077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2023 末</w:t>
            </w:r>
          </w:p>
        </w:tc>
        <w:tc>
          <w:tcPr>
            <w:tcW w:type="dxa" w:w="1077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2024 末</w:t>
            </w:r>
          </w:p>
        </w:tc>
        <w:tc>
          <w:tcPr>
            <w:tcW w:type="dxa" w:w="1077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2025 末</w:t>
            </w:r>
          </w:p>
        </w:tc>
        <w:tc>
          <w:tcPr>
            <w:tcW w:type="dxa" w:w="1191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2026-06-30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银行、保险与金融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25.4%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22.5%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22.1%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33.7%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35.0%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29.2%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消费品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54.5%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49.5%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56.8%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38.6%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31.9%</w:t>
            </w:r>
          </w:p>
        </w:tc>
        <w:tc>
          <w:tcPr>
            <w:tcW w:type="dxa" w:w="1191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31.0%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商业、工业及其他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20.1%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28.0%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21.0%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27.7%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33.1%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39.8%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前五大集中度（2021 年为前四大）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73%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75%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79%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71%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65%</w:t>
            </w:r>
          </w:p>
        </w:tc>
        <w:tc>
          <w:tcPr>
            <w:tcW w:type="dxa" w:w="1191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66%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组合公允价值（亿美元）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3,507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3,088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3,538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2,716</w:t>
            </w:r>
          </w:p>
        </w:tc>
        <w:tc>
          <w:tcPr>
            <w:tcW w:type="dxa" w:w="1077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2,978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3,238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苹果占组合比例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45.9%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38.5%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49.3%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未披露</w:t>
            </w:r>
          </w:p>
        </w:tc>
        <w:tc>
          <w:tcPr>
            <w:tcW w:type="dxa" w:w="1077"/>
            <w:vAlign w:val="center"/>
            <w:shd w:val="clear" w:color="auto" w:fill="F2F5F9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20.8%</w:t>
            </w:r>
          </w:p>
        </w:tc>
        <w:tc>
          <w:tcPr>
            <w:tcW w:type="dxa" w:w="1191"/>
            <w:vAlign w:val="center"/>
            <w:shd w:val="clear" w:color="auto" w:fill="F2F5F9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未披露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 w:cs="Arial" w:eastAsia="微软雅黑"/>
          <w:b w:val="0"/>
          <w:color w:val="595959"/>
          <w:sz w:val="17"/>
        </w:rPr>
        <w:t>表 3 出处：年报/季报附注“Investments in equity securities”按行业汇总表（2025 年 10-K p.K-79；10-Q p.9）；前五大比例见同一附注；苹果持仓金额来自 2021、2025 年致股东信持仓表及 2023 年年报附注脚注。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0709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ortfol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70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hAnsi="Arial" w:cs="Arial" w:eastAsia="微软雅黑"/>
          <w:b/>
          <w:color w:val="1F3864"/>
          <w:sz w:val="18"/>
        </w:rPr>
        <w:t>图 3  股票组合的行业结构与集中度</w:t>
      </w:r>
    </w:p>
    <w:p>
      <w:pPr>
        <w:spacing w:after="160"/>
        <w:jc w:val="center"/>
      </w:pPr>
      <w:r>
        <w:rPr>
          <w:rFonts w:ascii="Arial" w:hAnsi="Arial" w:cs="Arial" w:eastAsia="微软雅黑"/>
          <w:b w:val="0"/>
          <w:color w:val="595959"/>
          <w:sz w:val="17"/>
        </w:rPr>
        <w:t>数据：《伯克希尔账本.xlsx》“股票组合”表。</w:t>
      </w:r>
    </w:p>
    <w:p>
      <w:r>
        <w:rPr>
          <w:rFonts w:ascii="Arial" w:hAnsi="Arial" w:cs="Arial" w:eastAsia="微软雅黑"/>
          <w:b/>
        </w:rPr>
        <w:t>集中度在下降，但仍然很高。</w:t>
      </w:r>
      <w:r>
        <w:rPr>
          <w:rFonts w:ascii="Arial" w:hAnsi="Arial" w:cs="Arial" w:eastAsia="微软雅黑"/>
          <w:b w:val="0"/>
        </w:rPr>
        <w:t>前五大持仓的占比从 2023 年末的 79% 降到 2025 年末的 65%，2026 年 6 月末为 66%。最大的变化是苹果：它在 2023 年末约占组合的 49%，到 2025 年末约为 21%（2025 年末市值 620 亿美元，2025 年致股东信）。2026 年 6 月末的前五大为 Alphabet、美国运通、苹果、美国银行和可口可乐，雪佛龙不再在列（10-Q 附注 4）。</w:t>
      </w:r>
    </w:p>
    <w:p>
      <w:r>
        <w:rPr>
          <w:rFonts w:ascii="Arial" w:hAnsi="Arial" w:cs="Arial" w:eastAsia="微软雅黑"/>
          <w:b/>
        </w:rPr>
        <w:t>行业结构在“工业化”。</w:t>
      </w:r>
      <w:r>
        <w:rPr>
          <w:rFonts w:ascii="Arial" w:hAnsi="Arial" w:cs="Arial" w:eastAsia="微软雅黑"/>
          <w:b w:val="0"/>
        </w:rPr>
        <w:t>按成本计，“商业、工业及其他”类别从 2025 年末的 580 亿美元增至 2026 年 6 月末的 821 亿美元，消费品类则从 119 亿美元降至 86 亿美元——成本基础的变化说明上半年在前一类净买入、在后一类净卖出（具体标的以公司披露为准）。日本五大商社是另一条主线：2025 年末成本 153.8 亿美元、市值 354 亿美元，伯克希尔在日本借入了大致等额的日元债务（加权平均成本约 1.2%）。</w:t>
      </w:r>
    </w:p>
    <w:p>
      <w:r>
        <w:rPr>
          <w:rFonts w:ascii="Arial" w:hAnsi="Arial" w:cs="Arial" w:eastAsia="微软雅黑"/>
          <w:b/>
        </w:rPr>
        <w:t>权益法投资仍是“失望”的一块。</w:t>
      </w:r>
      <w:r>
        <w:rPr>
          <w:rFonts w:ascii="Arial" w:hAnsi="Arial" w:cs="Arial" w:eastAsia="微软雅黑"/>
          <w:b w:val="0"/>
        </w:rPr>
        <w:t>阿贝尔在信中直言卡夫亨氏的回报“远远不够”。2025 年对卡夫亨氏和西方石油合计确认税后减值 82.5 亿美元；到 2026 年 6 月末，卡夫亨氏的账面价值（87.6 亿美元）仍比市值（76.9 亿美元）高出约 11 亿美元（12.2%），公司评估后认为当期无需再减值（10-Q 附注 5）。</w:t>
      </w:r>
    </w:p>
    <w:p>
      <w:pPr>
        <w:pStyle w:val="Heading1"/>
      </w:pPr>
      <w:r>
        <w:t>四、保险、铁路、能源：三块的表现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133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o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3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hAnsi="Arial" w:cs="Arial" w:eastAsia="微软雅黑"/>
          <w:b/>
          <w:color w:val="1F3864"/>
          <w:sz w:val="18"/>
        </w:rPr>
        <w:t>图 4  GEICO 综合成本率（左）与 BNSF 运营比率（右）</w:t>
      </w:r>
    </w:p>
    <w:p>
      <w:pPr>
        <w:spacing w:after="160"/>
        <w:jc w:val="center"/>
      </w:pPr>
      <w:r>
        <w:rPr>
          <w:rFonts w:ascii="Arial" w:hAnsi="Arial" w:cs="Arial" w:eastAsia="微软雅黑"/>
          <w:b w:val="0"/>
          <w:color w:val="595959"/>
          <w:sz w:val="17"/>
        </w:rPr>
        <w:t>数据：《伯克希尔账本.xlsx》“业务明细”表（由已赚保费、赔付、费用以及铁路收入、费用计算）。</w:t>
      </w:r>
    </w:p>
    <w:p>
      <w:pPr>
        <w:pStyle w:val="Heading2"/>
      </w:pPr>
      <w:r>
        <w:t>保险：高位之后，周期转向</w:t>
      </w:r>
    </w:p>
    <w:tbl>
      <w:tblPr>
        <w:tblStyle w:val="TableGrid"/>
        <w:tblW w:type="dxa" w:w="9356"/>
        <w:jc w:val="center"/>
        <w:tblLook w:firstColumn="1" w:firstRow="1" w:lastColumn="0" w:lastRow="0" w:noHBand="0" w:noVBand="1" w:val="04A0"/>
        <w:tblLayout w:type="fixed"/>
        <w:tblCellMar>
          <w:top w:w="60" w:type="dxa"/>
          <w:bottom w:w="60" w:type="dxa"/>
          <w:left w:w="90" w:type="dxa"/>
          <w:right w:w="90" w:type="dxa"/>
        </w:tblCellMar>
        <w:tblLayout w:type="fixed"/>
      </w:tblPr>
      <w:tblGrid>
        <w:gridCol w:w="2608"/>
        <w:gridCol w:w="964"/>
        <w:gridCol w:w="964"/>
        <w:gridCol w:w="964"/>
        <w:gridCol w:w="964"/>
        <w:gridCol w:w="964"/>
        <w:gridCol w:w="964"/>
        <w:gridCol w:w="964"/>
      </w:tblGrid>
      <w:tr>
        <w:trPr>
          <w:cantSplit w:val="true"/>
          <w:tblHeader w:val="true"/>
        </w:trPr>
        <w:tc>
          <w:tcPr>
            <w:tcW w:type="dxa" w:w="2608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亿美元 / %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2021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2022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2023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2024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2025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25H1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26H1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GEICO 税前承保利润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12.6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-18.8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36.4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78.1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68.2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39.9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24.1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BH Primary 税前承保利润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6.1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3.9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13.7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8.6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7.8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-0.8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7.5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再保险集团 BHRG 税前承保利润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-7.5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14.7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19.0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27.4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18.5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3.4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12.9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税前承保利润合计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11.1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-0.2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69.1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114.0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94.6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42.6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44.5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GEICO 综合成本率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96.7%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104.8%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90.7%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81.5%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84.7%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81.7%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89.3%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GEICO 赔付率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82.2%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93.1%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81.0%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71.8%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72.3%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70.4%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75.3%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GEICO 费用率</w:t>
            </w:r>
          </w:p>
        </w:tc>
        <w:tc>
          <w:tcPr>
            <w:tcW w:type="dxa" w:w="964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14.4%</w:t>
            </w:r>
          </w:p>
        </w:tc>
        <w:tc>
          <w:tcPr>
            <w:tcW w:type="dxa" w:w="964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11.7%</w:t>
            </w:r>
          </w:p>
        </w:tc>
        <w:tc>
          <w:tcPr>
            <w:tcW w:type="dxa" w:w="964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9.7%</w:t>
            </w:r>
          </w:p>
        </w:tc>
        <w:tc>
          <w:tcPr>
            <w:tcW w:type="dxa" w:w="964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9.7%</w:t>
            </w:r>
          </w:p>
        </w:tc>
        <w:tc>
          <w:tcPr>
            <w:tcW w:type="dxa" w:w="964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12.4%</w:t>
            </w:r>
          </w:p>
        </w:tc>
        <w:tc>
          <w:tcPr>
            <w:tcW w:type="dxa" w:w="964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11.2%</w:t>
            </w:r>
          </w:p>
        </w:tc>
        <w:tc>
          <w:tcPr>
            <w:tcW w:type="dxa" w:w="964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14.0%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 w:cs="Arial" w:eastAsia="微软雅黑"/>
          <w:b w:val="0"/>
          <w:color w:val="595959"/>
          <w:sz w:val="17"/>
        </w:rPr>
        <w:t>表 4 出处：2023 年年报 MD&amp;A 承保汇总表与 GEICO 表（官网 PDF PDF 第61页（页脚 K-37））；2025 年 10-K MD&amp;A（p.K-35、p.K-36）；2026Q2 10-Q MD&amp;A（p.34）。比率为 Excel 公式。</w:t>
      </w:r>
    </w:p>
    <w:p>
      <w:r>
        <w:rPr>
          <w:rFonts w:ascii="Arial" w:hAnsi="Arial" w:cs="Arial" w:eastAsia="微软雅黑"/>
          <w:b/>
        </w:rPr>
        <w:t>GEICO 的“翻身仗”打完了，现在进入正常化。</w:t>
      </w:r>
      <w:r>
        <w:rPr>
          <w:rFonts w:ascii="Arial" w:hAnsi="Arial" w:cs="Arial" w:eastAsia="微软雅黑"/>
          <w:b w:val="0"/>
        </w:rPr>
        <w:t>GEICO 综合成本率从 2022 年的 104.8%（承保亏损）大幅改善到 2024 年的 81.5%；2025 年回升到 84.7%，2026 年上半年升至 89.3%：赔付率由上年同期的 70.4% 升至 75.3%（理赔频率和严重程度都在上升），费用率由 11.2% 升至 14.0%（佣金和广告投入增加）。阿贝尔在信中提到，过去几年的大幅提价修复了利润率，却牺牲了续保率，2026 年竞争对手降价可能延续这种压力。</w:t>
      </w:r>
    </w:p>
    <w:p>
      <w:r>
        <w:rPr>
          <w:rFonts w:ascii="Arial" w:hAnsi="Arial" w:cs="Arial" w:eastAsia="微软雅黑"/>
          <w:b/>
        </w:rPr>
        <w:t>其他保险业务受益于“平静的一年”。</w:t>
      </w:r>
      <w:r>
        <w:rPr>
          <w:rFonts w:ascii="Arial" w:hAnsi="Arial" w:cs="Arial" w:eastAsia="微软雅黑"/>
          <w:b w:val="0"/>
        </w:rPr>
        <w:t>BH Primary 上半年税前承保利润 7.5 亿美元（上年同期亏损 0.8 亿美元），再保险集团 12.9 亿美元（上年同期 3.4 亿美元），主要因为没有重大巨灾损失、以及上年度赔案准备金的有利调整。4 月起与东京海上的十年期成数再保险协议生效，二季度带来 4.83 亿美元保费。但 2025 年信中也写明：财产险和再保险价格在 2025 年下半年开始放缓甚至回落，伯克希尔“很可能会在一段时间内少写一些财产险业务”。</w:t>
      </w:r>
    </w:p>
    <w:p>
      <w:r>
        <w:rPr>
          <w:rFonts w:ascii="Arial" w:hAnsi="Arial" w:cs="Arial" w:eastAsia="微软雅黑"/>
          <w:b/>
        </w:rPr>
        <w:t>浮存金仍在增长，且“成本为负”。</w:t>
      </w:r>
      <w:r>
        <w:rPr>
          <w:rFonts w:ascii="Arial" w:hAnsi="Arial" w:cs="Arial" w:eastAsia="微软雅黑"/>
          <w:b w:val="0"/>
        </w:rPr>
        <w:t>浮存金从 2021 年末约 1,470 亿美元增至 2026 年 6 月末约 1,775 亿美元。按税前承保利润 ÷ 平均浮存金计算，2025 年浮存金成本为 -5.5%（负数代表保户的钱不但免费、还带来承保利润）；2022 年承保微亏，成本约为零。2025 年财产险业务整体综合成本率为 87.1%，低于五年平均的 90.7%（2025 年致股东信）。</w:t>
      </w:r>
    </w:p>
    <w:p>
      <w:pPr>
        <w:pStyle w:val="Heading2"/>
      </w:pPr>
      <w:r>
        <w:t>铁路 BNSF：效率在追赶</w:t>
      </w:r>
    </w:p>
    <w:tbl>
      <w:tblPr>
        <w:tblStyle w:val="TableGrid"/>
        <w:tblW w:type="dxa" w:w="9356"/>
        <w:jc w:val="center"/>
        <w:tblLook w:firstColumn="1" w:firstRow="1" w:lastColumn="0" w:lastRow="0" w:noHBand="0" w:noVBand="1" w:val="04A0"/>
        <w:tblLayout w:type="fixed"/>
        <w:tblCellMar>
          <w:top w:w="60" w:type="dxa"/>
          <w:bottom w:w="60" w:type="dxa"/>
          <w:left w:w="90" w:type="dxa"/>
          <w:right w:w="90" w:type="dxa"/>
        </w:tblCellMar>
        <w:tblLayout w:type="fixed"/>
      </w:tblPr>
      <w:tblGrid>
        <w:gridCol w:w="2608"/>
        <w:gridCol w:w="964"/>
        <w:gridCol w:w="964"/>
        <w:gridCol w:w="964"/>
        <w:gridCol w:w="964"/>
        <w:gridCol w:w="964"/>
        <w:gridCol w:w="964"/>
        <w:gridCol w:w="964"/>
      </w:tblGrid>
      <w:tr>
        <w:trPr>
          <w:cantSplit w:val="true"/>
          <w:tblHeader w:val="true"/>
        </w:trPr>
        <w:tc>
          <w:tcPr>
            <w:tcW w:type="dxa" w:w="2608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2021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2022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2023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2024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2025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25H1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26H1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铁路营业收入（亿美元）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225.1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252.0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234.7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233.6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233.5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114.0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125.2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铁路营业费用（亿美元）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137.0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166.0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160.6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158.9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152.9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75.7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82.0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运营比率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60.9%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65.9%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68.4%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68.0%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65.5%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66.4%</w:t>
            </w:r>
          </w:p>
        </w:tc>
        <w:tc>
          <w:tcPr>
            <w:tcW w:type="dxa" w:w="96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65.5%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税后利润（亿美元）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59.9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59.5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50.9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50.3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54.8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26.8</w:t>
            </w:r>
          </w:p>
        </w:tc>
        <w:tc>
          <w:tcPr>
            <w:tcW w:type="dxa" w:w="96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29.4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货运量（千车/箱）</w:t>
            </w:r>
          </w:p>
        </w:tc>
        <w:tc>
          <w:tcPr>
            <w:tcW w:type="dxa" w:w="964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10,135</w:t>
            </w:r>
          </w:p>
        </w:tc>
        <w:tc>
          <w:tcPr>
            <w:tcW w:type="dxa" w:w="964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9,549</w:t>
            </w:r>
          </w:p>
        </w:tc>
        <w:tc>
          <w:tcPr>
            <w:tcW w:type="dxa" w:w="964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9,003</w:t>
            </w:r>
          </w:p>
        </w:tc>
        <w:tc>
          <w:tcPr>
            <w:tcW w:type="dxa" w:w="964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9,589</w:t>
            </w:r>
          </w:p>
        </w:tc>
        <w:tc>
          <w:tcPr>
            <w:tcW w:type="dxa" w:w="964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9,622</w:t>
            </w:r>
          </w:p>
        </w:tc>
        <w:tc>
          <w:tcPr>
            <w:tcW w:type="dxa" w:w="964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4,684</w:t>
            </w:r>
          </w:p>
        </w:tc>
        <w:tc>
          <w:tcPr>
            <w:tcW w:type="dxa" w:w="964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4,887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 w:cs="Arial" w:eastAsia="微软雅黑"/>
          <w:b w:val="0"/>
          <w:color w:val="595959"/>
          <w:sz w:val="17"/>
        </w:rPr>
        <w:t>表 5 出处：2023 年年报 MD&amp;A·BNSF（官网 PDF PDF 第67页（页脚 K-43））；2025 年 10-K MD&amp;A（p.K-41）；2026Q2 10-Q MD&amp;A（p.39）。</w:t>
      </w:r>
    </w:p>
    <w:p>
      <w:r>
        <w:rPr>
          <w:rFonts w:ascii="Arial" w:hAnsi="Arial" w:cs="Arial" w:eastAsia="微软雅黑"/>
          <w:b w:val="0"/>
        </w:rPr>
        <w:t>BNSF 的税后利润在 2021—2022 年接近 60 亿美元，2023 年降至 50.9 亿美元（燃油、工资上涨，货运量下降），2025 年回到 54.8 亿美元。运营比率从 2023 年的 68.4% 改善到 2025 年的 65.5%，2026 年上半年为 65.5%（上年同期 66.4%），收入同比增长 +9.8%，其中货运量增长 +4.3%。</w:t>
      </w:r>
    </w:p>
    <w:p>
      <w:r>
        <w:rPr>
          <w:rFonts w:ascii="Arial" w:hAnsi="Arial" w:cs="Arial" w:eastAsia="微软雅黑"/>
          <w:b w:val="0"/>
        </w:rPr>
        <w:t>阿贝尔在信中对 BNSF 的评价相当直接：营业利润率（运营比率的反面）2025 年改善到 34.5%，但“与行业最佳的差距仍然太大”；利润率每提高 1 个百分点，约可为股东增加 2.3 亿美元经营现金流。2025 年 BNSF 产生 81 亿美元经营现金流、向伯克希尔分红 44 亿美元。对于东部的联合太平洋—诺福克南方合并案，伯克希尔表示无意收购另一家一级铁路公司，关注点是保住 BNSF 进入东部市场的竞争性通道。</w:t>
      </w:r>
    </w:p>
    <w:p>
      <w:pPr>
        <w:pStyle w:val="Heading2"/>
      </w:pPr>
      <w:r>
        <w:t>能源 BHE：山火与税收抵免两条线</w:t>
      </w:r>
    </w:p>
    <w:tbl>
      <w:tblPr>
        <w:tblStyle w:val="TableGrid"/>
        <w:tblW w:type="dxa" w:w="9412"/>
        <w:jc w:val="center"/>
        <w:tblLook w:firstColumn="1" w:firstRow="1" w:lastColumn="0" w:lastRow="0" w:noHBand="0" w:noVBand="1" w:val="04A0"/>
        <w:tblLayout w:type="fixed"/>
        <w:tblCellMar>
          <w:top w:w="60" w:type="dxa"/>
          <w:bottom w:w="60" w:type="dxa"/>
          <w:left w:w="90" w:type="dxa"/>
          <w:right w:w="90" w:type="dxa"/>
        </w:tblCellMar>
        <w:tblLayout w:type="fixed"/>
      </w:tblPr>
      <w:tblGrid>
        <w:gridCol w:w="3742"/>
        <w:gridCol w:w="1134"/>
        <w:gridCol w:w="1134"/>
        <w:gridCol w:w="1134"/>
        <w:gridCol w:w="1134"/>
        <w:gridCol w:w="1134"/>
      </w:tblGrid>
      <w:tr>
        <w:trPr>
          <w:cantSplit w:val="true"/>
          <w:tblHeader w:val="true"/>
        </w:trPr>
        <w:tc>
          <w:tcPr>
            <w:tcW w:type="dxa" w:w="3742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亿美元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2023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2024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2025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25H1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26H1</w:t>
            </w:r>
          </w:p>
        </w:tc>
      </w:tr>
      <w:tr>
        <w:trPr>
          <w:cantSplit w:val="true"/>
        </w:trPr>
        <w:tc>
          <w:tcPr>
            <w:tcW w:type="dxa" w:w="3742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美国公用事业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9.1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19.6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21.0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8.6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9.6</w:t>
            </w:r>
          </w:p>
        </w:tc>
      </w:tr>
      <w:tr>
        <w:trPr>
          <w:cantSplit w:val="true"/>
        </w:trPr>
        <w:tc>
          <w:tcPr>
            <w:tcW w:type="dxa" w:w="374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天然气管道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10.8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12.3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11.5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6.7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8.5</w:t>
            </w:r>
          </w:p>
        </w:tc>
      </w:tr>
      <w:tr>
        <w:trPr>
          <w:cantSplit w:val="true"/>
        </w:trPr>
        <w:tc>
          <w:tcPr>
            <w:tcW w:type="dxa" w:w="3742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其他能源业务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10.2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13.3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11.8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6.5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5.5</w:t>
            </w:r>
          </w:p>
        </w:tc>
      </w:tr>
      <w:tr>
        <w:trPr>
          <w:cantSplit w:val="true"/>
        </w:trPr>
        <w:tc>
          <w:tcPr>
            <w:tcW w:type="dxa" w:w="374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房地产经纪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0.1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-1.1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0.2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0.3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0.1</w:t>
            </w:r>
          </w:p>
        </w:tc>
      </w:tr>
      <w:tr>
        <w:trPr>
          <w:cantSplit w:val="true"/>
        </w:trPr>
        <w:tc>
          <w:tcPr>
            <w:tcW w:type="dxa" w:w="3742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BHE 公司层面利息及其他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-4.1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-3.9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-4.7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-4.1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-3.5</w:t>
            </w:r>
          </w:p>
        </w:tc>
      </w:tr>
      <w:tr>
        <w:trPr>
          <w:cantSplit w:val="true"/>
        </w:trPr>
        <w:tc>
          <w:tcPr>
            <w:tcW w:type="dxa" w:w="374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归属 BHE 的税后利润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26.1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40.3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39.8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18.0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20.1</w:t>
            </w:r>
          </w:p>
        </w:tc>
      </w:tr>
      <w:tr>
        <w:trPr>
          <w:cantSplit w:val="true"/>
        </w:trPr>
        <w:tc>
          <w:tcPr>
            <w:tcW w:type="dxa" w:w="3742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归属伯克希尔股东的税后利润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23.3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37.3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39.8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18.0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/>
                <w:sz w:val="16"/>
              </w:rPr>
              <w:t>20.1</w:t>
            </w:r>
          </w:p>
        </w:tc>
      </w:tr>
      <w:tr>
        <w:trPr>
          <w:cantSplit w:val="true"/>
        </w:trPr>
        <w:tc>
          <w:tcPr>
            <w:tcW w:type="dxa" w:w="3742"/>
            <w:vAlign w:val="center"/>
            <w:shd w:val="clear" w:color="auto" w:fill="F2F5F9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PacifiCorp 山火损失计提（税前）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17.0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3.5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1.0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—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 w:cs="Arial" w:eastAsia="微软雅黑"/>
          <w:b w:val="0"/>
          <w:color w:val="595959"/>
          <w:sz w:val="17"/>
        </w:rPr>
        <w:t>表 6 出处：2025 年 10-K MD&amp;A·BHE（p.K-44、p.K-45）；2026Q2 10-Q MD&amp;A·BHE（p.41）。</w:t>
      </w:r>
    </w:p>
    <w:p>
      <w:r>
        <w:rPr>
          <w:rFonts w:ascii="Arial" w:hAnsi="Arial" w:cs="Arial" w:eastAsia="微软雅黑"/>
          <w:b w:val="0"/>
        </w:rPr>
        <w:t>BHE 的利润波动主要来自 PacifiCorp 的山火计提：2023 年税前计提约 17 亿美元，归属伯克希尔的税后利润只有 23.3 亿美元；计提在 2024、2025 年降至 3.46 亿和 1.0 亿美元后，利润回到 37.3 亿和 39.8 亿美元。2026 年上半年 20.1 亿美元，同比 +11.5%，美国公用事业与天然气管道增长，英国配电业务（Northern Powergrid）因监管电价调整而下滑。</w:t>
      </w:r>
    </w:p>
    <w:p>
      <w:r>
        <w:rPr>
          <w:rFonts w:ascii="Arial" w:hAnsi="Arial" w:cs="Arial" w:eastAsia="微软雅黑"/>
          <w:b w:val="0"/>
        </w:rPr>
        <w:t>风险并没有消失。截至 2026 年 6 月末，PacifiCorp 对 2020、2022 年山火累计估计的可能损失约 28.5 亿美元，已支付和解金约 23 亿美元，未付负债估计 5.72 亿美元；俄勒冈 James 集体诉讼的历次陪审团裁决已判给 201 名原告约 12.5 亿美元（PacifiCorp 正在上诉）。10-Q 写明，PacifiCorp“合理可能”产生超出已计提金额的重大额外损失，且目前无法估计区间。另一条线是税收：BHE 大量依赖风电生产税收抵免（2025 年实际所得税率为 −76.2%），2025 年 7 月通过的《大而美法案》（OBBBA）加速了清洁电力抵免的退坡；同时人工智能数据中心带来的用电需求，正推动行业进入大规模投资周期——阿贝尔强调，这些投资应由数据中心客户承担、并以监管契约的正常运转为前提。BHE 2026 年 6 月末借款约 618 亿美元，伯克希尔不为其担保。</w:t>
      </w:r>
    </w:p>
    <w:p>
      <w:pPr>
        <w:pStyle w:val="Heading2"/>
      </w:pPr>
      <w:r>
        <w:t>制造、服务与零售：并购让这一块更重</w:t>
      </w:r>
    </w:p>
    <w:p>
      <w:r>
        <w:rPr>
          <w:rFonts w:ascii="Arial" w:hAnsi="Arial" w:cs="Arial" w:eastAsia="微软雅黑"/>
          <w:b w:val="0"/>
        </w:rPr>
        <w:t>这一板块是伯克希尔最大的利润来源（2025 年税后 136.5 亿美元）。交班后的两笔收购都落在这里：OxyChem（氯碱等基础化工，交由路博润 CEO 一并管理）和 Taylor Morrison（住宅开发，三季度起并入建筑产品组）。2025 年阿贝尔还点名了需要改进的业务（如地毯业务 Shaw）并调整了管理架构（亚当·约翰逊统管消费品、服务与零售的 32 家公司）。2025 年计提商誉减值 15.6 亿美元，提示部分老收购的价值在缩水。</w:t>
      </w:r>
    </w:p>
    <w:p>
      <w:pPr>
        <w:pStyle w:val="Heading1"/>
      </w:pPr>
      <w:r>
        <w:t>五、回购与每股账面价值</w:t>
      </w:r>
    </w:p>
    <w:tbl>
      <w:tblPr>
        <w:tblStyle w:val="TableGrid"/>
        <w:tblW w:type="dxa" w:w="9412"/>
        <w:jc w:val="center"/>
        <w:tblLook w:firstColumn="1" w:firstRow="1" w:lastColumn="0" w:lastRow="0" w:noHBand="0" w:noVBand="1" w:val="04A0"/>
        <w:tblLayout w:type="fixed"/>
        <w:tblCellMar>
          <w:top w:w="60" w:type="dxa"/>
          <w:bottom w:w="60" w:type="dxa"/>
          <w:left w:w="90" w:type="dxa"/>
          <w:right w:w="90" w:type="dxa"/>
        </w:tblCellMar>
        <w:tblLayout w:type="fixed"/>
      </w:tblPr>
      <w:tblGrid>
        <w:gridCol w:w="2608"/>
        <w:gridCol w:w="1134"/>
        <w:gridCol w:w="1134"/>
        <w:gridCol w:w="1134"/>
        <w:gridCol w:w="1134"/>
        <w:gridCol w:w="1134"/>
        <w:gridCol w:w="1134"/>
      </w:tblGrid>
      <w:tr>
        <w:trPr>
          <w:cantSplit w:val="true"/>
          <w:tblHeader w:val="true"/>
        </w:trPr>
        <w:tc>
          <w:tcPr>
            <w:tcW w:type="dxa" w:w="2608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2021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2022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2023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2024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2025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2026H1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回购金额（亿美元）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269.4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80.3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89.8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29.2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0.0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47.6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回购 ÷ 经营利润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97.6%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26.0%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24.0%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6.2%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0.0%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19.6%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A 类等值股数（期末）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1,477,429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1,459,733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1,441,483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1,438,223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1,438,223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1,431,693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每股账面价值（美元，A 类）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339,487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324,322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389,372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451,507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498,823</w:t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522,396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每股账面价值变化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-4.5%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+20.1%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+16.0%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+10.5%</w:t>
            </w:r>
          </w:p>
        </w:tc>
        <w:tc>
          <w:tcPr>
            <w:tcW w:type="dxa" w:w="1134"/>
            <w:vAlign w:val="center"/>
          </w:tcPr>
          <w:p>
            <w:pPr>
              <w:spacing w:after="0" w:line="264" w:lineRule="auto"/>
              <w:jc w:val="righ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+4.7%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Arial" w:hAnsi="Arial" w:cs="Arial" w:eastAsia="微软雅黑"/>
          <w:b w:val="0"/>
          <w:color w:val="595959"/>
          <w:sz w:val="17"/>
        </w:rPr>
        <w:t>表 7 出处：回购金额为合并股东权益变动表“Acquisition(s) of common stock”（2023 年年报 PDF 第97页（页脚 K-73）；2025 年 10-K p.K-69；10-Q p.6）；股数见附注 Common stock；每股账面价值 = 伯克希尔股东权益 ÷ A 类等值股（Excel 公式）。2021 年末股东权益为 LDTI 追溯调整后数字。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0174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buyba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1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hAnsi="Arial" w:cs="Arial" w:eastAsia="微软雅黑"/>
          <w:b/>
          <w:color w:val="1F3864"/>
          <w:sz w:val="18"/>
        </w:rPr>
        <w:t>图 5  回购金额与每股账面价值</w:t>
      </w:r>
    </w:p>
    <w:p>
      <w:pPr>
        <w:spacing w:after="160"/>
        <w:jc w:val="center"/>
      </w:pPr>
      <w:r>
        <w:rPr>
          <w:rFonts w:ascii="Arial" w:hAnsi="Arial" w:cs="Arial" w:eastAsia="微软雅黑"/>
          <w:b w:val="0"/>
          <w:color w:val="595959"/>
          <w:sz w:val="17"/>
        </w:rPr>
        <w:t>数据：《伯克希尔账本.xlsx》“回购与每股账面”表。</w:t>
      </w:r>
    </w:p>
    <w:p>
      <w:r>
        <w:rPr>
          <w:rFonts w:ascii="Arial" w:hAnsi="Arial" w:cs="Arial" w:eastAsia="微软雅黑"/>
          <w:b w:val="0"/>
        </w:rPr>
        <w:t>2021 年伯克希尔回购了 269.4 亿美元，几乎相当于当年经营利润（97.6%）；此后逐年减少，2024 年回购 29.2 亿美元，2025 年全年为零。交班后回购重启：2026 年一季度 2.35 亿美元、二季度 45.27 亿美元，上半年合计 47.6 亿美元，约为同期经营利润的 19.6%。A 类等值股数从 2021 年末的 1,477,429 股降到 2026 年 6 月末的 1,431,693 股（-3.1%）。</w:t>
      </w:r>
    </w:p>
    <w:p>
      <w:r>
        <w:rPr>
          <w:rFonts w:ascii="Arial" w:hAnsi="Arial" w:cs="Arial" w:eastAsia="微软雅黑"/>
          <w:b w:val="0"/>
        </w:rPr>
        <w:t>每股账面价值在 2022 年因股市下跌而回落 -4.5%，之后连续增长，2025 年末为 498,823 美元，2026 年 6 月末为 522,396 美元。需要说明两点：其一，巴菲特在 2018 年致股东信中宣布不再以每股账面价值的年度变化作为开篇指标，理由是：伯克希尔的价值越来越多来自经营性子公司，而会计规则下这些子公司的入账价值远低于其当前价值，股票却按市价入账；再加上高于账面、低于内在价值的回购会压低每股账面价值，这一指标已与经济现实渐行渐远；其二，上半年回购的平均成本约为每 A 类等值股 729,164 美元，约为 6 月末每股账面价值的 1.40 倍——这只是描述回购执行价与账面价值的关系（近似计算），不代表对股价高低的任何判断。</w:t>
      </w:r>
    </w:p>
    <w:p>
      <w:pPr>
        <w:pStyle w:val="Heading1"/>
      </w:pPr>
      <w:r>
        <w:t>六、接下来值得关注的问题</w:t>
      </w:r>
    </w:p>
    <w:p>
      <w:r>
        <w:rPr>
          <w:rFonts w:ascii="Arial" w:hAnsi="Arial" w:cs="Arial" w:eastAsia="微软雅黑"/>
          <w:b w:val="0"/>
        </w:rPr>
        <w:t>以下问题来自对账本的观察，用来跟踪今后的披露；它们不是对股价的判断，也不构成任何投资建议。</w:t>
      </w:r>
    </w:p>
    <w:p>
      <w:pPr>
        <w:spacing w:after="40"/>
      </w:pPr>
      <w:r>
        <w:rPr>
          <w:rFonts w:ascii="Arial" w:hAnsi="Arial" w:cs="Arial" w:eastAsia="微软雅黑"/>
          <w:b/>
          <w:color w:val="1F3864"/>
          <w:sz w:val="21"/>
        </w:rPr>
        <w:t>1. 三千多亿美元的现金怎么用？</w:t>
      </w:r>
    </w:p>
    <w:p>
      <w:pPr>
        <w:spacing w:after="160"/>
      </w:pPr>
      <w:r>
        <w:rPr>
          <w:rFonts w:ascii="Arial" w:hAnsi="Arial" w:cs="Arial" w:eastAsia="微软雅黑"/>
          <w:b w:val="0"/>
        </w:rPr>
        <w:t>交班后已出现大额并购（OxyChem 94 亿、Taylor Morrison 68 亿美元）、回购重启和半年度净买入股票。值得跟踪的是：并购是否继续偏向“全资控股 + 运营改善”的路径、回购的节奏，以及现金占总资产的比例（2025 年末 30.5%）如何变化。观察指标：季度现金流量表的收购、股票买卖与回购项；10-Q“Financial Condition”中的现金及国债余额。</w:t>
      </w:r>
    </w:p>
    <w:p>
      <w:pPr>
        <w:spacing w:after="40"/>
      </w:pPr>
      <w:r>
        <w:rPr>
          <w:rFonts w:ascii="Arial" w:hAnsi="Arial" w:cs="Arial" w:eastAsia="微软雅黑"/>
          <w:b/>
          <w:color w:val="1F3864"/>
          <w:sz w:val="21"/>
        </w:rPr>
        <w:t>2. 承保周期转软，承保利润还能维持多高？</w:t>
      </w:r>
    </w:p>
    <w:p>
      <w:pPr>
        <w:spacing w:after="160"/>
      </w:pPr>
      <w:r>
        <w:rPr>
          <w:rFonts w:ascii="Arial" w:hAnsi="Arial" w:cs="Arial" w:eastAsia="微软雅黑"/>
          <w:b w:val="0"/>
        </w:rPr>
        <w:t>2023—2025 年是承保的高峰期。GEICO 2026 上半年综合成本率升至 89.3%，财产险与再保险价格下行，公司已表示会少写业务。观察指标：GEICO 赔付率、费用率和保单数量；再保险保费；巨灾损失；浮存金增速。</w:t>
      </w:r>
    </w:p>
    <w:p>
      <w:pPr>
        <w:spacing w:after="40"/>
      </w:pPr>
      <w:r>
        <w:rPr>
          <w:rFonts w:ascii="Arial" w:hAnsi="Arial" w:cs="Arial" w:eastAsia="微软雅黑"/>
          <w:b/>
          <w:color w:val="1F3864"/>
          <w:sz w:val="21"/>
        </w:rPr>
        <w:t>3. 利率下行对投资收益的拖累有多大？</w:t>
      </w:r>
    </w:p>
    <w:p>
      <w:pPr>
        <w:spacing w:after="160"/>
      </w:pPr>
      <w:r>
        <w:rPr>
          <w:rFonts w:ascii="Arial" w:hAnsi="Arial" w:cs="Arial" w:eastAsia="微软雅黑"/>
          <w:b w:val="0"/>
        </w:rPr>
        <w:t>保险投资收益 2026 上半年同比 -8.3%。按本备忘录的示意性假设，短期利率每下降 1 个百分点，年化税后利息收入约减少 28.4 亿美元。观察指标：利息收入、国债余额与短期利率。</w:t>
      </w:r>
    </w:p>
    <w:p>
      <w:pPr>
        <w:spacing w:after="40"/>
      </w:pPr>
      <w:r>
        <w:rPr>
          <w:rFonts w:ascii="Arial" w:hAnsi="Arial" w:cs="Arial" w:eastAsia="微软雅黑"/>
          <w:b/>
          <w:color w:val="1F3864"/>
          <w:sz w:val="21"/>
        </w:rPr>
        <w:t>4. BHE 的山火与政策风险如何演变？</w:t>
      </w:r>
    </w:p>
    <w:p>
      <w:pPr>
        <w:spacing w:after="160"/>
      </w:pPr>
      <w:r>
        <w:rPr>
          <w:rFonts w:ascii="Arial" w:hAnsi="Arial" w:cs="Arial" w:eastAsia="微软雅黑"/>
          <w:b w:val="0"/>
        </w:rPr>
        <w:t>关注 PacifiCorp 山火诉讼（James 案上诉）、累计损失估计与未付负债的变化；各州监管机构的费率与风险分担安排；OBBBA 下税收抵免退坡对 BHE 利润和资本开支的影响；数据中心需求带来的新投资及其回报机制。</w:t>
      </w:r>
    </w:p>
    <w:p>
      <w:pPr>
        <w:spacing w:after="40"/>
      </w:pPr>
      <w:r>
        <w:rPr>
          <w:rFonts w:ascii="Arial" w:hAnsi="Arial" w:cs="Arial" w:eastAsia="微软雅黑"/>
          <w:b/>
          <w:color w:val="1F3864"/>
          <w:sz w:val="21"/>
        </w:rPr>
        <w:t>5. BNSF 能否缩小与同业的效率差距？</w:t>
      </w:r>
    </w:p>
    <w:p>
      <w:pPr>
        <w:spacing w:after="160"/>
      </w:pPr>
      <w:r>
        <w:rPr>
          <w:rFonts w:ascii="Arial" w:hAnsi="Arial" w:cs="Arial" w:eastAsia="微软雅黑"/>
          <w:b w:val="0"/>
        </w:rPr>
        <w:t>运营比率从 2023 年 68.4% 改善到 2025 年 65.5%，管理层设定了“未来几年大幅改善”的目标。观察指标：运营比率、单位收入、货运量（尤其是多式联运和煤炭），以及东部铁路合并对竞争格局的影响。</w:t>
      </w:r>
    </w:p>
    <w:p>
      <w:pPr>
        <w:spacing w:after="40"/>
      </w:pPr>
      <w:r>
        <w:rPr>
          <w:rFonts w:ascii="Arial" w:hAnsi="Arial" w:cs="Arial" w:eastAsia="微软雅黑"/>
          <w:b/>
          <w:color w:val="1F3864"/>
          <w:sz w:val="21"/>
        </w:rPr>
        <w:t>6. 股票组合的“新重心”会走多远？</w:t>
      </w:r>
    </w:p>
    <w:p>
      <w:pPr>
        <w:spacing w:after="160"/>
      </w:pPr>
      <w:r>
        <w:rPr>
          <w:rFonts w:ascii="Arial" w:hAnsi="Arial" w:cs="Arial" w:eastAsia="微软雅黑"/>
          <w:b w:val="0"/>
        </w:rPr>
        <w:t>前五大集中度 66%，“商业、工业及其他”占比升至 39.8%。核心持仓之外“更灵活”的头寸如何调整，日本五大商社的持股是否继续上升，以及卡夫亨氏等权益法投资是否还需减值，都值得跟踪。观察指标：附注中的行业分布与前五大名单、13F 申报、权益法投资的账面价值与市值对比。</w:t>
      </w:r>
    </w:p>
    <w:p>
      <w:pPr>
        <w:spacing w:after="40"/>
      </w:pPr>
      <w:r>
        <w:rPr>
          <w:rFonts w:ascii="Arial" w:hAnsi="Arial" w:cs="Arial" w:eastAsia="微软雅黑"/>
          <w:b/>
          <w:color w:val="1F3864"/>
          <w:sz w:val="21"/>
        </w:rPr>
        <w:t>7. “新团队”如何运转？</w:t>
      </w:r>
    </w:p>
    <w:p>
      <w:pPr>
        <w:spacing w:after="160"/>
      </w:pPr>
      <w:r>
        <w:rPr>
          <w:rFonts w:ascii="Arial" w:hAnsi="Arial" w:cs="Arial" w:eastAsia="微软雅黑"/>
          <w:b w:val="0"/>
        </w:rPr>
        <w:t>CFO 已于 6 月交接，投资管理分工调整，新设总法律顾问；巴菲特所持股份将在其身后约十年内全部用于慈善。观察指标：年度股东信与股东大会的沟通方式、董事会构成、关键经理人的变动。</w:t>
      </w:r>
    </w:p>
    <w:p>
      <w:pPr>
        <w:spacing w:after="40"/>
      </w:pPr>
      <w:r>
        <w:rPr>
          <w:rFonts w:ascii="Arial" w:hAnsi="Arial" w:cs="Arial" w:eastAsia="微软雅黑"/>
          <w:b/>
          <w:color w:val="1F3864"/>
          <w:sz w:val="21"/>
        </w:rPr>
        <w:t>8. 读数时的“噪音”从哪里来？</w:t>
      </w:r>
    </w:p>
    <w:p>
      <w:pPr>
        <w:spacing w:after="160"/>
      </w:pPr>
      <w:r>
        <w:rPr>
          <w:rFonts w:ascii="Arial" w:hAnsi="Arial" w:cs="Arial" w:eastAsia="微软雅黑"/>
          <w:b w:val="0"/>
        </w:rPr>
        <w:t>净利润受未实现投资收益主导，“其他”受日元等外币债务的汇兑影响，2021—2022 年数据有 LDTI 追溯调整。用经营利润、分板块数据和现金流来观察，噪音会小得多。</w:t>
      </w:r>
    </w:p>
    <w:p>
      <w:pPr>
        <w:pStyle w:val="Heading1"/>
      </w:pPr>
      <w:r>
        <w:t>附录 A：口径与方法</w:t>
      </w:r>
    </w:p>
    <w:p>
      <w:pPr>
        <w:pStyle w:val="ListBullet"/>
        <w:spacing w:after="60"/>
      </w:pPr>
      <w:r>
        <w:rPr>
          <w:rFonts w:ascii="Arial" w:hAnsi="Arial" w:cs="Arial" w:eastAsia="微软雅黑"/>
          <w:b w:val="0"/>
        </w:rPr>
        <w:t>金额单位：正文与表格以亿美元为主（Excel 中为百万美元，1 亿美元 = 100 百万美元），每股数据为美元。</w:t>
      </w:r>
    </w:p>
    <w:p>
      <w:pPr>
        <w:pStyle w:val="ListBullet"/>
        <w:spacing w:after="60"/>
      </w:pPr>
      <w:r>
        <w:rPr>
          <w:rFonts w:ascii="Arial" w:hAnsi="Arial" w:cs="Arial" w:eastAsia="微软雅黑"/>
          <w:b w:val="0"/>
        </w:rPr>
        <w:t>分部利润：采用 2025 年 10-K MD&amp;A 的六项分解（保险承保、保险投资收益、BNSF、BHE、制造服务零售、其他），均为税后、归属伯克希尔股东。2021—2022 年取自 2023 年年报（伯克希尔官网 PDF，访问日期 2026-10-22），该口径已按 LDTI 准则追溯调整；其“非控股企业”与“其他”两行合并为“其他”，与 2025 年报口径一致；Pilot 自 2023 年起并入制造服务零售。</w:t>
      </w:r>
    </w:p>
    <w:p>
      <w:pPr>
        <w:pStyle w:val="ListBullet"/>
        <w:spacing w:after="60"/>
      </w:pPr>
      <w:r>
        <w:rPr>
          <w:rFonts w:ascii="Arial" w:hAnsi="Arial" w:cs="Arial" w:eastAsia="微软雅黑"/>
          <w:b w:val="0"/>
        </w:rPr>
        <w:t>经营利润 = 归属股东净利润 − 投资收益（亏损）− 权益法投资非暂时性减值；各年合计与公司在股东信、业绩公告中披露的数字一致（Excel“核对”表）。</w:t>
      </w:r>
    </w:p>
    <w:p>
      <w:pPr>
        <w:pStyle w:val="ListBullet"/>
        <w:spacing w:after="60"/>
      </w:pPr>
      <w:r>
        <w:rPr>
          <w:rFonts w:ascii="Arial" w:hAnsi="Arial" w:cs="Arial" w:eastAsia="微软雅黑"/>
          <w:b w:val="0"/>
        </w:rPr>
        <w:t>现金及短期国债：保险及其他业务的“现金及等价物 + 短期国债 − 待付国债款”，与公司 MD&amp;A“Financial Condition”的披露口径一致；合并口径另加铁路、公用事业与能源板块的现金。2021—2023 年末“待付国债款”未单列，按 0 处理（假设）。</w:t>
      </w:r>
    </w:p>
    <w:p>
      <w:pPr>
        <w:pStyle w:val="ListBullet"/>
        <w:spacing w:after="60"/>
      </w:pPr>
      <w:r>
        <w:rPr>
          <w:rFonts w:ascii="Arial" w:hAnsi="Arial" w:cs="Arial" w:eastAsia="微软雅黑"/>
          <w:b w:val="0"/>
        </w:rPr>
        <w:t>每股账面价值 = 伯克希尔股东权益 ÷ A 类等值股；A 类等值股 = A 类股 + B 类股 ÷ 1,500。2021 年末股东权益采用 LDTI 调整后的 5,015.68 亿美元（原始披露为 5,061.99 亿美元）。</w:t>
      </w:r>
    </w:p>
    <w:p>
      <w:pPr>
        <w:pStyle w:val="ListBullet"/>
        <w:spacing w:after="60"/>
      </w:pPr>
      <w:r>
        <w:rPr>
          <w:rFonts w:ascii="Arial" w:hAnsi="Arial" w:cs="Arial" w:eastAsia="微软雅黑"/>
          <w:b w:val="0"/>
        </w:rPr>
        <w:t>假设与估算（均在 Excel 中标为黄色/橙色，可修改）：2021—2023 年待付国债款为 0；利率敏感度中的利率变动（−1 个百分点）与税率（21%）；“回购均价 ÷ 期末每股账面价值”用期末数近似；“前五大合计金额”按四舍五入的披露比例推算。以上均非公司披露的事实。</w:t>
      </w:r>
    </w:p>
    <w:p>
      <w:pPr>
        <w:pStyle w:val="Heading1"/>
      </w:pPr>
      <w:r>
        <w:t>附录 B：关键数字出处</w:t>
      </w:r>
    </w:p>
    <w:tbl>
      <w:tblPr>
        <w:tblStyle w:val="TableGrid"/>
        <w:tblW w:type="dxa" w:w="9411"/>
        <w:jc w:val="center"/>
        <w:tblLook w:firstColumn="1" w:firstRow="1" w:lastColumn="0" w:lastRow="0" w:noHBand="0" w:noVBand="1" w:val="04A0"/>
        <w:tblLayout w:type="fixed"/>
        <w:tblCellMar>
          <w:top w:w="60" w:type="dxa"/>
          <w:bottom w:w="60" w:type="dxa"/>
          <w:left w:w="90" w:type="dxa"/>
          <w:right w:w="90" w:type="dxa"/>
        </w:tblCellMar>
        <w:tblLayout w:type="fixed"/>
      </w:tblPr>
      <w:tblGrid>
        <w:gridCol w:w="2268"/>
        <w:gridCol w:w="2041"/>
        <w:gridCol w:w="5102"/>
      </w:tblGrid>
      <w:tr>
        <w:trPr>
          <w:cantSplit w:val="true"/>
          <w:tblHeader w:val="true"/>
        </w:trPr>
        <w:tc>
          <w:tcPr>
            <w:tcW w:type="dxa" w:w="2268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数字</w:t>
            </w:r>
          </w:p>
        </w:tc>
        <w:tc>
          <w:tcPr>
            <w:tcW w:type="dxa" w:w="2041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数值</w:t>
            </w:r>
          </w:p>
        </w:tc>
        <w:tc>
          <w:tcPr>
            <w:tcW w:type="dxa" w:w="5102"/>
            <w:shd w:val="clear" w:color="auto" w:fill="1F3864"/>
            <w:vAlign w:val="center"/>
          </w:tcPr>
          <w:p>
            <w:pPr>
              <w:keepNext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6"/>
              </w:rPr>
              <w:t>出处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2025 年经营利润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444.9 亿美元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2025 年 10-K MD&amp;A 税后利润分解表（p.K-34），六项相加；2025 年致股东信“44.5 billion”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2026 上半年经营利润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243.3 亿美元</w:t>
            </w:r>
          </w:p>
        </w:tc>
        <w:tc>
          <w:tcPr>
            <w:tcW w:type="dxa" w:w="510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2026Q2 业绩公告经营利润分析表；10-Q MD&amp;A p.33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2025 年末 / 2026-06 浮存金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约 1,760 / 1,775 亿美元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2025 年 10-K p.K-41；10-Q p.38；业绩公告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2025 年末现金及国债（净额）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3,690 亿美元</w:t>
            </w:r>
          </w:p>
        </w:tc>
        <w:tc>
          <w:tcPr>
            <w:tcW w:type="dxa" w:w="510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2025 年 10-K 资产负债表（p.K-66）计算；MD&amp;A p.K-55“$369.0 billion”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2026-06 现金及国债（净额）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3,592 亿美元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10-Q 资产负债表 p.2 计算；MD&amp;A p.48“$359.2 billion”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2026-06 股票投资公允价值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3,238 亿美元</w:t>
            </w:r>
          </w:p>
        </w:tc>
        <w:tc>
          <w:tcPr>
            <w:tcW w:type="dxa" w:w="510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10-Q 附注 4（p.9）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2026 上半年回购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47.6 亿美元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10-Q 权益变动表 p.6（一季度 2.35 亿 + 二季度 45.27 亿）；业绩公告“about $4.8 billion”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2026-06 每股账面价值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522,396 美元</w:t>
            </w:r>
          </w:p>
        </w:tc>
        <w:tc>
          <w:tcPr>
            <w:tcW w:type="dxa" w:w="510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10-Q 资产负债表 p.3 与附注 18（p.21），Excel 公式计算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PacifiCorp 山火累计估计损失</w:t>
            </w:r>
          </w:p>
        </w:tc>
        <w:tc>
          <w:tcPr>
            <w:tcW w:type="dxa" w:w="2041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约 28.5 亿美元</w:t>
            </w:r>
          </w:p>
        </w:tc>
        <w:tc>
          <w:tcPr>
            <w:tcW w:type="dxa" w:w="5102"/>
            <w:vAlign w:val="center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10-Q 附注 22（Wildfires）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2021—2022 年分部利润等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见表 1</w:t>
            </w:r>
          </w:p>
        </w:tc>
        <w:tc>
          <w:tcPr>
            <w:tcW w:type="dxa" w:w="5102"/>
            <w:vAlign w:val="center"/>
            <w:shd w:val="clear" w:color="auto" w:fill="F2F5F9"/>
          </w:tcPr>
          <w:p>
            <w:pPr>
              <w:keepNext/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https://www.berkshirehathaway.com/2023ar/2023ar.pdf（访问日期 2026-10-22）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2021 年末现金、股票投资</w:t>
            </w:r>
          </w:p>
        </w:tc>
        <w:tc>
          <w:tcPr>
            <w:tcW w:type="dxa" w:w="2041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见表 2、表 3</w:t>
            </w:r>
          </w:p>
        </w:tc>
        <w:tc>
          <w:tcPr>
            <w:tcW w:type="dxa" w:w="5102"/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Arial" w:hAnsi="Arial" w:cs="Arial" w:eastAsia="微软雅黑"/>
                <w:b w:val="0"/>
                <w:sz w:val="16"/>
              </w:rPr>
              <w:t>https://www.berkshirehathaway.com/2022ar/2022ar.pdf（访问日期 2026-10-22）</w:t>
            </w:r>
          </w:p>
        </w:tc>
      </w:tr>
    </w:tbl>
    <w:p>
      <w:pPr>
        <w:spacing w:after="40"/>
      </w:pPr>
    </w:p>
    <w:p>
      <w:r>
        <w:rPr>
          <w:rFonts w:ascii="Arial" w:hAnsi="Arial" w:cs="Arial" w:eastAsia="微软雅黑"/>
          <w:b w:val="0"/>
          <w:color w:val="595959"/>
          <w:sz w:val="18"/>
        </w:rPr>
        <w:t>Excel 中有出处的输入数字（430 条）均已逐格标注出处，并用脚本逐条核对其确实出现在所引文件的相应位置。</w:t>
      </w:r>
    </w:p>
    <w:p>
      <w:pPr>
        <w:pStyle w:val="Heading2"/>
      </w:pPr>
      <w:r>
        <w:t>免责声明</w:t>
      </w:r>
    </w:p>
    <w:p>
      <w:r>
        <w:rPr>
          <w:rFonts w:ascii="Arial" w:hAnsi="Arial" w:cs="Arial" w:eastAsia="微软雅黑"/>
          <w:b w:val="0"/>
          <w:color w:val="595959"/>
          <w:sz w:val="18"/>
        </w:rPr>
        <w:t>本备忘录仅用于研究和展示，内容为对公开披露信息的整理和分析，不构成任何投资建议，不提供买入、卖出、持有或目标价意见，也不对股票价格高低作出评价。文中假设和估算已明确标注，均不代表公司披露或对未来的预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微软雅黑"/>
        <w:b w:val="0"/>
        <w:color w:val="595959"/>
        <w:sz w:val="16"/>
      </w:rPr>
      <w:t xml:space="preserve">仅供研究与教学，不构成投资建议 · 第 </w:t>
    </w:r>
    <w:fldSimple w:instr="PAGE">
      <w:r>
        <w:t>1</w:t>
      </w:r>
    </w:fldSimple>
    <w:r>
      <w:rPr>
        <w:rFonts w:ascii="Arial" w:hAnsi="Arial" w:cs="Arial" w:eastAsia="微软雅黑"/>
        <w:b w:val="0"/>
        <w:color w:val="59595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cs="Arial" w:eastAsia="微软雅黑"/>
        <w:b w:val="0"/>
        <w:color w:val="595959"/>
        <w:sz w:val="16"/>
      </w:rPr>
      <w:t>交班之后的伯克希尔 · 研究备忘录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31" w:lineRule="auto"/>
    </w:pPr>
    <w:rPr>
      <w:rFonts w:ascii="Arial" w:hAnsi="Arial" w:cs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cs="Arial" w:eastAsia="微软雅黑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cs="Arial" w:eastAsia="微软雅黑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cs="Arial" w:eastAsia="微软雅黑"/>
      <w:b/>
      <w:bCs/>
      <w:color w:val="1F38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 w:cs="Arial" w:eastAsia="微软雅黑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交班之后的伯克希尔：账上发生了什么</dc:title>
  <dc:subject>伯克希尔·哈撒韦研究备忘录</dc:subject>
  <dc:creator>研究员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