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01 / 结论先行</w:t>
      </w:r>
    </w:p>
    <w:p>
      <w:pPr>
        <w:pStyle w:val="Title"/>
      </w:pPr>
      <w:r>
        <w:t>合并将形成“制造＋连接＋算力”集团，核心约束是资本配置</w:t>
      </w:r>
    </w:p>
    <w:p>
      <w:r>
        <w:t>讨论判断：现有材料支持继续开展交易结构与资金需求尽调，但不足以据此认定合并创造财务协同。两家公司合起来仍以汽车业务贡献收入，以卫星连接支撑当季经营利润，并承担快速扩张的算力资本开支。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53950"/>
          </w:tcPr>
          <w:p>
            <w:r>
              <w:rPr>
                <w:b/>
                <w:color w:val="FFFFFF"/>
                <w:sz w:val="18"/>
              </w:rPr>
              <w:t>2026Q3有限备考</w:t>
            </w:r>
          </w:p>
        </w:tc>
        <w:tc>
          <w:tcPr>
            <w:tcW w:type="dxa" w:w="3230"/>
            <w:shd w:fill="153950"/>
          </w:tcPr>
          <w:p>
            <w:r>
              <w:rPr>
                <w:b/>
                <w:color w:val="FFFFFF"/>
                <w:sz w:val="18"/>
              </w:rPr>
              <w:t>十亿美元</w:t>
            </w:r>
          </w:p>
        </w:tc>
        <w:tc>
          <w:tcPr>
            <w:tcW w:type="dxa" w:w="3230"/>
            <w:shd w:fill="153950"/>
          </w:tcPr>
          <w:p>
            <w:r>
              <w:rPr>
                <w:b/>
                <w:color w:val="FFFFFF"/>
                <w:sz w:val="18"/>
              </w:rPr>
              <w:t>讨论含义</w:t>
            </w:r>
          </w:p>
        </w:tc>
      </w:tr>
      <w:tr>
        <w:trPr>
          <w:cantSplit/>
        </w:trPr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营收</w:t>
            </w:r>
          </w:p>
        </w:tc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42.40</w:t>
            </w:r>
          </w:p>
        </w:tc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已扣除0.221内部Megapack销售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经营利润 / 利润率</w:t>
            </w:r>
          </w:p>
        </w:tc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3.46 / 8.2%</w:t>
            </w:r>
          </w:p>
        </w:tc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已扣内部资本化毛利，未计协同</w:t>
            </w:r>
          </w:p>
        </w:tc>
      </w:tr>
      <w:tr>
        <w:trPr>
          <w:cantSplit/>
        </w:trPr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自由现金流</w:t>
            </w:r>
          </w:p>
        </w:tc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-8.43</w:t>
            </w:r>
          </w:p>
        </w:tc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合并不自动填补资金缺口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现金及短期投资 / 有息负债</w:t>
            </w:r>
          </w:p>
        </w:tc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135.30 / 48.37</w:t>
            </w:r>
          </w:p>
        </w:tc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截至9月30日；债务含融资租赁</w:t>
            </w:r>
          </w:p>
        </w:tc>
      </w:tr>
    </w:tbl>
    <w:p>
      <w:pPr>
        <w:pStyle w:val="Heading2"/>
      </w:pPr>
      <w:r>
        <w:t>合并后是什么样的公司</w:t>
      </w:r>
    </w:p>
    <w:p>
      <w:r>
        <w:t>五个正式分部包括Tesla汽车（含服务及其他）、能源发电及储能，以及SpaceX航天、连接、超级智能（SI）。抵销后汽车分部占Q3收入59.4%，SI占17.8%，连接占12.4%，能源占6.3%，航天占4.2%。不能把机器人或Robotaxi单独赋予未披露的收入与利润。</w:t>
      </w:r>
    </w:p>
    <w:p>
      <w:pPr>
        <w:pStyle w:val="Heading2"/>
      </w:pPr>
      <w:r>
        <w:t>财务看点与首要风险</w:t>
      </w:r>
    </w:p>
    <w:p>
      <w:r>
        <w:t>连接业务当季经营利润23.67亿美元，占备考整体约68.4%；SI当季已转为经营盈利，但164.44亿美元资本开支大于75.60亿美元收入。Tesla能源对SpaceX的销售体现产业协作，却是合并后需要抵销的内部交易。</w:t>
      </w:r>
    </w:p>
    <w:p>
      <w:r>
        <w:t>两家公司TTM简单相加营收1,356.13亿美元、经营利润27.98亿美元、自由现金流负358.95亿美元；Q3利润改善不等于过去四季现金创造能力改善。短期资金缓冲较大，但必须逐项核对受限资金、承诺投资、融资约束和项目回报。</w:t>
      </w:r>
    </w:p>
    <w:p>
      <w:pPr>
        <w:pStyle w:val="Heading2"/>
      </w:pPr>
      <w:r>
        <w:t>本次模型的讨论边界</w:t>
      </w:r>
    </w:p>
    <w:p>
      <w:r>
        <w:t>三种定价方法得到0.2812–0.4234股Tesla／每股SpaceX的零溢价换股区间，属于方法敏感性，不是交易建议或估值结论。尚未确定法律及会计收购方，也没有可审核的购买价分摊、完整债务条款或合并协议。</w:t>
      </w:r>
    </w:p>
    <w:p>
      <w:pPr>
        <w:pStyle w:val="Caption"/>
      </w:pPr>
      <w:r>
        <w:t>出处：S3 pp.3–12；T2财务报表及附注13、14；T3 pp.27–31；合并模型「合并备考」「换股比例」。S/T文件全名见第5页。</w:t>
      </w:r>
    </w:p>
    <w:p>
      <w:r>
        <w:br w:type="page"/>
      </w:r>
    </w:p>
    <w:p>
      <w:pPr>
        <w:pStyle w:val="Subtitle"/>
      </w:pPr>
      <w:r>
        <w:t>02 / 业务与现金流</w:t>
      </w:r>
    </w:p>
    <w:p>
      <w:pPr>
        <w:pStyle w:val="Heading1"/>
      </w:pPr>
      <w:r>
        <w:t>收入重心在汽车，利润与投资重心已经分化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53950"/>
          </w:tcPr>
          <w:p>
            <w:r>
              <w:rPr>
                <w:b/>
                <w:color w:val="FFFFFF"/>
                <w:sz w:val="18"/>
              </w:rPr>
              <w:t>Q3业务</w:t>
            </w:r>
          </w:p>
        </w:tc>
        <w:tc>
          <w:tcPr>
            <w:tcW w:type="dxa" w:w="3230"/>
            <w:shd w:fill="153950"/>
          </w:tcPr>
          <w:p>
            <w:r>
              <w:rPr>
                <w:b/>
                <w:color w:val="FFFFFF"/>
                <w:sz w:val="18"/>
              </w:rPr>
              <w:t>外部收入 / 占比</w:t>
            </w:r>
          </w:p>
        </w:tc>
        <w:tc>
          <w:tcPr>
            <w:tcW w:type="dxa" w:w="3230"/>
            <w:shd w:fill="153950"/>
          </w:tcPr>
          <w:p>
            <w:r>
              <w:rPr>
                <w:b/>
                <w:color w:val="FFFFFF"/>
                <w:sz w:val="18"/>
              </w:rPr>
              <w:t>分部利润（十亿美元）</w:t>
            </w:r>
          </w:p>
        </w:tc>
      </w:tr>
      <w:tr>
        <w:trPr>
          <w:cantSplit/>
        </w:trPr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汽车与服务</w:t>
            </w:r>
          </w:p>
        </w:tc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25.16 / 59.4%</w:t>
            </w:r>
          </w:p>
        </w:tc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毛利 4.54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能源与储能</w:t>
            </w:r>
          </w:p>
        </w:tc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2.66 / 6.3%</w:t>
            </w:r>
          </w:p>
        </w:tc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毛利 0.90</w:t>
            </w:r>
          </w:p>
        </w:tc>
      </w:tr>
      <w:tr>
        <w:trPr>
          <w:cantSplit/>
        </w:trPr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航天</w:t>
            </w:r>
          </w:p>
        </w:tc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1.77 / 4.2%</w:t>
            </w:r>
          </w:p>
        </w:tc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经营利润 -0.01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卫星连接</w:t>
            </w:r>
          </w:p>
        </w:tc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5.25 / 12.4%</w:t>
            </w:r>
          </w:p>
        </w:tc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经营利润 2.37</w:t>
            </w:r>
          </w:p>
        </w:tc>
      </w:tr>
      <w:tr>
        <w:trPr>
          <w:cantSplit/>
        </w:trPr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超级智能 SI</w:t>
            </w:r>
          </w:p>
        </w:tc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7.56 / 17.8%</w:t>
            </w:r>
          </w:p>
        </w:tc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经营利润 0.43</w:t>
            </w:r>
          </w:p>
        </w:tc>
      </w:tr>
    </w:tbl>
    <w:p>
      <w:r>
        <w:t>利润不能跨口径直接相加：Tesla汽车与能源披露毛利；SpaceX披露经营利润。汽车毛利45.40亿美元＋能源抵销后毛利9.04亿美元−Tesla总经营费用47.76亿美元＋SpaceX经营利润27.91亿美元＝合并备考经营利润34.59亿美元。</w:t>
      </w:r>
    </w:p>
    <w:p>
      <w:pPr>
        <w:pStyle w:val="Heading2"/>
      </w:pPr>
      <w:r>
        <w:t>现金流：两个现金流分类同时抵销，不能虚增FCF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</w:tblGrid>
      <w:tr>
        <w:tc>
          <w:tcPr>
            <w:tcW w:type="dxa" w:w="2423"/>
            <w:shd w:fill="153950"/>
          </w:tcPr>
          <w:p>
            <w:r>
              <w:rPr>
                <w:b/>
                <w:color w:val="FFFFFF"/>
                <w:sz w:val="18"/>
              </w:rPr>
              <w:t>十亿美元</w:t>
            </w:r>
          </w:p>
        </w:tc>
        <w:tc>
          <w:tcPr>
            <w:tcW w:type="dxa" w:w="2423"/>
            <w:shd w:fill="153950"/>
          </w:tcPr>
          <w:p>
            <w:r>
              <w:rPr>
                <w:b/>
                <w:color w:val="FFFFFF"/>
                <w:sz w:val="18"/>
              </w:rPr>
              <w:t>2026Q3备考</w:t>
            </w:r>
          </w:p>
        </w:tc>
        <w:tc>
          <w:tcPr>
            <w:tcW w:type="dxa" w:w="2423"/>
            <w:shd w:fill="153950"/>
          </w:tcPr>
          <w:p>
            <w:r>
              <w:rPr>
                <w:b/>
                <w:color w:val="FFFFFF"/>
                <w:sz w:val="18"/>
              </w:rPr>
              <w:t>2026前九月备考</w:t>
            </w:r>
          </w:p>
        </w:tc>
        <w:tc>
          <w:tcPr>
            <w:tcW w:type="dxa" w:w="2423"/>
            <w:shd w:fill="153950"/>
          </w:tcPr>
          <w:p>
            <w:r>
              <w:rPr>
                <w:b/>
                <w:color w:val="FFFFFF"/>
                <w:sz w:val="18"/>
              </w:rPr>
              <w:t>TTM简单相加</w:t>
            </w:r>
          </w:p>
        </w:tc>
      </w:tr>
      <w:tr>
        <w:trPr>
          <w:cantSplit/>
        </w:trPr>
        <w:tc>
          <w:tcPr>
            <w:tcW w:type="dxa" w:w="2423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经营现金流</w:t>
            </w:r>
          </w:p>
        </w:tc>
        <w:tc>
          <w:tcPr>
            <w:tcW w:type="dxa" w:w="2423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15.74</w:t>
            </w:r>
          </w:p>
        </w:tc>
        <w:tc>
          <w:tcPr>
            <w:tcW w:type="dxa" w:w="2423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27.51</w:t>
            </w:r>
          </w:p>
        </w:tc>
        <w:tc>
          <w:tcPr>
            <w:tcW w:type="dxa" w:w="2423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34.47</w:t>
            </w:r>
          </w:p>
        </w:tc>
      </w:tr>
      <w:tr>
        <w:trPr>
          <w:cantSplit/>
        </w:trPr>
        <w:tc>
          <w:tcPr>
            <w:tcW w:type="dxa" w:w="2423"/>
          </w:tcPr>
          <w:p>
            <w:pPr>
              <w:spacing w:after="100" w:before="80"/>
            </w:pPr>
            <w:r>
              <w:rPr>
                <w:sz w:val="18"/>
              </w:rPr>
              <w:t>资本开支</w:t>
            </w:r>
          </w:p>
        </w:tc>
        <w:tc>
          <w:tcPr>
            <w:tcW w:type="dxa" w:w="2423"/>
          </w:tcPr>
          <w:p>
            <w:pPr>
              <w:spacing w:after="100" w:before="80"/>
            </w:pPr>
            <w:r>
              <w:rPr>
                <w:sz w:val="18"/>
              </w:rPr>
              <w:t>24.17</w:t>
            </w:r>
          </w:p>
        </w:tc>
        <w:tc>
          <w:tcPr>
            <w:tcW w:type="dxa" w:w="2423"/>
          </w:tcPr>
          <w:p>
            <w:pPr>
              <w:spacing w:after="100" w:before="80"/>
            </w:pPr>
            <w:r>
              <w:rPr>
                <w:sz w:val="18"/>
              </w:rPr>
              <w:t>60.60</w:t>
            </w:r>
          </w:p>
        </w:tc>
        <w:tc>
          <w:tcPr>
            <w:tcW w:type="dxa" w:w="2423"/>
          </w:tcPr>
          <w:p>
            <w:pPr>
              <w:spacing w:after="100" w:before="80"/>
            </w:pPr>
            <w:r>
              <w:rPr>
                <w:sz w:val="18"/>
              </w:rPr>
              <w:t>70.37</w:t>
            </w:r>
          </w:p>
        </w:tc>
      </w:tr>
      <w:tr>
        <w:trPr>
          <w:cantSplit/>
        </w:trPr>
        <w:tc>
          <w:tcPr>
            <w:tcW w:type="dxa" w:w="2423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自由现金流</w:t>
            </w:r>
          </w:p>
        </w:tc>
        <w:tc>
          <w:tcPr>
            <w:tcW w:type="dxa" w:w="2423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-8.43</w:t>
            </w:r>
          </w:p>
        </w:tc>
        <w:tc>
          <w:tcPr>
            <w:tcW w:type="dxa" w:w="2423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-33.09</w:t>
            </w:r>
          </w:p>
        </w:tc>
        <w:tc>
          <w:tcPr>
            <w:tcW w:type="dxa" w:w="2423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-35.90</w:t>
            </w:r>
          </w:p>
        </w:tc>
      </w:tr>
    </w:tbl>
    <w:p>
      <w:r>
        <w:t>第三季度内部资本采购现金按SpaceX关联采购现金流9M的4.80亿美元减6M的3.29亿美元，估计为1.51亿美元。将这一笔同时从经营现金流和资本开支扣除，FCF保持不变。与Tesla当季2.21亿美元销售不相等，需要应计与结算对账。</w:t>
      </w:r>
    </w:p>
    <w:p>
      <w:pPr>
        <w:pStyle w:val="Heading2"/>
      </w:pPr>
      <w:r>
        <w:t>时间可比性与收入质量</w:t>
      </w:r>
    </w:p>
    <w:p>
      <w:r>
        <w:t>SpaceX招股书已把xAI和X的共同控制重组追溯纳入历史数据，不能再将其重复相加。Cursor于8月14日收购，至9月末贡献6.08亿美元收入；历史TTM没有假设其全年并入。SI增长含新云合同及收购，需核实客户集中度、预付款期限与合同履约。</w:t>
      </w:r>
    </w:p>
    <w:p>
      <w:r>
        <w:t>利润质量也需拆开：SpaceX当季净利润44.04亿美元高于经营利润27.91亿美元，包含其他收益净额10.25亿美元及所得税利益3.90亿美元。不能将净利润跳升直接外推为经常性经营盈利。</w:t>
      </w:r>
    </w:p>
    <w:p>
      <w:r>
        <w:t>FCF口径取披露经营现金流减披露资本开支。SpaceX单列资本化利息、频谱等无形资产支出与返利未重新纳入该口径；FCF因此不是所有投资和并购支出的现金预算。不能简单以期末现金除单季消耗得出确定融资期限。</w:t>
      </w:r>
    </w:p>
    <w:p>
      <w:pPr>
        <w:pStyle w:val="Caption"/>
      </w:pPr>
      <w:r>
        <w:t>出处：S1 Note 1、Note 19；S2现金流表及Note 17；S3 pp.3–8、12；T2 Note14；T3 pp.27–31。TTM尚未完整抵销历史关联交易。</w:t>
      </w:r>
    </w:p>
    <w:p>
      <w:r>
        <w:br w:type="page"/>
      </w:r>
    </w:p>
    <w:p>
      <w:pPr>
        <w:pStyle w:val="Subtitle"/>
      </w:pPr>
      <w:r>
        <w:t>03 / 抵销与资产负债表</w:t>
      </w:r>
    </w:p>
    <w:p>
      <w:pPr>
        <w:pStyle w:val="Heading1"/>
      </w:pPr>
      <w:r>
        <w:t>交叉持股要注销，关联交易须按真实对手和资产去向处理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53950"/>
          </w:tcPr>
          <w:p>
            <w:r>
              <w:rPr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3230"/>
            <w:shd w:fill="153950"/>
          </w:tcPr>
          <w:p>
            <w:r>
              <w:rPr>
                <w:b/>
                <w:color w:val="FFFFFF"/>
                <w:sz w:val="18"/>
              </w:rPr>
              <w:t>本期处理</w:t>
            </w:r>
          </w:p>
        </w:tc>
        <w:tc>
          <w:tcPr>
            <w:tcW w:type="dxa" w:w="3230"/>
            <w:shd w:fill="153950"/>
          </w:tcPr>
          <w:p>
            <w:r>
              <w:rPr>
                <w:b/>
                <w:color w:val="FFFFFF"/>
                <w:sz w:val="18"/>
              </w:rPr>
              <w:t>未完成核验</w:t>
            </w:r>
          </w:p>
        </w:tc>
      </w:tr>
      <w:tr>
        <w:trPr>
          <w:cantSplit/>
        </w:trPr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Megapack内部销售</w:t>
            </w:r>
          </w:p>
        </w:tc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Q3抵销收入221、成本171，内部毛利50；9M对应626、478、148（百万美元）</w:t>
            </w:r>
          </w:p>
        </w:tc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资产资本化、投用日期、折旧年限、存量毛利与递延税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Tesla持有SpaceX</w:t>
            </w:r>
          </w:p>
        </w:tc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9月末投资账面2,865抵销；约19百万股不获新股；Q3剔除税后重估损失108</w:t>
            </w:r>
          </w:p>
        </w:tc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3.8百万拆股前股数经5:1调整为估计19；完整证券账户待确认</w:t>
            </w:r>
          </w:p>
        </w:tc>
      </w:tr>
      <w:tr>
        <w:trPr>
          <w:cantSplit/>
        </w:trPr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应收及递延收入</w:t>
            </w:r>
          </w:p>
        </w:tc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应收729含未交货开票588；净额141。递延648扣588后为60</w:t>
            </w:r>
          </w:p>
        </w:tc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需与SpaceX应付/预付逐项核对，不能直接全部抵销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Valor及其他关联方</w:t>
            </w:r>
          </w:p>
        </w:tc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关联债务12,897和相关利息暂保留；不因“关联”而并表</w:t>
            </w:r>
          </w:p>
        </w:tc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Q3关联其他收益561的具体对手与交易性质未充分披露</w:t>
            </w:r>
          </w:p>
        </w:tc>
      </w:tr>
    </w:tbl>
    <w:p>
      <w:pPr>
        <w:pStyle w:val="Heading2"/>
      </w:pPr>
      <w:r>
        <w:t>账面备考桥：不是购买法权益</w:t>
      </w:r>
    </w:p>
    <w:p>
      <w:r>
        <w:t>9月末两家公司归母权益简单相加为2,660.57亿美元，扣除Tesla对SpaceX投资28.65亿美元及2026年已知未实现内部毛利1.48亿美元，有限备考权益为2,630.44亿美元。未扣2025及以前未知内部毛利；未计相应税收利益、折旧回转、商誉/PPA或融资费用。</w:t>
      </w:r>
    </w:p>
    <w:p>
      <w:r>
        <w:t>总资产备考4,085.49亿美元、总负债1,449.05亿美元，另有Tesla非控股权益及可赎回非控股权益6.00亿美元；与归母权益合计勾稽。现金和有息负债保持1,353.02亿美元与483.67亿美元，净现金869.35亿美元。交叉投资不属于现金，因此抵销它不会减少现金。</w:t>
      </w:r>
    </w:p>
    <w:p>
      <w:pPr>
        <w:pStyle w:val="Heading2"/>
      </w:pPr>
      <w:r>
        <w:t>历史交易和合并范围必须对齐</w:t>
      </w:r>
    </w:p>
    <w:p>
      <w:r>
        <w:t>2025年SpaceX披露采购Megapack 506和Cybertruck 131百万美元；Tesla委托书分别披露对SpaceX销售143.3、对xAI销售430.1百万美元，口径与时点并不完全匹配。模型列示差异，没有强行配平，TTM仅简单相加。X广告、飞机及支持服务属于范围内待核对交易；TBC、安保公司和Valor不属于本次合并范围，交易应保留。</w:t>
      </w:r>
    </w:p>
    <w:p>
      <w:pPr>
        <w:pStyle w:val="Caption"/>
      </w:pPr>
      <w:r>
        <w:t>出处：T2附注2、13；T4 Related Person Transactions；S1 Note18、F-61；S2 Note17；S3 pp.9、11–12。所有金额和抵销假设可在模型中追溯。</w:t>
      </w:r>
    </w:p>
    <w:p>
      <w:r>
        <w:br w:type="page"/>
      </w:r>
    </w:p>
    <w:p>
      <w:pPr>
        <w:pStyle w:val="Subtitle"/>
      </w:pPr>
      <w:r>
        <w:t>04 / 换股与治理</w:t>
      </w:r>
    </w:p>
    <w:p>
      <w:pPr>
        <w:pStyle w:val="Heading1"/>
      </w:pPr>
      <w:r>
        <w:t>定价方法改变股东分配，双重身份要求独立谈判</w:t>
      </w:r>
    </w:p>
    <w:p>
      <w:r>
        <w:t>结构假设：Tesla作为法律发行主体，每1股外部SpaceX换r股Tesla；原Tesla股东保留每股1股。Tesla原持约19百万SpaceX股先注销。基础股本为Tesla 3,952.649百万股、SpaceX 13,579百万股；后者披露已取整。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</w:tblGrid>
      <w:tr>
        <w:tc>
          <w:tcPr>
            <w:tcW w:type="dxa" w:w="2423"/>
            <w:shd w:fill="153950"/>
          </w:tcPr>
          <w:p>
            <w:r>
              <w:rPr>
                <w:b/>
                <w:color w:val="FFFFFF"/>
                <w:sz w:val="18"/>
              </w:rPr>
              <w:t>零溢价情景</w:t>
            </w:r>
          </w:p>
        </w:tc>
        <w:tc>
          <w:tcPr>
            <w:tcW w:type="dxa" w:w="2423"/>
            <w:shd w:fill="153950"/>
          </w:tcPr>
          <w:p>
            <w:r>
              <w:rPr>
                <w:b/>
                <w:color w:val="FFFFFF"/>
                <w:sz w:val="18"/>
              </w:rPr>
              <w:t>换股比 r</w:t>
            </w:r>
          </w:p>
        </w:tc>
        <w:tc>
          <w:tcPr>
            <w:tcW w:type="dxa" w:w="2423"/>
            <w:shd w:fill="153950"/>
          </w:tcPr>
          <w:p>
            <w:r>
              <w:rPr>
                <w:b/>
                <w:color w:val="FFFFFF"/>
                <w:sz w:val="18"/>
              </w:rPr>
              <w:t>外部SpaceX / Tesla</w:t>
            </w:r>
          </w:p>
        </w:tc>
        <w:tc>
          <w:tcPr>
            <w:tcW w:type="dxa" w:w="2423"/>
            <w:shd w:fill="153950"/>
          </w:tcPr>
          <w:p>
            <w:r>
              <w:rPr>
                <w:b/>
                <w:color w:val="FFFFFF"/>
                <w:sz w:val="18"/>
              </w:rPr>
              <w:t>Musk合并后</w:t>
            </w:r>
          </w:p>
        </w:tc>
      </w:tr>
      <w:tr>
        <w:trPr>
          <w:cantSplit/>
        </w:trPr>
        <w:tc>
          <w:tcPr>
            <w:tcW w:type="dxa" w:w="2423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10月21日收盘</w:t>
            </w:r>
          </w:p>
        </w:tc>
        <w:tc>
          <w:tcPr>
            <w:tcW w:type="dxa" w:w="2423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0.4122</w:t>
            </w:r>
          </w:p>
        </w:tc>
        <w:tc>
          <w:tcPr>
            <w:tcW w:type="dxa" w:w="2423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58.6% / 41.4%</w:t>
            </w:r>
          </w:p>
        </w:tc>
        <w:tc>
          <w:tcPr>
            <w:tcW w:type="dxa" w:w="2423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33.5%</w:t>
            </w:r>
          </w:p>
        </w:tc>
      </w:tr>
      <w:tr>
        <w:trPr>
          <w:cantSplit/>
        </w:trPr>
        <w:tc>
          <w:tcPr>
            <w:tcW w:type="dxa" w:w="2423"/>
          </w:tcPr>
          <w:p>
            <w:pPr>
              <w:spacing w:after="100" w:before="80"/>
            </w:pPr>
            <w:r>
              <w:rPr>
                <w:sz w:val="18"/>
              </w:rPr>
              <w:t>20日加权近似</w:t>
            </w:r>
          </w:p>
        </w:tc>
        <w:tc>
          <w:tcPr>
            <w:tcW w:type="dxa" w:w="2423"/>
          </w:tcPr>
          <w:p>
            <w:pPr>
              <w:spacing w:after="100" w:before="80"/>
            </w:pPr>
            <w:r>
              <w:rPr>
                <w:sz w:val="18"/>
              </w:rPr>
              <w:t>0.4234</w:t>
            </w:r>
          </w:p>
        </w:tc>
        <w:tc>
          <w:tcPr>
            <w:tcW w:type="dxa" w:w="2423"/>
          </w:tcPr>
          <w:p>
            <w:pPr>
              <w:spacing w:after="100" w:before="80"/>
            </w:pPr>
            <w:r>
              <w:rPr>
                <w:sz w:val="18"/>
              </w:rPr>
              <w:t>59.2% / 40.8%</w:t>
            </w:r>
          </w:p>
        </w:tc>
        <w:tc>
          <w:tcPr>
            <w:tcW w:type="dxa" w:w="2423"/>
          </w:tcPr>
          <w:p>
            <w:pPr>
              <w:spacing w:after="100" w:before="80"/>
            </w:pPr>
            <w:r>
              <w:rPr>
                <w:sz w:val="18"/>
              </w:rPr>
              <w:t>33.7%</w:t>
            </w:r>
          </w:p>
        </w:tc>
      </w:tr>
      <w:tr>
        <w:trPr>
          <w:cantSplit/>
        </w:trPr>
        <w:tc>
          <w:tcPr>
            <w:tcW w:type="dxa" w:w="2423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假设EV/营收</w:t>
            </w:r>
          </w:p>
        </w:tc>
        <w:tc>
          <w:tcPr>
            <w:tcW w:type="dxa" w:w="2423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0.2812</w:t>
            </w:r>
          </w:p>
        </w:tc>
        <w:tc>
          <w:tcPr>
            <w:tcW w:type="dxa" w:w="2423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49.1% / 50.9%</w:t>
            </w:r>
          </w:p>
        </w:tc>
        <w:tc>
          <w:tcPr>
            <w:tcW w:type="dxa" w:w="2423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31.0%</w:t>
            </w:r>
          </w:p>
        </w:tc>
      </w:tr>
    </w:tbl>
    <w:p>
      <w:pPr>
        <w:pStyle w:val="Heading2"/>
      </w:pPr>
      <w:r>
        <w:t>三种方法的含义</w:t>
      </w:r>
    </w:p>
    <w:p>
      <w:r>
        <w:t>收盘法：使用10月21日SPCX 159.31美元、TSLA 386.47美元。20日法：使用9月24日至10月21日日收盘价按日成交量加权，得到156.34与369.24美元，仅为VWAP近似。倍数法：假设SpaceX EV/TTM营收12×、Tesla 4×；以EV加现金减债务，并在Tesla端加回其SpaceX股权同法价值。倍数未作可比公司校准。</w:t>
      </w:r>
    </w:p>
    <w:p>
      <w:pPr>
        <w:pStyle w:val="Heading2"/>
      </w:pPr>
      <w:r>
        <w:t>Musk持股必须统一分子与分母</w:t>
      </w:r>
    </w:p>
    <w:p>
      <w:r>
        <w:t>SpaceX招股书受益持股6,418.548百万股含350百万可行权期权，基础扣除后为6,068.548百万股；假设5月至9月无净变动，对9月期末已发行股份占44.7%。Tesla可支配699.581百万股对全部已发行股份占17.7%；委托书19.8%从分母排除了423.744百万未达标奖励，不能直接套入主情景。两边的限制股均不代表全部已归属。</w:t>
      </w:r>
    </w:p>
    <w:p>
      <w:r>
        <w:t>收盘法合并后Musk占33.5%，较其Tesla口径增加15.8个百分点、较其SpaceX口径减少11.1个百分点。补充情景若SpaceX相关期权全行权，占34.5%；若Tesla已发行未达标奖励全部转为可支配，上界示意38.0%，分母不重复加股。后者未计每股334.09美元抵扣、归属条件或合并触发结果。</w:t>
      </w:r>
    </w:p>
    <w:p>
      <w:r>
        <w:t>SpaceX的IPO后84.4%表决权与经济股份占比不同。合并后多重投票权、激励处理、特别委员会权限和少数股东保护均需协议确认；共同CEO不自动证明两家公司属于同一会计控制主体。</w:t>
      </w:r>
    </w:p>
    <w:p>
      <w:pPr>
        <w:pStyle w:val="Caption"/>
      </w:pPr>
      <w:r>
        <w:t>出处：S1 pp.248–249及脚注1、F-61；T4 Ownership of Securities及脚注2、2025 CEO Performance Award；行情来源Stock Analysis，访问2026-10-22；具体网页见README和模型来源登记。</w:t>
      </w:r>
    </w:p>
    <w:p>
      <w:r>
        <w:br w:type="page"/>
      </w:r>
    </w:p>
    <w:p>
      <w:pPr>
        <w:pStyle w:val="Subtitle"/>
      </w:pPr>
      <w:r>
        <w:t>05 / 核验清单与来源</w:t>
      </w:r>
    </w:p>
    <w:p>
      <w:pPr>
        <w:pStyle w:val="Heading1"/>
      </w:pPr>
      <w:r>
        <w:t>进入交易决策前，先解决五项可改变结论的问题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53950"/>
          </w:tcPr>
          <w:p>
            <w:r>
              <w:rPr>
                <w:b/>
                <w:color w:val="FFFFFF"/>
                <w:sz w:val="18"/>
              </w:rPr>
              <w:t>优先级 / 问题</w:t>
            </w:r>
          </w:p>
        </w:tc>
        <w:tc>
          <w:tcPr>
            <w:tcW w:type="dxa" w:w="3230"/>
            <w:shd w:fill="153950"/>
          </w:tcPr>
          <w:p>
            <w:r>
              <w:rPr>
                <w:b/>
                <w:color w:val="FFFFFF"/>
                <w:sz w:val="18"/>
              </w:rPr>
              <w:t>需要的证据</w:t>
            </w:r>
          </w:p>
        </w:tc>
        <w:tc>
          <w:tcPr>
            <w:tcW w:type="dxa" w:w="3230"/>
            <w:shd w:fill="153950"/>
          </w:tcPr>
          <w:p>
            <w:r>
              <w:rPr>
                <w:b/>
                <w:color w:val="FFFFFF"/>
                <w:sz w:val="18"/>
              </w:rPr>
              <w:t>可能影响</w:t>
            </w:r>
          </w:p>
        </w:tc>
      </w:tr>
      <w:tr>
        <w:trPr>
          <w:cantSplit/>
        </w:trPr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1 现金与承诺</w:t>
            </w:r>
          </w:p>
        </w:tc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逐实体现金、受限/质押清单；借款条款、担保及控制权变更条款；12–24个月资本预算</w:t>
            </w:r>
          </w:p>
        </w:tc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可动用资金、融资缺口、偿债安排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2 交易与持股</w:t>
            </w:r>
          </w:p>
        </w:tc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最新股份登记；Musk股权变动；Tesla持有SpaceX明细；所有期权/限制股及归属条款</w:t>
            </w:r>
          </w:p>
        </w:tc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换股数量、实际稀释与投票权</w:t>
            </w:r>
          </w:p>
        </w:tc>
      </w:tr>
      <w:tr>
        <w:trPr>
          <w:cantSplit/>
        </w:trPr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3 内部交易对账</w:t>
            </w:r>
          </w:p>
        </w:tc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发票、验收、应收应付、预收预付、资本化和折旧；2025历史毛利明细</w:t>
            </w:r>
          </w:p>
        </w:tc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营收、利润、资产及现金流抵销</w:t>
            </w:r>
          </w:p>
        </w:tc>
      </w:tr>
      <w:tr>
        <w:trPr>
          <w:cantSplit/>
        </w:trPr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4 SI与收购质量</w:t>
            </w:r>
          </w:p>
        </w:tc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云服务客户合同、预付/退款条款、关联客户；Cursor PPA及收购后服务奖励</w:t>
            </w:r>
          </w:p>
        </w:tc>
        <w:tc>
          <w:tcPr>
            <w:tcW w:type="dxa" w:w="3230"/>
          </w:tcPr>
          <w:p>
            <w:pPr>
              <w:spacing w:after="100" w:before="80"/>
            </w:pPr>
            <w:r>
              <w:rPr>
                <w:sz w:val="18"/>
              </w:rPr>
              <w:t>可持续利润、商誉、未来股份费用</w:t>
            </w:r>
          </w:p>
        </w:tc>
      </w:tr>
      <w:tr>
        <w:trPr>
          <w:cantSplit/>
        </w:trPr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5 协同与交易结构</w:t>
            </w:r>
          </w:p>
        </w:tc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可执行采购/算力协同方案；整合成本；监管和合同同意要求；税务与会计意见</w:t>
            </w:r>
          </w:p>
        </w:tc>
        <w:tc>
          <w:tcPr>
            <w:tcW w:type="dxa" w:w="3230"/>
            <w:shd w:fill="EDF4F7"/>
          </w:tcPr>
          <w:p>
            <w:pPr>
              <w:spacing w:after="100" w:before="80"/>
            </w:pPr>
            <w:r>
              <w:rPr>
                <w:sz w:val="18"/>
              </w:rPr>
              <w:t>交易是否具有可验证财务利益</w:t>
            </w:r>
          </w:p>
        </w:tc>
      </w:tr>
    </w:tbl>
    <w:p>
      <w:pPr>
        <w:pStyle w:val="Heading2"/>
      </w:pPr>
      <w:r>
        <w:t>主要假设与未核实项</w:t>
      </w:r>
    </w:p>
    <w:p>
      <w:r>
        <w:t>模型采用全股票交易、SpaceX统一每股价值、Tesla法律发行主体、零基础溢价；无已确认协同、交易费用、内部毛利税收利益和折旧回转。历史内部毛利、完整往来余额、全部员工激励稀释、PPA及控制权变更费用尚未计量。SpaceX持股数据较旧，20日均价为近似，市场价格与期末股本日期不一致。这些限制均保留在模型和README中。</w:t>
      </w:r>
    </w:p>
    <w:p>
      <w:pPr>
        <w:pStyle w:val="Heading2"/>
      </w:pPr>
      <w:r>
        <w:t>材料索引（文件名＋章节）</w:t>
      </w:r>
    </w:p>
    <w:p>
      <w:pPr>
        <w:pStyle w:val="Caption"/>
      </w:pPr>
      <w:r>
        <w:t>S1：SpaceX_招股书__spaceexplorationtechnologi.htm；财务报表F-3起、Note 18/19、Q1 Note17/18、F-61及pp.248–249。</w:t>
      </w:r>
    </w:p>
    <w:p>
      <w:pPr>
        <w:pStyle w:val="Caption"/>
      </w:pPr>
      <w:r>
        <w:t>S2：SpaceX_2026Q2季报__spcx-20260630.htm；财务报表、Note17/18。S3：SpaceX_2026Q3业绩公告__spaceexplorationtechnologi.htm；pp.3–12。</w:t>
      </w:r>
    </w:p>
    <w:p>
      <w:pPr>
        <w:pStyle w:val="Caption"/>
      </w:pPr>
      <w:r>
        <w:t>T1：Tesla_2025年报__tsla-20251231.htm；财务报表、Note16。T2：Tesla_2026Q3季报__tsla-20260930.htm；财务报表、Notes2/13/14、Item5。</w:t>
      </w:r>
    </w:p>
    <w:p>
      <w:pPr>
        <w:pStyle w:val="Caption"/>
      </w:pPr>
      <w:r>
        <w:t>T3：Tesla_2026Q3业绩公告__exhibit9914.htm；pp.27–31。T4：Tesla_2026股东大会委托书__tm267596-1_def14a.htm；持股、奖励与关联交易章节。</w:t>
      </w:r>
    </w:p>
    <w:p>
      <w:pPr>
        <w:pStyle w:val="Caption"/>
      </w:pPr>
      <w:r>
        <w:t>市场数据：Stock Analysis 的 SPCX、TSLA 历史行情页（完整网页地址见模型「来源登记」和README）；收盘日2026-10-21，20日窗口2026-09-24至10-21；访问/取数日期2026-10-22。所有模型数字以随附Excel为准，材料均由用户提供，未对原始披露真实性另行审计。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51" w:right="1109" w:bottom="936" w:left="11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研究与展示用途 · 不构成投资建议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ORBIT  /  投资委员会内部讨论                                        2026年10月22日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6" w:lineRule="auto"/>
    </w:pPr>
    <w:rPr>
      <w:rFonts w:ascii="Arial" w:hAnsi="Arial" w:eastAsia="PingFang SC"/>
      <w:color w:val="203B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0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5395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1539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240"/>
      <w:contextualSpacing/>
    </w:pPr>
    <w:rPr>
      <w:rFonts w:asciiTheme="majorHAnsi" w:eastAsiaTheme="majorEastAsia" w:hAnsiTheme="majorHAnsi" w:cstheme="majorBidi" w:ascii="Arial" w:hAnsi="Arial" w:eastAsia="PingFang SC"/>
      <w:b/>
      <w:color w:val="15395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86" w:lineRule="auto"/>
    </w:pPr>
    <w:rPr>
      <w:rFonts w:ascii="Arial" w:hAnsi="Arial" w:eastAsia="PingFang SC"/>
      <w:color w:val="203B5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6" w:lineRule="auto" w:after="140"/>
    </w:pPr>
    <w:rPr>
      <w:rFonts w:ascii="Arial" w:hAnsi="Arial" w:eastAsia="PingFang SC"/>
      <w:b/>
      <w:bCs/>
      <w:color w:val="203B5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