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7324D"/>
            <w:tcMar>
              <w:top w:w="300" w:type="dxa"/>
              <w:start w:w="260" w:type="dxa"/>
              <w:bottom w:w="300" w:type="dxa"/>
              <w:end w:w="260" w:type="dxa"/>
            </w:tcMar>
          </w:tcPr>
          <w:p>
            <w:r>
              <w:rPr>
                <w:rFonts w:ascii="Aptos" w:hAnsi="Aptos" w:eastAsia="微软雅黑"/>
                <w:b/>
                <w:color w:val="FFFFFF"/>
                <w:sz w:val="24"/>
              </w:rPr>
              <w:t>董事会经营复盘</w:t>
            </w:r>
          </w:p>
        </w:tc>
      </w:tr>
    </w:tbl>
    <w:p>
      <w:pPr>
        <w:spacing w:before="1100"/>
      </w:pPr>
      <w:r>
        <w:rPr>
          <w:rFonts w:ascii="Aptos" w:hAnsi="Aptos" w:eastAsia="微软雅黑"/>
          <w:b/>
          <w:color w:val="17324D"/>
          <w:sz w:val="62"/>
        </w:rPr>
        <w:t>从周期防御</w:t>
        <w:br/>
        <w:t>到 HBM 增长</w:t>
      </w:r>
    </w:p>
    <w:p>
      <w:r>
        <w:rPr>
          <w:rFonts w:ascii="Aptos" w:hAnsi="Aptos" w:eastAsia="微软雅黑"/>
          <w:color w:val="2E6FDB"/>
          <w:sz w:val="30"/>
        </w:rPr>
        <w:t>16 个季度的经营结果、决策得失与重做方案</w:t>
      </w:r>
    </w:p>
    <w:p>
      <w:pPr>
        <w:spacing w:before="360"/>
      </w:pPr>
      <w:r>
        <w:rPr>
          <w:rFonts w:ascii="Aptos" w:hAnsi="Aptos" w:eastAsia="微软雅黑"/>
          <w:color w:val="657786"/>
          <w:sz w:val="20"/>
        </w:rPr>
        <w:t>虚构市场模拟｜经营周期 Q1—Q16｜编制日期 2026年10月22日</w:t>
      </w:r>
    </w:p>
    <w:p>
      <w:pPr>
        <w:spacing w:before="7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E8F5EE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657786"/>
                <w:sz w:val="18"/>
              </w:rPr>
              <w:t>期末股东权益</w:t>
              <w:br/>
            </w:r>
            <w:r>
              <w:rPr>
                <w:rFonts w:ascii="Aptos" w:hAnsi="Aptos" w:eastAsia="微软雅黑"/>
                <w:b/>
                <w:color w:val="17324D"/>
                <w:sz w:val="26"/>
              </w:rPr>
              <w:t>2,117.09 亿美元</w:t>
            </w:r>
          </w:p>
        </w:tc>
        <w:tc>
          <w:tcPr>
            <w:tcW w:type="dxa" w:w="3307"/>
            <w:shd w:fill="EDF3F8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657786"/>
                <w:sz w:val="18"/>
              </w:rPr>
              <w:t>累计净利润</w:t>
              <w:br/>
            </w:r>
            <w:r>
              <w:rPr>
                <w:rFonts w:ascii="Aptos" w:hAnsi="Aptos" w:eastAsia="微软雅黑"/>
                <w:b/>
                <w:color w:val="17324D"/>
                <w:sz w:val="26"/>
              </w:rPr>
              <w:t>1,767.50 亿美元</w:t>
            </w:r>
          </w:p>
        </w:tc>
        <w:tc>
          <w:tcPr>
            <w:tcW w:type="dxa" w:w="3307"/>
            <w:shd w:fill="E8F5EE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657786"/>
                <w:sz w:val="18"/>
              </w:rPr>
              <w:t>累计经营现金流</w:t>
              <w:br/>
            </w:r>
            <w:r>
              <w:rPr>
                <w:rFonts w:ascii="Aptos" w:hAnsi="Aptos" w:eastAsia="微软雅黑"/>
                <w:b/>
                <w:color w:val="17324D"/>
                <w:sz w:val="26"/>
              </w:rPr>
              <w:t>2,205.99 亿美元</w:t>
            </w:r>
          </w:p>
        </w:tc>
      </w:tr>
      <w:tr>
        <w:tc>
          <w:tcPr>
            <w:tcW w:type="dxa" w:w="3307"/>
            <w:shd w:fill="E8F5EE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657786"/>
                <w:sz w:val="18"/>
              </w:rPr>
              <w:t>期末现金 / 债务</w:t>
              <w:br/>
            </w:r>
            <w:r>
              <w:rPr>
                <w:rFonts w:ascii="Aptos" w:hAnsi="Aptos" w:eastAsia="微软雅黑"/>
                <w:b/>
                <w:color w:val="17324D"/>
                <w:sz w:val="26"/>
              </w:rPr>
              <w:t>1,681.99 / 0 亿美元</w:t>
            </w:r>
          </w:p>
        </w:tc>
        <w:tc>
          <w:tcPr>
            <w:tcW w:type="dxa" w:w="3307"/>
            <w:shd w:fill="EDF3F8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657786"/>
                <w:sz w:val="18"/>
              </w:rPr>
              <w:t>产能增长</w:t>
              <w:br/>
            </w:r>
            <w:r>
              <w:rPr>
                <w:rFonts w:ascii="Aptos" w:hAnsi="Aptos" w:eastAsia="微软雅黑"/>
                <w:b/>
                <w:color w:val="17324D"/>
                <w:sz w:val="26"/>
              </w:rPr>
              <w:t>300 → 570 千片/季</w:t>
            </w:r>
          </w:p>
        </w:tc>
        <w:tc>
          <w:tcPr>
            <w:tcW w:type="dxa" w:w="3307"/>
            <w:shd w:fill="E8F5EE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657786"/>
                <w:sz w:val="18"/>
              </w:rPr>
              <w:t>资金链</w:t>
              <w:br/>
            </w:r>
            <w:r>
              <w:rPr>
                <w:rFonts w:ascii="Aptos" w:hAnsi="Aptos" w:eastAsia="微软雅黑"/>
                <w:b/>
                <w:color w:val="17324D"/>
                <w:sz w:val="26"/>
              </w:rPr>
              <w:t>16季未断裂</w:t>
            </w:r>
          </w:p>
        </w:tc>
      </w:tr>
    </w:tbl>
    <w:p>
      <w:pPr>
        <w:spacing w:before="700"/>
      </w:pPr>
      <w:r>
        <w:rPr>
          <w:rFonts w:ascii="Aptos" w:hAnsi="Aptos" w:eastAsia="微软雅黑"/>
          <w:b/>
          <w:color w:val="129B8D"/>
          <w:sz w:val="22"/>
        </w:rPr>
        <w:t>核心判断</w:t>
      </w:r>
    </w:p>
    <w:p>
      <w:r>
        <w:rPr>
          <w:rFonts w:ascii="Aptos" w:hAnsi="Aptos" w:eastAsia="微软雅黑"/>
          <w:color w:val="243746"/>
          <w:sz w:val="22"/>
        </w:rPr>
        <w:t>本轮经营成功来自在下行期保住流动性、按时完成HBM资格投入，并在复苏中以扩产和产品结构放大利润；主要遗憾是早期减产过度、部分HBM订单预测偏差，以及产能始终未完全追上需求。</w:t>
      </w:r>
    </w:p>
    <w:p>
      <w:pPr>
        <w:spacing w:before="360"/>
      </w:pPr>
      <w:r>
        <w:rPr>
          <w:rFonts w:ascii="Aptos" w:hAnsi="Aptos" w:eastAsia="微软雅黑"/>
          <w:color w:val="657786"/>
          <w:sz w:val="18"/>
        </w:rPr>
        <w:t>本报告仅用于研究与展示，不构成投资建议。市场、时间和公司均为虚构。</w:t>
      </w:r>
    </w:p>
    <w:p>
      <w:r>
        <w:br w:type="page"/>
      </w:r>
    </w:p>
    <w:p>
      <w:pPr>
        <w:pStyle w:val="Heading1"/>
      </w:pPr>
      <w:r>
        <w:t>一、董事会摘要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8F5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 w:eastAsia="微软雅黑"/>
                <w:b/>
                <w:color w:val="129B8D"/>
                <w:sz w:val="22"/>
              </w:rPr>
              <w:t>结果概览</w:t>
              <w:br/>
            </w:r>
            <w:r>
              <w:rPr>
                <w:rFonts w:ascii="Aptos" w:hAnsi="Aptos" w:eastAsia="微软雅黑"/>
                <w:color w:val="243746"/>
                <w:sz w:val="21"/>
              </w:rPr>
              <w:t>第16季末股东权益2,117.09亿美元，为期初349.60亿美元的6.06倍，增长505.58%；累计净利润1,767.50亿美元，累计经营现金流2,205.99亿美元。普通债务与紧急授信均为零，16季未发生资金链断裂。</w:t>
            </w:r>
          </w:p>
        </w:tc>
      </w:tr>
    </w:tbl>
    <w:p>
      <w:pPr>
        <w:spacing w:after="0"/>
      </w:pP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经营分为两段：Q1—Q6累计亏损144.23亿美元，Q7—Q16累计盈利1,911.72亿美元，最终形成累计净利润1,767.50亿美元。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HBM自Q6量产，累计收入1,509.67亿美元，占16季总收入47.79%；Q16单季占比已达50.35%。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累计资本开支564.00亿美元，其中超出每季15亿美元维护线的扩张投入324.00亿美元；产能由300提升至570千片/季，增幅90%。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最低现金为Q8的15.79亿美元，仍高于5亿美元紧急授信触发线；峰值债务为135.00亿美元，Q13起普通债务清零。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需要改进：Q3少满足普通内存需求25千片；16季普通内存需求缺口累计898.30千片，HBM超额生产累计22.97千片、未满足需求累计42.67千片。缺口不等于可实现利润，仍受产能与产品组合约束。</w:t>
      </w:r>
    </w:p>
    <w:p>
      <w:pPr>
        <w:pStyle w:val="Heading1"/>
      </w:pPr>
      <w:r>
        <w:t>二、16季度经营结果</w:t>
      </w:r>
    </w:p>
    <w:p>
      <w:pPr>
        <w:pStyle w:val="Heading2"/>
      </w:pPr>
      <w:r>
        <w:t>2.1 最终成绩与财务质量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94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98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期初</w:t>
            </w:r>
          </w:p>
        </w:tc>
        <w:tc>
          <w:tcPr>
            <w:tcW w:type="dxa" w:w="198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Q16末</w:t>
            </w:r>
          </w:p>
        </w:tc>
        <w:tc>
          <w:tcPr>
            <w:tcW w:type="dxa" w:w="238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变化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8"/>
              </w:rPr>
              <w:t>股东权益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349.60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2,117.09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+1,767.49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8"/>
              </w:rPr>
              <w:t>现金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100.00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1,681.99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+1,581.99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8"/>
              </w:rPr>
              <w:t>普通债务+紧急债务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60.00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0.00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-60.00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8"/>
              </w:rPr>
              <w:t>存货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9.60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0.00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-9.60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8"/>
              </w:rPr>
              <w:t>产能（千片/季）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300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570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+270 / +90%</w:t>
            </w:r>
          </w:p>
        </w:tc>
      </w:tr>
    </w:tbl>
    <w:p>
      <w:pPr>
        <w:spacing w:after="0"/>
      </w:pPr>
    </w:p>
    <w:p>
      <w:r>
        <w:rPr>
          <w:rFonts w:ascii="Aptos" w:hAnsi="Aptos" w:eastAsia="微软雅黑"/>
          <w:sz w:val="21"/>
        </w:rPr>
        <w:t>累计营业收入3,159.12亿美元，累计净利润1,767.50亿美元，累计净利率55.95%。这一净利率包含后期极高景气价格，不应视为稳态盈利假设。期末权益与期初差额和累计净利润存在0.001亿美元的披露舍入差。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273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prof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73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微软雅黑"/>
          <w:color w:val="657786"/>
          <w:sz w:val="17"/>
        </w:rPr>
        <w:t>图1｜逐季营业收入与净利润。来源：export.json → history → income_statement；金额换算为亿美元。</w:t>
      </w:r>
    </w:p>
    <w:p>
      <w:pPr>
        <w:pStyle w:val="Heading2"/>
      </w:pPr>
      <w:r>
        <w:t>2.2 五个阶段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9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783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主要经营事实</w:t>
            </w:r>
          </w:p>
        </w:tc>
        <w:tc>
          <w:tcPr>
            <w:tcW w:type="dxa" w:w="1587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阶段净利润</w:t>
              <w:br/>
              <w:t>(亿美元)</w:t>
            </w:r>
          </w:p>
        </w:tc>
      </w:tr>
      <w:t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7"/>
              </w:rPr>
              <w:t>Q1—Q3｜下行防御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价格1.00→0.50；减产去库、完成HBM资格投入，但Q3需求判断偏保守。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-94.38</w:t>
            </w:r>
          </w:p>
        </w:tc>
      </w:tr>
      <w:t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7"/>
              </w:rPr>
              <w:t>Q4—Q6｜筑底与转型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价格企稳；Q6开始HBM量产，经营现金流改善，权益在Q6触底。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-49.85</w:t>
            </w:r>
          </w:p>
        </w:tc>
      </w:tr>
      <w:t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7"/>
              </w:rPr>
              <w:t>Q7—Q10｜扭亏与扩产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Q7扭亏；HBM收入在Q10超过普通内存，扩产接续推进。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102.52</w:t>
            </w:r>
          </w:p>
        </w:tc>
      </w:tr>
      <w:t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7"/>
              </w:rPr>
              <w:t>Q11—Q13｜释放与去杠杆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新产能释放，利润放大；Q12开始还款，Q13普通债务清零。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359.62</w:t>
            </w:r>
          </w:p>
        </w:tc>
      </w:tr>
      <w:t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7"/>
              </w:rPr>
              <w:t>Q14—Q16｜高景气收获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满产全售、不再扩张；Q16毛利率90.11%，现金与权益创高点。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1,449.58</w:t>
            </w:r>
          </w:p>
        </w:tc>
      </w:tr>
    </w:tbl>
    <w:p>
      <w:pPr>
        <w:spacing w:after="0"/>
      </w:pPr>
    </w:p>
    <w:p>
      <w:pPr>
        <w:pStyle w:val="Heading1"/>
      </w:pPr>
      <w:r>
        <w:t>三、哪些决定做对了</w:t>
      </w:r>
    </w:p>
    <w:p>
      <w:pPr>
        <w:pStyle w:val="Heading2"/>
      </w:pPr>
      <w:r>
        <w:t>3.1 在下行期完成HBM资格投入</w:t>
      </w:r>
    </w:p>
    <w:p>
      <w:r>
        <w:rPr>
          <w:rFonts w:ascii="Aptos" w:hAnsi="Aptos" w:eastAsia="微软雅黑"/>
          <w:sz w:val="21"/>
        </w:rPr>
        <w:t>事实：Q1—Q3每季投入10亿美元额外HBM研发，累计30亿美元；Q6取得量产资格。此后未再追加额外资格投入，但每季仍有基础研发费用。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HBM累计收入1,509.67亿美元，占全周期收入47.79%；Q16 HBM收入426.24亿美元，占当季50.35%。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Q6—Q10是结构转折点：HBM价格显著高于普通内存，收入结构改善使公司在普通内存价格仍有波动时继续扩大利润。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边界：上述为收入贡献，不等同于HBM净利润或研发投资回报率；引擎未披露分产品成本与利润，不能做精确归因。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273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m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73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微软雅黑"/>
          <w:color w:val="657786"/>
          <w:sz w:val="17"/>
        </w:rPr>
        <w:t>图2｜普通内存与HBM收入结构。来源：export.json → history → income_statement。</w:t>
      </w:r>
    </w:p>
    <w:p>
      <w:pPr>
        <w:pStyle w:val="Heading2"/>
      </w:pPr>
      <w:r>
        <w:t>3.2 在需求证据增强后接续扩产</w:t>
      </w:r>
    </w:p>
    <w:p>
      <w:r>
        <w:rPr>
          <w:rFonts w:ascii="Aptos" w:hAnsi="Aptos" w:eastAsia="微软雅黑"/>
          <w:sz w:val="21"/>
        </w:rPr>
        <w:t>事实：Q7、Q8、Q9、Q10、Q11、Q12分别安排新增30、40、40、40、60、60千片/季产能，均按四个季度时滞投产。扩张投入合计324.00亿美元，产能在Q11—Q16逐步由300增至570千片/季。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扩产没有只看价格：决策同时参考普通内存未满足需求、HBM订单、云厂商资本开支信号与现金覆盖能力。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Q13起停止新增扩张，因为新增项目已无法在16季经营期内投产；最后一轮60千片/季在Q16释放。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2732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y_hb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732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微软雅黑"/>
          <w:color w:val="657786"/>
          <w:sz w:val="17"/>
        </w:rPr>
        <w:t>图3｜产能与HBM产量。来源：export.json → history → balance_sheet / operations。</w:t>
      </w:r>
    </w:p>
    <w:p>
      <w:pPr>
        <w:pStyle w:val="Heading2"/>
      </w:pPr>
      <w:r>
        <w:t>3.3 用借款保流动性，在现金充足后去杠杆</w:t>
      </w:r>
    </w:p>
    <w:p>
      <w:r>
        <w:rPr>
          <w:rFonts w:ascii="Aptos" w:hAnsi="Aptos" w:eastAsia="微软雅黑"/>
          <w:sz w:val="21"/>
        </w:rPr>
        <w:t>事实：Q3、Q4分别新增借款20亿美元，Q7—Q9建设期继续小额融资；峰值债务135.00亿美元。Q12偿还50亿美元，Q13偿还剩余85亿美元，期末普通债务和紧急债务均为零。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全周期未使用紧急授信；最低现金15.79亿美元，高于5亿美元触发线10.79亿美元。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借款主要用于下行期流动性和扩产建设，而非在高景气末期继续加杠杆；这降低了后续利息压力。</w:t>
      </w:r>
    </w:p>
    <w:p>
      <w:pPr>
        <w:pStyle w:val="Heading2"/>
      </w:pPr>
      <w:r>
        <w:t>3.4 全售库存，避免把周期判断变成库存投机</w:t>
      </w:r>
    </w:p>
    <w:p>
      <w:r>
        <w:rPr>
          <w:rFonts w:ascii="Aptos" w:hAnsi="Aptos" w:eastAsia="微软雅黑"/>
          <w:sz w:val="21"/>
        </w:rPr>
        <w:t>16季可售库存销售比例均为100%。Q3末、Q4末及Q6—Q16库存均为零，仅Q5末留下5千片。累计存货跌价1.43亿美元，其中Q2为1.22亿美元。期末存货为零。</w:t>
      </w:r>
    </w:p>
    <w:p>
      <w:pPr>
        <w:pStyle w:val="Heading1"/>
      </w:pPr>
      <w:r>
        <w:t>四、哪些决定做错了或可以更好</w:t>
      </w:r>
    </w:p>
    <w:p>
      <w:pPr>
        <w:pStyle w:val="Heading2"/>
      </w:pPr>
      <w:r>
        <w:t>4.1 早期减产过度，低估了固定成本与需求韧性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 w:eastAsia="微软雅黑"/>
                <w:b/>
                <w:color w:val="E5A93D"/>
                <w:sz w:val="22"/>
              </w:rPr>
              <w:t>Q3是最清楚的反例</w:t>
              <w:br/>
            </w:r>
            <w:r>
              <w:rPr>
                <w:rFonts w:ascii="Aptos" w:hAnsi="Aptos" w:eastAsia="微软雅黑"/>
                <w:color w:val="243746"/>
                <w:sz w:val="21"/>
              </w:rPr>
              <w:t>开工率降至55%，按需求180千片的假设安排供给；实际需求205千片，销量仅180千片，少满足25千片。单位成本升至23.182百万美元/千片，为16季最高；单季毛利率-85.95%，为16季最低。</w:t>
            </w:r>
          </w:p>
        </w:tc>
      </w:tr>
    </w:tbl>
    <w:p>
      <w:pPr>
        <w:spacing w:after="0"/>
      </w:pPr>
    </w:p>
    <w:p>
      <w:r>
        <w:rPr>
          <w:rFonts w:ascii="Aptos" w:hAnsi="Aptos" w:eastAsia="微软雅黑"/>
          <w:sz w:val="21"/>
        </w:rPr>
        <w:t>判断问题：当时把“价格仍跌”过度等同于“应大幅减少产量”，没有充分权衡固定成本摊薄和订单贡献。Q2把开工率降至60%后，单位成本已由Q1的18.333升至21.667，这一信号本可更早改变决策。</w:t>
      </w:r>
    </w:p>
    <w:p>
      <w:r>
        <w:rPr>
          <w:rFonts w:ascii="Aptos" w:hAnsi="Aptos" w:eastAsia="微软雅黑"/>
          <w:sz w:val="21"/>
        </w:rPr>
        <w:t>改进：以后采用“需求区间 + 边际贡献 + 库存跌价”三维框架，而不是只用价格方向决定开工率；对需求假设设置上行和下行两套产量预案。</w:t>
      </w:r>
    </w:p>
    <w:p>
      <w:pPr>
        <w:pStyle w:val="Heading2"/>
      </w:pPr>
      <w:r>
        <w:t>4.2 HBM订单预测存在双向偏差</w:t>
      </w:r>
    </w:p>
    <w:p>
      <w:r>
        <w:rPr>
          <w:rFonts w:ascii="Aptos" w:hAnsi="Aptos" w:eastAsia="微软雅黑"/>
          <w:sz w:val="21"/>
        </w:rPr>
        <w:t>事实：HBM超额生产累计22.97千片，未满足需求累计42.67千片。Q11按80千片假设配置，实际需求74千片，超额5.2千片；Q12超额6.2千片；Q13、Q14又分别少供给2.17、4.5千片。</w:t>
      </w:r>
    </w:p>
    <w:p>
      <w:r>
        <w:rPr>
          <w:rFonts w:ascii="Aptos" w:hAnsi="Aptos" w:eastAsia="微软雅黑"/>
          <w:sz w:val="21"/>
        </w:rPr>
        <w:t>判断问题：订单外推在需求加速和增速放缓时均有滞后。超额产出会作废，少配又放弃高价值订单，两类误差不能相互抵销后再评价。</w:t>
      </w:r>
    </w:p>
    <w:p>
      <w:pPr>
        <w:pStyle w:val="Heading2"/>
      </w:pPr>
      <w:r>
        <w:t>4.3 产能缺口持续，扩产仍可更早准备</w:t>
      </w:r>
    </w:p>
    <w:p>
      <w:r>
        <w:rPr>
          <w:rFonts w:ascii="Aptos" w:hAnsi="Aptos" w:eastAsia="微软雅黑"/>
          <w:sz w:val="21"/>
        </w:rPr>
        <w:t>普通内存未满足需求累计898.30千片，Q8以后缺口持续扩大。虽然其中一部分源于将产能优先分配给HBM，且不能把所有缺口都视为可实现销售，但它说明产能准备仍落后于市场上行幅度。</w:t>
      </w:r>
    </w:p>
    <w:p>
      <w:r>
        <w:rPr>
          <w:rFonts w:ascii="Aptos" w:hAnsi="Aptos" w:eastAsia="微软雅黑"/>
          <w:sz w:val="21"/>
        </w:rPr>
        <w:t>改进：保留“可取消扩产”的阶段门机制，在HBM盈利尚未完全验证时先锁定长周期设备或厂房选项，而不是等全部证据明确后才启动全部建设。该建议属于管理方案，不代表引擎支持取消资本开支。</w:t>
      </w:r>
    </w:p>
    <w:p>
      <w:pPr>
        <w:pStyle w:val="Heading1"/>
      </w:pPr>
      <w:r>
        <w:t>五、现金流、资产负债与风险</w:t>
      </w:r>
    </w:p>
    <w:p>
      <w:pPr>
        <w:pStyle w:val="Heading2"/>
      </w:pPr>
      <w:r>
        <w:t>5.1 现金桥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5953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现金桥项目</w:t>
            </w:r>
          </w:p>
        </w:tc>
        <w:tc>
          <w:tcPr>
            <w:tcW w:type="dxa" w:w="255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亿美元</w:t>
            </w:r>
          </w:p>
        </w:tc>
      </w:tr>
      <w:tr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8"/>
              </w:rPr>
              <w:t>期初现金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100.00</w:t>
            </w:r>
          </w:p>
        </w:tc>
      </w:tr>
      <w:tr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8"/>
              </w:rPr>
              <w:t>加：累计经营现金流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2,205.99</w:t>
            </w:r>
          </w:p>
        </w:tc>
      </w:tr>
      <w:tr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8"/>
              </w:rPr>
              <w:t>减：累计投资现金流出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564.00</w:t>
            </w:r>
          </w:p>
        </w:tc>
      </w:tr>
      <w:tr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8"/>
              </w:rPr>
              <w:t>减：累计融资现金净流出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60.00</w:t>
            </w:r>
          </w:p>
        </w:tc>
      </w:tr>
      <w:tr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8"/>
              </w:rPr>
              <w:t>Q16末现金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1,681.99</w:t>
            </w:r>
          </w:p>
        </w:tc>
      </w:tr>
    </w:tbl>
    <w:p>
      <w:pPr>
        <w:spacing w:after="0"/>
      </w:pPr>
    </w:p>
    <w:p>
      <w:r>
        <w:rPr>
          <w:rFonts w:ascii="Aptos" w:hAnsi="Aptos" w:eastAsia="微软雅黑"/>
          <w:sz w:val="21"/>
        </w:rPr>
        <w:t>经营现金流高于净利润，主要与折旧等非现金费用和营运资金变化有关；具体季度分解见《三张表.xlsx》现金流量表。现金桥各分项采用披露的四位小数，末位可能存在舍入差。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273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ance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73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微软雅黑"/>
          <w:color w:val="657786"/>
          <w:sz w:val="17"/>
        </w:rPr>
        <w:t>图4｜现金、债务与股东权益。来源：export.json → history → balance_sheet。</w:t>
      </w:r>
    </w:p>
    <w:p>
      <w:pPr>
        <w:pStyle w:val="Heading2"/>
      </w:pPr>
      <w:r>
        <w:t>5.2 风险并未因期末高现金而消失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周期风险：Q16普通内存价格4.55、毛利率90.11%，同时市场已出现客户抱怨价格和新增产能消息；不能线性外推峰值利润。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产品组合风险：HBM占Q16收入50.35%，增强了增长，也提高了对AI服务器订单和认证地位的依赖。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执行风险：扩产集中在Q11—Q16投产，若需求比预期更早回落，利用率和折旧吸收会成为新的压力。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流动性风险已缓释但未被替代：期末现金1,681.99亿美元、债务为零是缓冲，不是继续扩张的自动理由。</w:t>
      </w:r>
    </w:p>
    <w:p>
      <w:pPr>
        <w:pStyle w:val="Heading1"/>
      </w:pPr>
      <w:r>
        <w:t>六、如果重来，我会怎么改</w:t>
      </w:r>
    </w:p>
    <w:p>
      <w:pPr>
        <w:pStyle w:val="Heading2"/>
      </w:pPr>
      <w:r>
        <w:t>6.1 提前完成HBM资格投入，但保留现金护栏</w:t>
      </w:r>
    </w:p>
    <w:p>
      <w:r>
        <w:rPr>
          <w:rFonts w:ascii="Aptos" w:hAnsi="Aptos" w:eastAsia="微软雅黑"/>
          <w:sz w:val="21"/>
        </w:rPr>
        <w:t>假设方案：在Q1完成全部30亿美元额外HBM研发，而非分三季投入。若资格规则仍按“达到门槛后等待两个完整季度”的实际表现执行，则可能从Q6提前到Q4量产；该时间未重新运行引擎，属于假设。</w:t>
      </w:r>
    </w:p>
    <w:p>
      <w:r>
        <w:rPr>
          <w:rFonts w:ascii="Aptos" w:hAnsi="Aptos" w:eastAsia="微软雅黑"/>
          <w:sz w:val="21"/>
        </w:rPr>
        <w:t>假设测算：若Q4、Q5实际HBM需求8、12千片均可被公司满足，并按实际HBM价格指数1.4、1.6及普通收入反推出的24百万美元/千片基准计价，则两季新增HBM收入上限约7.30亿美元。该金额未扣除HBM成本、普通内存产能挤占、税费和额外融资费用，不是净利润预测。</w:t>
      </w:r>
    </w:p>
    <w:p>
      <w:pPr>
        <w:pStyle w:val="Heading2"/>
      </w:pPr>
      <w:r>
        <w:t>6.2 用需求区间替代单点产量判断</w:t>
      </w:r>
    </w:p>
    <w:p>
      <w:r>
        <w:rPr>
          <w:rFonts w:ascii="Aptos" w:hAnsi="Aptos" w:eastAsia="微软雅黑"/>
          <w:sz w:val="21"/>
        </w:rPr>
        <w:t>在Q2—Q3设置基准、上行、下行三档需求；只要新增销售的边际贡献为正，就避免因单点保守假设造成不必要缺货。Q3的25千片缺口会作为强制复盘触发器，而不是等到Q4才修正。</w:t>
      </w:r>
    </w:p>
    <w:p>
      <w:pPr>
        <w:pStyle w:val="Heading2"/>
      </w:pPr>
      <w:r>
        <w:t>6.3 把扩产决策拆成“准备、承诺、投产”三道门</w:t>
      </w:r>
    </w:p>
    <w:p>
      <w:r>
        <w:rPr>
          <w:rFonts w:ascii="Aptos" w:hAnsi="Aptos" w:eastAsia="微软雅黑"/>
          <w:sz w:val="21"/>
        </w:rPr>
        <w:t>在Q6确认HBM收入贡献后即准备扩产，在订单和现金流达到阈值时再承诺资本开支，投产后按利用率复盘。这样既保留提前量，也避免一次性押注全部产能。引擎本次只支持不可逆资本开支，因此该流程是未来治理建议。</w:t>
      </w:r>
    </w:p>
    <w:p>
      <w:pPr>
        <w:pStyle w:val="Heading2"/>
      </w:pPr>
      <w:r>
        <w:t>6.4 对HBM分别考核缺货与作废</w:t>
      </w:r>
    </w:p>
    <w:p>
      <w:r>
        <w:rPr>
          <w:rFonts w:ascii="Aptos" w:hAnsi="Aptos" w:eastAsia="微软雅黑"/>
          <w:sz w:val="21"/>
        </w:rPr>
        <w:t>以滚动两季订单增速和置信区间配置产能，分别跟踪超额生产22.97千片和未满足需求42.67千片，而不是用两者净额评价预测。高价产品可保留小缓冲，但缓冲要随订单波动下降。</w:t>
      </w:r>
    </w:p>
    <w:p>
      <w:pPr>
        <w:pStyle w:val="Heading2"/>
      </w:pPr>
      <w:r>
        <w:t>6.5 提前设定现金安全线，收官不追逐期外扩张</w:t>
      </w:r>
    </w:p>
    <w:p>
      <w:r>
        <w:rPr>
          <w:rFonts w:ascii="Aptos" w:hAnsi="Aptos" w:eastAsia="微软雅黑"/>
          <w:sz w:val="21"/>
        </w:rPr>
        <w:t>建议内部现金安全线设为20亿美元（管理假设，并非引擎规则），低于安全线时优先普通借款而非紧急授信。Q13以后仍坚持只做维护性资本开支，不为已经看到的高价格增加经营期外产能。</w:t>
      </w:r>
    </w:p>
    <w:p>
      <w:pPr>
        <w:pStyle w:val="Heading1"/>
      </w:pPr>
      <w:r>
        <w:t>七、董事会后续监督清单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36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6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核心指标</w:t>
            </w:r>
          </w:p>
        </w:tc>
        <w:tc>
          <w:tcPr>
            <w:tcW w:type="dxa" w:w="442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监督重点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8"/>
              </w:rPr>
              <w:t>需求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普通内存未满足需求、HBM订单与超额生产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区分产能不足、产品分配和预测错误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8"/>
              </w:rPr>
              <w:t>盈利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单位成本、毛利率、HBM收入占比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避免将峰值价格当成稳态盈利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8"/>
              </w:rPr>
              <w:t>现金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经营现金流、自由现金流、最低现金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资本开支高峰期不依赖紧急授信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8"/>
              </w:rPr>
              <w:t>资产负债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净负债、权益、产能与固定资产净额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扩张同时关注折旧吸收和回报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8"/>
              </w:rPr>
              <w:t>执行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扩产投产季度、开工率、库存周转天数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8"/>
              </w:rPr>
              <w:t>四个季度时滞下提前识别偏差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8F5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 w:eastAsia="微软雅黑"/>
                <w:b/>
                <w:color w:val="129B8D"/>
                <w:sz w:val="22"/>
              </w:rPr>
              <w:t>最终结论</w:t>
              <w:br/>
            </w:r>
            <w:r>
              <w:rPr>
                <w:rFonts w:ascii="Aptos" w:hAnsi="Aptos" w:eastAsia="微软雅黑"/>
                <w:color w:val="243746"/>
                <w:sz w:val="21"/>
              </w:rPr>
              <w:t>本轮最重要的不是抓住末期最高价格，而是在早期亏损时仍完成HBM布局、在复苏证据增强后敢于扩产，并在现金充足后停止扩张和清偿债务。期末权益2,117.09亿美元、累计净利润1,767.50亿美元、零债务是结果；早期过度减产和持续缺货则是下一轮必须修正的经营能力缺口。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1906" w:h="16838"/>
          <w:pgMar w:top="935" w:right="992" w:bottom="879" w:left="992" w:header="397" w:footer="397" w:gutter="0"/>
          <w:cols w:space="720"/>
          <w:docGrid w:linePitch="360"/>
        </w:sectPr>
      </w:pPr>
    </w:p>
    <w:p>
      <w:pPr>
        <w:pStyle w:val="Heading1"/>
      </w:pPr>
      <w:r>
        <w:t>附录A｜逐季财务与经营摘要</w:t>
      </w:r>
    </w:p>
    <w:p>
      <w:r>
        <w:rPr>
          <w:rFonts w:ascii="Aptos" w:hAnsi="Aptos" w:eastAsia="微软雅黑"/>
          <w:sz w:val="18"/>
        </w:rPr>
        <w:t>金额单位：亿美元；产能、产量单位为千片/季或千片；价格指数为引擎披露口径。债务包括普通债务与紧急债务。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rPr>
          <w:tblHeader w:val="true"/>
        </w:trPr>
        <w:tc>
          <w:tcPr>
            <w:tcW w:type="dxa" w:w="624"/>
            <w:shd w:fill="17324D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4"/>
              </w:rPr>
              <w:t>季度</w:t>
            </w:r>
          </w:p>
        </w:tc>
        <w:tc>
          <w:tcPr>
            <w:tcW w:type="dxa" w:w="850"/>
            <w:shd w:fill="17324D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4"/>
              </w:rPr>
              <w:t>普通价格</w:t>
            </w:r>
          </w:p>
        </w:tc>
        <w:tc>
          <w:tcPr>
            <w:tcW w:type="dxa" w:w="850"/>
            <w:shd w:fill="17324D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4"/>
              </w:rPr>
              <w:t>HBM价格</w:t>
            </w:r>
          </w:p>
        </w:tc>
        <w:tc>
          <w:tcPr>
            <w:tcW w:type="dxa" w:w="1134"/>
            <w:shd w:fill="17324D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4"/>
              </w:rPr>
              <w:t>收入</w:t>
            </w:r>
          </w:p>
        </w:tc>
        <w:tc>
          <w:tcPr>
            <w:tcW w:type="dxa" w:w="794"/>
            <w:shd w:fill="17324D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4"/>
              </w:rPr>
              <w:t>毛利率</w:t>
            </w:r>
          </w:p>
        </w:tc>
        <w:tc>
          <w:tcPr>
            <w:tcW w:type="dxa" w:w="1134"/>
            <w:shd w:fill="17324D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4"/>
              </w:rPr>
              <w:t>HBM收入</w:t>
            </w:r>
          </w:p>
        </w:tc>
        <w:tc>
          <w:tcPr>
            <w:tcW w:type="dxa" w:w="1134"/>
            <w:shd w:fill="17324D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4"/>
              </w:rPr>
              <w:t>净利润</w:t>
            </w:r>
          </w:p>
        </w:tc>
        <w:tc>
          <w:tcPr>
            <w:tcW w:type="dxa" w:w="1191"/>
            <w:shd w:fill="17324D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4"/>
              </w:rPr>
              <w:t>经营现金流</w:t>
            </w:r>
          </w:p>
        </w:tc>
        <w:tc>
          <w:tcPr>
            <w:tcW w:type="dxa" w:w="1134"/>
            <w:shd w:fill="17324D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4"/>
              </w:rPr>
              <w:t>现金</w:t>
            </w:r>
          </w:p>
        </w:tc>
        <w:tc>
          <w:tcPr>
            <w:tcW w:type="dxa" w:w="964"/>
            <w:shd w:fill="17324D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4"/>
              </w:rPr>
              <w:t>债务</w:t>
            </w:r>
          </w:p>
        </w:tc>
        <w:tc>
          <w:tcPr>
            <w:tcW w:type="dxa" w:w="1191"/>
            <w:shd w:fill="17324D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4"/>
              </w:rPr>
              <w:t>股东权益</w:t>
            </w:r>
          </w:p>
        </w:tc>
        <w:tc>
          <w:tcPr>
            <w:tcW w:type="dxa" w:w="737"/>
            <w:shd w:fill="17324D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4"/>
              </w:rPr>
              <w:t>产能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0.80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1.60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46.08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7.07%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0.00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-17.34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4.23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89.23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60.00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332.26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300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0.56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1.40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28.22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-59.84%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0.00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-37.58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-11.46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62.77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60.00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294.68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300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0.50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1.30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21.60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-85.95%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0.00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-39.46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-17.55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50.22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80.00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255.22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300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0.53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1.40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26.71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-51.62%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0.00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-25.09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-5.09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50.13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100.00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230.13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300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0.60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1.60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33.84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-24.31%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0.00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-19.82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0.24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35.38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100.00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210.31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300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0.72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1.90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52.46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12.92%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8.21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-4.94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17.24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37.62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100.00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205.37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300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0.83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2.30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68.73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31.26%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14.35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8.32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30.57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27.19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110.00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213.69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300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Q8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0.92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2.80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81.82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41.34%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24.19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18.61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41.60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15.79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120.00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232.29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300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Q9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1.00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3.40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98.93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50.72%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39.17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32.30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56.05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23.85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135.00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264.60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300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Q10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0.97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4.00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112.77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56.11%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57.60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43.30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67.80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28.64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135.00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307.89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300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Q11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1.06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4.60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145.50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63.20%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81.70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67.71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94.76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36.40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135.00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375.60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330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Q12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1.28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5.40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200.75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70.76%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116.64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110.34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140.55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39.95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85.00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485.94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370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Q13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1.70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6.40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288.91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77.90%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165.63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181.57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214.92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154.86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667.51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410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Q14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2.65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7.60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441.23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84.36%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238.03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308.53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345.03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484.89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976.04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450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Q15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3.90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8.80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664.91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88.52%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337.92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494.65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535.50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1,005.39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1,470.69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510</w:t>
            </w:r>
          </w:p>
        </w:tc>
      </w:tr>
      <w:tr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4"/>
              </w:rPr>
              <w:t>Q16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4.55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9.60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846.64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90.11%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426.24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646.41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691.61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1,681.99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0.00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2,117.09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4"/>
              </w:rPr>
              <w:t>570</w:t>
            </w:r>
          </w:p>
        </w:tc>
      </w:tr>
    </w:tbl>
    <w:p>
      <w:pPr>
        <w:spacing w:after="0"/>
      </w:pPr>
    </w:p>
    <w:p>
      <w:r>
        <w:rPr>
          <w:rFonts w:ascii="Aptos" w:hAnsi="Aptos" w:eastAsia="微软雅黑"/>
          <w:sz w:val="17"/>
        </w:rPr>
        <w:t>来源：交付/data/export.json → history。金额由十亿美元乘以10换算为亿美元；比例由披露值换算为百分比。</w:t>
      </w:r>
    </w:p>
    <w:p>
      <w:pPr>
        <w:pStyle w:val="Heading1"/>
      </w:pPr>
      <w:r>
        <w:t>附录B｜口径、假设与未核实事项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96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文件/接口</w:t>
            </w:r>
          </w:p>
        </w:tc>
        <w:tc>
          <w:tcPr>
            <w:tcW w:type="dxa" w:w="765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具体位置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7"/>
              </w:rPr>
              <w:t>实际经营结果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交付/data/export.json</w:t>
            </w:r>
          </w:p>
        </w:tc>
        <w:tc>
          <w:tcPr>
            <w:tcW w:type="dxa" w:w="76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history（16季决策、市场、运营、三张表）、final、bankrupt、cumulative_net_income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7"/>
              </w:rPr>
              <w:t>期初余额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交付/data/q00_state.json</w:t>
            </w:r>
          </w:p>
        </w:tc>
        <w:tc>
          <w:tcPr>
            <w:tcW w:type="dxa" w:w="76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balance_sheet_now、hbm、decision_bounds、signals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7"/>
              </w:rPr>
              <w:t>规则与资格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本机引擎 /rules 与逐季state</w:t>
            </w:r>
          </w:p>
        </w:tc>
        <w:tc>
          <w:tcPr>
            <w:tcW w:type="dxa" w:w="76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资本开支时滞、HBM资格、借款与现金规则；Q6实际资格由回执确认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left"/>
            </w:pPr>
            <w:r>
              <w:rPr>
                <w:rFonts w:ascii="Aptos" w:hAnsi="Aptos" w:eastAsia="微软雅黑"/>
                <w:color w:val="243746"/>
                <w:sz w:val="17"/>
              </w:rPr>
              <w:t>决策过程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交付/决策日志.md 与 data/q01—q16回执</w:t>
            </w:r>
          </w:p>
        </w:tc>
        <w:tc>
          <w:tcPr>
            <w:tcW w:type="dxa" w:w="76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B"/>
          </w:tcPr>
          <w:p>
            <w:pPr>
              <w:jc w:val="right"/>
            </w:pPr>
            <w:r>
              <w:rPr>
                <w:rFonts w:ascii="Aptos" w:hAnsi="Aptos" w:eastAsia="微软雅黑"/>
                <w:color w:val="243746"/>
                <w:sz w:val="17"/>
              </w:rPr>
              <w:t>每季决策前信号、决策理由和实际结果</w:t>
            </w:r>
          </w:p>
        </w:tc>
      </w:tr>
    </w:tbl>
    <w:p>
      <w:pPr>
        <w:spacing w:after="0"/>
      </w:pP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未使用外部行业数字或网页资料；所有实际财务数字均来自本局导出。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反事实部分均为明确标注的假设，未重新运行引擎，不能视为已实现收入或利润。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引擎未提供分产品成本、HBM净利润、订单取消成本或可取消扩产选项，因此未对这些项目作事实性断言。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披露数据通常为四位小数；比率、现金桥与权益变动可能存在末位舍入差。Excel校验容差为0.0002十亿美元。</w:t>
      </w:r>
    </w:p>
    <w:p>
      <w:pPr>
        <w:pStyle w:val="ListBullet"/>
        <w:spacing w:after="80"/>
      </w:pPr>
      <w:r>
        <w:rPr>
          <w:rFonts w:ascii="Aptos" w:hAnsi="Aptos" w:eastAsia="微软雅黑"/>
          <w:sz w:val="21"/>
        </w:rPr>
        <w:t>本报告不是审计报告，也不构成投资建议；不涉及任何证券买卖、持有或估值结论。</w:t>
      </w:r>
    </w:p>
    <w:sectPr w:rsidR="00FC693F" w:rsidRPr="0006063C" w:rsidSect="00034616">
      <w:pgSz w:w="16838" w:h="11906" w:orient="landscape"/>
      <w:pgMar w:top="765" w:right="765" w:bottom="737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微软雅黑"/>
        <w:color w:val="657786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Aptos" w:hAnsi="Aptos" w:eastAsia="微软雅黑"/>
        <w:color w:val="657786"/>
        <w:sz w:val="16"/>
      </w:rPr>
      <w:t xml:space="preserve"> 页｜董事会材料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微软雅黑"/>
        <w:b/>
        <w:color w:val="17324D"/>
        <w:sz w:val="17"/>
      </w:rPr>
      <w:t>内存芯片公司｜16季度经营复盘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40"/>
    </w:pPr>
    <w:rPr>
      <w:rFonts w:ascii="Aptos" w:hAnsi="Aptos" w:eastAsia="微软雅黑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 w:eastAsia="微软雅黑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ptos Display" w:hAnsi="Aptos Display" w:eastAsia="微软雅黑"/>
      <w:b/>
      <w:bCs/>
      <w:color w:val="2E6FD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ptos Display" w:hAnsi="Aptos Display" w:eastAsia="微软雅黑"/>
      <w:b/>
      <w:bCs/>
      <w:color w:val="129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Aptos Display" w:hAnsi="Aptos Display" w:eastAsia="微软雅黑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从周期防御到HBM增长：16季度经营复盘</dc:title>
  <dc:subject>董事会经营复盘</dc:subject>
  <dc:creator>经营复盘项目组</dc:creator>
  <cp:keywords>内存芯片,HBM,经营复盘,三张表</cp:keywords>
  <dc:description>数据来源：经营模拟引擎导出数据。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