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Subtitle"/>
      </w:pPr>
      <w:r>
        <w:t>ENERGY RESEARCH  /  01</w:t>
      </w:r>
    </w:p>
    <w:p>
      <w:pPr>
        <w:spacing w:after="440"/>
      </w:pPr>
      <w:r>
        <w:rPr>
          <w:b/>
          <w:color w:val="183749"/>
          <w:sz w:val="96"/>
        </w:rPr>
        <w:t>AI 的电</w:t>
        <w:br/>
        <w:t>从哪来</w:t>
      </w:r>
    </w:p>
    <w:p>
      <w:pPr>
        <w:pStyle w:val="Subtitle"/>
      </w:pPr>
      <w:r>
        <w:t>从数据中心的资本开支，</w:t>
        <w:br/>
        <w:t>到电网、核电与聚变的商业路径。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现实供电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长期选择</w:t>
            </w:r>
          </w:p>
        </w:tc>
      </w:tr>
      <w:tr>
        <w:trPr>
          <w:cantSplit/>
        </w:trPr>
        <w:tc>
          <w:tcPr>
            <w:tcW w:type="dxa" w:w="325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485 → 950 TWh</w:t>
              <w:br/>
              <w:t>2025估计 → 2030预测</w:t>
            </w:r>
          </w:p>
        </w:tc>
        <w:tc>
          <w:tcPr>
            <w:tcW w:type="dxa" w:w="325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电网连接多类电源</w:t>
              <w:br/>
              <w:t>合同与物理供电须分开</w:t>
            </w:r>
          </w:p>
        </w:tc>
        <w:tc>
          <w:tcPr>
            <w:tcW w:type="dxa" w:w="325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聚变仍待净电力验证</w:t>
              <w:br/>
              <w:t>基准模型不预支贡献</w:t>
            </w:r>
          </w:p>
        </w:tc>
      </w:tr>
    </w:tbl>
    <w:p>
      <w:pPr>
        <w:pStyle w:val="Caption"/>
      </w:pPr>
      <w:r>
        <w:t>需求来源：IEA 2026-04-16（S3，D03/D04）；聚变处理为本文假设 A08。</w:t>
      </w:r>
    </w:p>
    <w:p>
      <w:r>
        <w:br/>
      </w:r>
    </w:p>
    <w:p>
      <w:r>
        <w:t>研究截止与网页访问日：2026-10-22</w:t>
      </w:r>
    </w:p>
    <w:p>
      <w:r>
        <w:t>财务依据：用户提供的 Meta 2026Q3、Constellation 2025年报与2026Q2季报。其他资料采用官方披露；本文不评价股价，不提供交易建议。</w:t>
      </w:r>
    </w:p>
    <w:p>
      <w:pPr>
        <w:pStyle w:val="Caption"/>
      </w:pPr>
      <w:r>
        <w:t>交付配套：可重算 Excel 数据模型 · 本地 Three.js 交互网页 · 演示摘要</w:t>
      </w:r>
    </w:p>
    <w:p>
      <w:r>
        <w:br w:type="page"/>
      </w:r>
    </w:p>
    <w:p>
      <w:pPr>
        <w:pStyle w:val="Subtitle"/>
      </w:pPr>
      <w:r>
        <w:t>01  /  AI 的电从哪来</w:t>
      </w:r>
    </w:p>
    <w:p>
      <w:pPr>
        <w:pStyle w:val="Heading1"/>
      </w:pPr>
      <w:r>
        <w:t>先看结论：电力约束已经进入建设账本</w:t>
      </w:r>
    </w:p>
    <w:p>
      <w:pPr>
        <w:pStyle w:val="Caption"/>
      </w:pPr>
      <w:r>
        <w:t>结论依据按事实、公司目标与研究假设分列；不把融资额当收入，不把合约容量当即时交付。</w:t>
      </w:r>
    </w:p>
    <w:p>
      <w:pPr>
        <w:pStyle w:val="Heading2"/>
      </w:pPr>
      <w:r>
        <w:t>需求在增长，但“AI 用电”不能用全部机房用电代替</w:t>
      </w:r>
    </w:p>
    <w:p>
      <w:r>
        <w:t>IEA 的最新完整年度估计为：2025 年全球数据中心用电约 485 TWh，2030 年中央预测约 950 TWh，后者约占全球用电 3%。这包含 AI 和非 AI 负荷。以约数计算，五年复合增速约 14.4%，并不是对任一家公司电量的预测。[S3，2026-04-16；D03/D04/D06，K17]</w:t>
      </w:r>
    </w:p>
    <w:p>
      <w:pPr>
        <w:pStyle w:val="Heading2"/>
      </w:pPr>
      <w:r>
        <w:t>近端收入机会来自已能交付的设备、服务与电力</w:t>
      </w:r>
    </w:p>
    <w:p>
      <w:r>
        <w:t>本研究判断：建设期的支出先流向电网连接、变压器与配电设备、燃气设备、冷却及工程服务；运行期形成电能、容量、平衡与清洁能源属性的持续收费。核电运营商可借长期协议降低收入不确定性，但收益取决于合同价格、对冲、可用率和新增投资。行业需求增长不意味着每个环节利润同步增长。</w:t>
      </w:r>
    </w:p>
    <w:p>
      <w:pPr>
        <w:pStyle w:val="Heading2"/>
      </w:pPr>
      <w:r>
        <w:t>聚变是远期供电选项，商业里程碑要重新排序</w:t>
      </w:r>
    </w:p>
    <w:p>
      <w:r>
        <w:t>CFS–Google 与 Helion–Microsoft 已公布购电安排，但公司目标不是已完成交付。应依次验证净电输出、可用率、可维护性、许可和项目融资。本模型在2030供电结构中假设聚变为零，把潜在示范视为上行选择，不把它当作基准保供来源。[S10，2025-06-30；S12，2023-05-10；A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cantSplit/>
          <w:tblHeader/>
        </w:trPr>
        <w:tc>
          <w:tcPr>
            <w:tcW w:type="dxa" w:w="9752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读者应带走的判断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真正稀缺的不是某一种电源名称，而是能按时在指定地点提供可靠电力的组合：可用电源 + 可达电网 + 可承担的交付成本。</w:t>
            </w:r>
          </w:p>
        </w:tc>
      </w:tr>
    </w:tbl>
    <w:p>
      <w:pPr>
        <w:pStyle w:val="Heading2"/>
      </w:pPr>
      <w:r>
        <w:t>口径纪律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不能混用</w:t>
            </w:r>
          </w:p>
        </w:tc>
        <w:tc>
          <w:tcPr>
            <w:tcW w:type="dxa" w:w="4876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正确处理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MW / GW 与 MWh / TWh</w:t>
            </w:r>
          </w:p>
        </w:tc>
        <w:tc>
          <w:tcPr>
            <w:tcW w:type="dxa" w:w="7483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前者是功率，后者是电量；换算还需运行小时与负载率。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年电量与逐时清洁供电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年度绿电匹配不能证明每小时都使用无碳电力。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资本开支与用电量</w:t>
            </w:r>
          </w:p>
        </w:tc>
        <w:tc>
          <w:tcPr>
            <w:tcW w:type="dxa" w:w="7483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支出含芯片、机房、网络与租赁；缺少设备与负载数据时不能直接换算。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融资、估值与电厂建造成本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融资是资金来源，估值是权益定价，二者都不是已验证LCOE。</w:t>
            </w:r>
          </w:p>
        </w:tc>
      </w:tr>
    </w:tbl>
    <w:p>
      <w:r>
        <w:br w:type="page"/>
      </w:r>
    </w:p>
    <w:p>
      <w:pPr>
        <w:pStyle w:val="Subtitle"/>
      </w:pPr>
      <w:r>
        <w:t>02  /  AI 的电从哪来</w:t>
      </w:r>
    </w:p>
    <w:p>
      <w:pPr>
        <w:pStyle w:val="Heading1"/>
      </w:pPr>
      <w:r>
        <w:t>全球需求：用最新总量，保留预测版本</w:t>
      </w:r>
    </w:p>
    <w:p>
      <w:pPr>
        <w:pStyle w:val="Caption"/>
      </w:pPr>
      <w:r>
        <w:t>2024—2025为IEA估计；2030为预测或敏感性。图中的低、高值均为研究假设。</w:t>
      </w:r>
    </w:p>
    <w:p>
      <w:r>
        <w:drawing>
          <wp:inline xmlns:a="http://schemas.openxmlformats.org/drawingml/2006/main" xmlns:pic="http://schemas.openxmlformats.org/drawingml/2006/picture">
            <wp:extent cx="6192000" cy="23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需求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　全球数据中心终端用电。数值来自数据表“明细”D01/D03和“模型”K14–K16。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2041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438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历史基点</w:t>
            </w:r>
          </w:p>
        </w:tc>
        <w:tc>
          <w:tcPr>
            <w:tcW w:type="dxa" w:w="2438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2030</w:t>
            </w:r>
          </w:p>
        </w:tc>
        <w:tc>
          <w:tcPr>
            <w:tcW w:type="dxa" w:w="2438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IEA 2025版</w:t>
              <w:br/>
              <w:t>2025-04-10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2024：415 TWh</w:t>
            </w:r>
          </w:p>
        </w:tc>
        <w:tc>
          <w:tcPr>
            <w:tcW w:type="dxa" w:w="204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945 TWh</w:t>
            </w:r>
          </w:p>
        </w:tc>
        <w:tc>
          <w:tcPr>
            <w:tcW w:type="dxa" w:w="362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保留旧版，便于追踪预测修订。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IEA 2026版</w:t>
              <w:br/>
              <w:t>2026-04-16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2025：485 TWh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约950 TWh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本文最新需求基准。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本文敏感性</w:t>
              <w:br/>
              <w:t>2026-10-22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以最新基准为锚</w:t>
            </w:r>
          </w:p>
        </w:tc>
        <w:tc>
          <w:tcPr>
            <w:tcW w:type="dxa" w:w="204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760 / 1,140 TWh</w:t>
            </w:r>
          </w:p>
        </w:tc>
        <w:tc>
          <w:tcPr>
            <w:tcW w:type="dxa" w:w="362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基准×80% / 120%，不是IEA官方情景。</w:t>
            </w:r>
          </w:p>
        </w:tc>
      </w:tr>
    </w:tbl>
    <w:p>
      <w:pPr>
        <w:pStyle w:val="Caption"/>
      </w:pPr>
      <w:r>
        <w:t>来源：[S1，2025-04-10；S3，2026-04-16；D01–D04；A01–A03；K14–K16]。</w:t>
      </w:r>
    </w:p>
    <w:p>
      <w:pPr>
        <w:pStyle w:val="Heading2"/>
      </w:pPr>
      <w:r>
        <w:t>AI 是增长驱动，不等于全部负荷</w:t>
      </w:r>
    </w:p>
    <w:p>
      <w:r>
        <w:t>IEA估计2025年全部数据中心用电增长17%，AI-focused数据中心增长50%；后者在2025—2030年预计扩大至约3倍。分类基于数据中心特征，不能读作所有AI任务的精确电量。训练、推理与模型使用结构持续变化，因此不采用固定“每次问答耗电”外推全球需求。[S3，2026-04-16；D07–D09]</w:t>
      </w:r>
    </w:p>
    <w:p>
      <w:pPr>
        <w:pStyle w:val="Heading2"/>
      </w:pPr>
      <w:r>
        <w:t>全球占比小，不代表局部电网容易承受</w:t>
      </w:r>
    </w:p>
    <w:p>
      <w:r>
        <w:t>2024年美国约占全球数据中心用电45%；以415 TWh乘该份额，粗略得到约187 TWh。两个输入都是约数，仅用于数量级。2030年950 TWh对应约108.4 GW平均负荷，并非可直接申请的峰值接入容量。建设集中、逐步上架与同时性，才决定区域电网的实际压力。[S1，2025-04-10；D01/D15；K18/K19；A12]</w:t>
      </w:r>
    </w:p>
    <w:p>
      <w:r>
        <w:t>另一个容易混淆的数字是IEA 2025版的2024年供给侧发电量460 TWh。它与415 TWh终端用电的系统边界不同，本文不将二者相加，也不用二者之比假定未来固定网损率。[S2，2025-04-10；D10]</w:t>
      </w:r>
    </w:p>
    <w:p>
      <w:r>
        <w:br w:type="page"/>
      </w:r>
    </w:p>
    <w:p>
      <w:pPr>
        <w:pStyle w:val="Subtitle"/>
      </w:pPr>
      <w:r>
        <w:t>03  /  AI 的电从哪来</w:t>
      </w:r>
    </w:p>
    <w:p>
      <w:pPr>
        <w:pStyle w:val="Heading1"/>
      </w:pPr>
      <w:r>
        <w:t>科技巨头：花钱更快，通电仍需时间</w:t>
      </w:r>
    </w:p>
    <w:p>
      <w:pPr>
        <w:pStyle w:val="Caption"/>
      </w:pPr>
      <w:r>
        <w:t>Meta使用用户提供的最新季报；其他巨头用已核查的官方季度披露补充。期间与租赁口径不统一，不作简单总和。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268"/>
        <w:gridCol w:w="4932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公司 / 期间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支出规模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口径与来源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Meta / 2026Q3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349.10亿美元</w:t>
            </w:r>
          </w:p>
        </w:tc>
        <w:tc>
          <w:tcPr>
            <w:tcW w:type="dxa" w:w="493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含融资租赁本金。F1，2026-10-21，M05。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Meta / 2026前九个月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858.24亿美元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830.55亿购建资产 + 27.69亿租赁本金。F1，M01/M02，K01。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Alphabet / 2026Q2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449.24亿美元</w:t>
            </w:r>
          </w:p>
        </w:tc>
        <w:tc>
          <w:tcPr>
            <w:tcW w:type="dxa" w:w="493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购建固定资产现金支出；全公司。S4，2026-07-22，T01。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Microsoft / FY26Q4</w:t>
              <w:br/>
              <w:t>即2026年4–6月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358.02亿美元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现金流表购建固定资产，不含非现金租赁新增。S5，2026-07-29，T03。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Amazon / TTM至2026-06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约1,690亿美元</w:t>
            </w:r>
          </w:p>
        </w:tc>
        <w:tc>
          <w:tcPr>
            <w:tcW w:type="dxa" w:w="493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1,614亿经营现金流减负76亿自由现金流推导；净购建资产摘要约数。S6，2026-07-30，T05/T06，K10。</w:t>
            </w:r>
          </w:p>
        </w:tc>
      </w:tr>
    </w:tbl>
    <w:p>
      <w:pPr>
        <w:pStyle w:val="Heading2"/>
      </w:pPr>
      <w:r>
        <w:t>Meta：资本开支从增量投入走向持续交付压力</w:t>
      </w:r>
    </w:p>
    <w:p>
      <w:r>
        <w:t>前三季度含融资租赁本金的资本开支同比增长71.4%，约占经营现金流的88.6%。经营现金流减这项资本开支后约余110.49亿美元；这只是研究用的现金差额，不能替代公司全部自由现金流定义，更不是利润。[F1，2026-10-21；现金流量表；K01–K07]</w:t>
      </w:r>
    </w:p>
    <w:p>
      <w:r>
        <w:t>全年资本开支指引为1,350–1,450亿美元。扣除前三季度实际后，隐含第四季度还需投入491.76–591.76亿美元。它是由全年指引推导的区间，不是公司另行给出的季度指引。[F1，2026-10-21；MD&amp;A / Liquidity；M06/M07，K04/K05]</w:t>
      </w:r>
    </w:p>
    <w:p>
      <w:pPr>
        <w:pStyle w:val="Heading2"/>
      </w:pPr>
      <w:r>
        <w:t>在建工程与表外安排，是比支出总额更接近“何时通电”的线索</w:t>
      </w:r>
    </w:p>
    <w:p>
      <w:r>
        <w:t>Meta在建工程由2025年末505.21亿美元增至2026年9月末894.99亿美元，增幅约77.2%；原件说明主要关联数据中心、服务器与网络基础设施。土地与未完成工程不会同步形成电量，资产原值也不是功率。[F1，2026-10-21；Note 6；M09/M10，K08]</w:t>
      </w:r>
    </w:p>
    <w:p>
      <w:r>
        <w:t>Louisiana与Texas两个数据中心合资项目预计总开发成本分别为270亿、140亿美元，Meta各持20%。这些是全项目、跨年度预算；不能把预算全额或持股比例分摊额机械加到当期资本开支。租赁、采购与其他承诺还会改变后续现金需求。[F1，2026-10-21；Note 5 / Data Center Ventures；M15–M17]</w:t>
      </w:r>
    </w:p>
    <w:p>
      <w:r>
        <w:t>本次核查的财务季报未提供可将当期资本开支准确桥接到已通电GW、全年TWh或AI专属用电的完整参数。因此不编造各家“AI用电量”。实际跟踪应以并网容量、上架率、PUE及电量披露建立桥接。</w:t>
      </w:r>
    </w:p>
    <w:p>
      <w:r>
        <w:br w:type="page"/>
      </w:r>
    </w:p>
    <w:p>
      <w:pPr>
        <w:pStyle w:val="Subtitle"/>
      </w:pPr>
      <w:r>
        <w:t>04  /  AI 的电从哪来</w:t>
      </w:r>
    </w:p>
    <w:p>
      <w:pPr>
        <w:pStyle w:val="Heading1"/>
      </w:pPr>
      <w:r>
        <w:t>Constellation：先看可用电，再看财务结果</w:t>
      </w:r>
    </w:p>
    <w:p>
      <w:pPr>
        <w:pStyle w:val="Caption"/>
      </w:pPr>
      <w:r>
        <w:t>2025年报提供核电运行基线；2026H1已合并Calpine，组合变化必须独立解释。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061"/>
        <w:gridCol w:w="4252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2025全年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2026H1 / 同期比较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合并营收</w:t>
            </w:r>
          </w:p>
        </w:tc>
        <w:tc>
          <w:tcPr>
            <w:tcW w:type="dxa" w:w="306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255.33亿美元</w:t>
            </w:r>
          </w:p>
        </w:tc>
        <w:tc>
          <w:tcPr>
            <w:tcW w:type="dxa" w:w="425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186.26亿美元；2025H1为128.89亿美元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资本开支</w:t>
            </w:r>
          </w:p>
        </w:tc>
        <w:tc>
          <w:tcPr>
            <w:tcW w:type="dxa" w:w="30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29.49亿美元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25.21亿美元；2025H1为15.73亿美元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核电发电量</w:t>
            </w:r>
          </w:p>
        </w:tc>
        <w:tc>
          <w:tcPr>
            <w:tcW w:type="dxa" w:w="306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182.690 TWh</w:t>
            </w:r>
          </w:p>
        </w:tc>
        <w:tc>
          <w:tcPr>
            <w:tcW w:type="dxa" w:w="425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88.827 TWh；2025H1为90.753 TWh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自营核电容量因子</w:t>
            </w:r>
          </w:p>
        </w:tc>
        <w:tc>
          <w:tcPr>
            <w:tcW w:type="dxa" w:w="30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94.7%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92.7%；2025H1为94.5%</w:t>
            </w:r>
          </w:p>
        </w:tc>
      </w:tr>
    </w:tbl>
    <w:p>
      <w:pPr>
        <w:pStyle w:val="Caption"/>
      </w:pPr>
      <w:r>
        <w:t>来源：F2，2026-02-24，C01/C02/C04/C05；F3，2026-08-06，C06–C13。发电量按持有比例；容量因子排除Salem及STP，两个指标覆盖范围不同。</w:t>
      </w:r>
    </w:p>
    <w:p>
      <w:r>
        <w:t>2025年CEG Parent合并净利润为23.23亿美元，经营现金流为42.37亿美元，说明存量业务已有经营收益与回款。但这不是AI项目单独利润；现金流还会受到营运资金及抵押品变动影响。[F2，2026-02-24；合并现金流量表；C19/C03]</w:t>
      </w:r>
    </w:p>
    <w:p>
      <w:pPr>
        <w:pStyle w:val="Heading2"/>
      </w:pPr>
      <w:r>
        <w:t>收入增长并不等于“AI电费已经兑现”</w:t>
      </w:r>
    </w:p>
    <w:p>
      <w:r>
        <w:t>2026H1收入同比增加44.5%，资本开支增加60.3%，但核电量减少2.1%。公司在2026年1月7日完成Calpine收购并开始并表，因此增长同时包含资产组合变化。还需区分售电与燃料采购、套保结算、公允价值变动及检修，不能把合并营收增量全部归于数据中心。[F3，2026-08-06；Note 2、MD&amp;A；K11–K13]</w:t>
      </w:r>
    </w:p>
    <w:p>
      <w:pPr>
        <w:pStyle w:val="Heading2"/>
      </w:pPr>
      <w:r>
        <w:t>长期协议创造的是承购与融资确定性</w:t>
      </w:r>
    </w:p>
    <w:p>
      <w:r>
        <w:t>对发电商，长期承购可以降低重启、换证和增容投资的不确定性；对科技公司，可以锁定电源或清洁属性的长期可得性。能否赚到钱仍取决于未公开电价、交付义务、停机时购电补足成本、资本支出和资金成本。由于关键协议价格未公开，本文不推算项目利润率或净现值。</w:t>
      </w:r>
    </w:p>
    <w:p>
      <w:pPr>
        <w:pStyle w:val="Heading2"/>
      </w:pPr>
      <w:r>
        <w:t>Crane：最有解释力的并网案例</w:t>
      </w:r>
    </w:p>
    <w:p>
      <w:r>
        <w:t>年报披露Crane重启后预计约835 MW，并有Microsoft支持的20年PPA，包含能源、容量与无排放属性。二季报进一步指出，PJM研究涉及的某些输电升级可能延至2030年12月；公司为转移Eddystone容量接入权申请豁免，FERC在2026年6月批准。这降低了部分接入障碍，却不能视为所有许可、安全审查、施工和可靠送达条件均已完成。[F2，2026-02-24，Item 1；F3，2026-08-06，Note 3 / Capacity Interconnection Rights for Crane；C14/C15]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cantSplit/>
          <w:tblHeader/>
        </w:trPr>
        <w:tc>
          <w:tcPr>
            <w:tcW w:type="dxa" w:w="9752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“谁在赚钱”应拆成收入机制与已披露财务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Constellation 已有经营收入与核电资产；新PPA可能改变其未来收入结构。但若没有单项目价格、成本与交付披露，不能把整个核电公司的盈利直接标记为“AI利润”。</w:t>
            </w:r>
          </w:p>
        </w:tc>
      </w:tr>
    </w:tbl>
    <w:p>
      <w:r>
        <w:br w:type="page"/>
      </w:r>
    </w:p>
    <w:p>
      <w:pPr>
        <w:pStyle w:val="Subtitle"/>
      </w:pPr>
      <w:r>
        <w:t>05  /  AI 的电从哪来</w:t>
      </w:r>
    </w:p>
    <w:p>
      <w:pPr>
        <w:pStyle w:val="Heading1"/>
      </w:pPr>
      <w:r>
        <w:t>电从哪来：组合供电，分清物理与合同</w:t>
      </w:r>
    </w:p>
    <w:p>
      <w:pPr>
        <w:pStyle w:val="Caption"/>
      </w:pPr>
      <w:r>
        <w:t>电网不是一种燃料，而是连接与平衡系统；数据中心通常通过它同时使用多种来源。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005"/>
        <w:gridCol w:w="4876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能解决什么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主要瓶颈 / 收入获得者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电网接入与扩容</w:t>
            </w:r>
          </w:p>
        </w:tc>
        <w:tc>
          <w:tcPr>
            <w:tcW w:type="dxa" w:w="300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共享备用、地域互补、瞬时平衡</w:t>
            </w:r>
          </w:p>
        </w:tc>
        <w:tc>
          <w:tcPr>
            <w:tcW w:type="dxa" w:w="4876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输电与变电、接入排队、成本分摊；公用事业收取获批网络费，设备和工程商收订单。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天然气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可调度电源；部分现场发电可缓解接入约束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燃机交期、气源管道、排放许可、冗余容量；发电商赚售电价差，设备商赚交付与服务收入。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存量核电、延寿、增容与重启</w:t>
            </w:r>
          </w:p>
        </w:tc>
        <w:tc>
          <w:tcPr>
            <w:tcW w:type="dxa" w:w="300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较高可用率的低运行排放电力</w:t>
            </w:r>
          </w:p>
        </w:tc>
        <w:tc>
          <w:tcPr>
            <w:tcW w:type="dxa" w:w="4876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核安全审查、停机维护、重启施工和接入；运营商获能源、容量、属性收入。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风光、水电及储能组合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增加低运行排放电量；储能移峰与缓冲负荷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地点与时段错配、许可、输送、储能时长与损耗；开发商获售电与合同收入。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新核电 / SMR / 聚变</w:t>
            </w:r>
          </w:p>
        </w:tc>
        <w:tc>
          <w:tcPr>
            <w:tcW w:type="dxa" w:w="300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长期可调或稳定低排放电源的可能扩展</w:t>
            </w:r>
          </w:p>
        </w:tc>
        <w:tc>
          <w:tcPr>
            <w:tcW w:type="dxa" w:w="4876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设计、首堆成本、许可、供应链及商业验证；研发融资暂不能视为电力销售收入。</w:t>
            </w:r>
          </w:p>
        </w:tc>
      </w:tr>
    </w:tbl>
    <w:p>
      <w:pPr>
        <w:pStyle w:val="Caption"/>
      </w:pPr>
      <w:r>
        <w:t>依据：IEA供电分析[S2，2025-04-10]、现场燃气分析[S3，2026-04-16]与公司披露；收入机制为研究分析，不是利润保证。</w:t>
      </w:r>
    </w:p>
    <w:p>
      <w:pPr>
        <w:pStyle w:val="Heading2"/>
      </w:pPr>
      <w:r>
        <w:t>三份核电协议，三种不同的“新增性”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81"/>
        <w:gridCol w:w="5046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容量 / 时间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究竟买到了什么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Crane–Microsoft</w:t>
            </w:r>
          </w:p>
        </w:tc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约835 MW；20年</w:t>
              <w:br/>
              <w:t>签约2024年</w:t>
            </w:r>
          </w:p>
        </w:tc>
        <w:tc>
          <w:tcPr>
            <w:tcW w:type="dxa" w:w="5046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重启停运资产的产出，交付仍受审批与接入条件约束。[F2，2026-02-24；F3，2026-08-06]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Clinton–Meta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1,121 MW；20年</w:t>
              <w:br/>
              <w:t>2027年6月起</w:t>
            </w:r>
          </w:p>
        </w:tc>
        <w:tc>
          <w:tcPr>
            <w:tcW w:type="dxa" w:w="504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主要保留存量机组、支持换证；计划增容30 MW。Meta购买清洁能源属性，电力仍入本地电网。[S7，2025-06-03]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Susquehanna–AWS</w:t>
            </w:r>
          </w:p>
        </w:tc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最高1,920 MW</w:t>
              <w:br/>
              <w:t>至2042年，可延长</w:t>
            </w:r>
          </w:p>
        </w:tc>
        <w:tc>
          <w:tcPr>
            <w:tcW w:type="dxa" w:w="5046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逐步达到全部合约量；前表供电安排，不能将原共址容量与新协议上限重复相加。[S8，2025-06-11]</w:t>
            </w:r>
          </w:p>
        </w:tc>
      </w:tr>
    </w:tbl>
    <w:p>
      <w:pPr>
        <w:pStyle w:val="Caption"/>
      </w:pPr>
      <w:r>
        <w:t>容量与日期索引：C14/C15、P01–P05。以上项目不按同一商业运行年份简单加总。若仅为数量级比较，以90%容量因子、8,760小时假设算得Crane年电量约6.58 TWh、Clinton约8.84 TWh、Talen合约满量约15.14 TWh；这些是计算示意，不是实际电量或合同保证。[K28–K30；A12/A16，2026-10-22]</w:t>
      </w:r>
    </w:p>
    <w:p>
      <w:r>
        <w:br w:type="page"/>
      </w:r>
    </w:p>
    <w:p>
      <w:pPr>
        <w:pStyle w:val="Subtitle"/>
      </w:pPr>
      <w:r>
        <w:t>06  /  AI 的电从哪来</w:t>
      </w:r>
    </w:p>
    <w:p>
      <w:pPr>
        <w:pStyle w:val="Heading1"/>
      </w:pPr>
      <w:r>
        <w:t>成本：先定义交付质量，再谈一度电多贵</w:t>
      </w:r>
    </w:p>
    <w:p>
      <w:pPr>
        <w:pStyle w:val="Caption"/>
      </w:pPr>
      <w:r>
        <w:t>到户且可保供的电价，比单一发电技术的平准化度电成本更接近数据中心决策。</w:t>
      </w:r>
    </w:p>
    <w:p>
      <w:pPr>
        <w:pStyle w:val="Heading2"/>
      </w:pPr>
      <w:r>
        <w:t>发电便宜，不代表全天候供电便宜</w:t>
      </w:r>
    </w:p>
    <w:p>
      <w:r>
        <w:t>IRENA统计的2024年全球新增陆上风电与光伏加权平均LCOE分别为34、43美元/MWh。这是跨地区新项目的平准化发电成本，不能直接充当美国数据中心全天候到户电价。输配电、容量和备用、储能、融资、清洁属性以及拥塞和时段基差，都可能增加实际交付成本。[S17，2025-07-22；E01/E02]</w:t>
      </w:r>
    </w:p>
    <w:p>
      <w:pPr>
        <w:pStyle w:val="Heading2"/>
      </w:pPr>
      <w:r>
        <w:t>一个独立的1 GW IT负荷算例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3175"/>
        <w:gridCol w:w="3685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输入 / 结果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基准值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口径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IT名义功率；平均负载率</w:t>
            </w:r>
          </w:p>
        </w:tc>
        <w:tc>
          <w:tcPr>
            <w:tcW w:type="dxa" w:w="317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 GW；85%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均为假设，不代表任何公司园区。A09/A10。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PUE；运行小时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1.20；8,760小时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设施/IT用电比；按非闰年标准化。A11/A12。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设施年用电</w:t>
            </w:r>
          </w:p>
        </w:tc>
        <w:tc>
          <w:tcPr>
            <w:tcW w:type="dxa" w:w="317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8.9352 TWh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 × 85% × 1.20 × 8,760 ÷ 1,000。K20。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电价：低 / 中 / 高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60 / 90 / 120 美元/MWh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到户电费假设，非报价。A13–A15。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年电费：低 / 中 / 高</w:t>
            </w:r>
          </w:p>
        </w:tc>
        <w:tc>
          <w:tcPr>
            <w:tcW w:type="dxa" w:w="317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5.36 / 8.04 / 10.72 亿美元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模型K21–K23；不含服务器、土地、水、人员等。</w:t>
            </w:r>
          </w:p>
        </w:tc>
      </w:tr>
    </w:tbl>
    <w:p>
      <w:pPr>
        <w:pStyle w:val="Caption"/>
      </w:pPr>
      <w:r>
        <w:t>全部算例输入为2026-10-22研究假设；可在Excel“假设”页调整，结果与图表联动。</w:t>
      </w:r>
    </w:p>
    <w:p>
      <w:pPr>
        <w:pStyle w:val="Heading2"/>
      </w:pPr>
      <w:r>
        <w:t>年电量相同，保供能力仍然不同</w:t>
      </w:r>
    </w:p>
    <w:p>
      <w:r>
        <w:t>同一算例按90%核电容量因子换算，约需1.13 GW年电量等效核电容量；按25%光伏容量因子则约需4.08 GW光伏容量。后者并不覆盖夜间，前者也需面对检修与备用。假设设施峰值为1.20 GW，再以35%超配系数算现场燃气容量约1.62 GW；这是容量示例，不是工程方案。[K24–K27；A16–A18，2026-10-22]</w:t>
      </w:r>
    </w:p>
    <w:p>
      <w:r>
        <w:t>IEA对可靠现场燃气供电的分析指出，所需装机可能比负荷高30%–70%。现场方案也面临燃机供应、燃气接入、许可与运维约束，因此“脱网”未必是更快、更便宜的选项。[S3，2026-04-16；D16/D17]</w:t>
      </w:r>
    </w:p>
    <w:p>
      <w:pPr>
        <w:pStyle w:val="Heading2"/>
      </w:pPr>
      <w:r>
        <w:t>把瓶颈按时间顺序审查</w:t>
      </w:r>
    </w:p>
    <w:p>
      <w:r>
        <w:t>先确认可用接入与变电条件，再看主设备交期和许可，再确认电源逐时可用性、冗余与燃料保障，最后检查长期合同与项目融资是否覆盖建设风险。液冷有助于高密度机架散热，但不消除芯片本身的电力需求。效率改善也可能被更多模型使用量抵消。</w:t>
      </w:r>
    </w:p>
    <w:p>
      <w:r>
        <w:br w:type="page"/>
      </w:r>
    </w:p>
    <w:p>
      <w:pPr>
        <w:pStyle w:val="Subtitle"/>
      </w:pPr>
      <w:r>
        <w:t>07  /  AI 的电从哪来</w:t>
      </w:r>
    </w:p>
    <w:p>
      <w:pPr>
        <w:pStyle w:val="Heading1"/>
      </w:pPr>
      <w:r>
        <w:t>聚变公司：融资推进，交付仍待验证</w:t>
      </w:r>
    </w:p>
    <w:p>
      <w:pPr>
        <w:pStyle w:val="Caption"/>
      </w:pPr>
      <w:r>
        <w:t>融资采用所核查官方公告的明确时点；单轮与累计分开，不把估值、承诺资金或并购对价计为已到账融资。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72"/>
        <w:gridCol w:w="4252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公司 / 技术路线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融资披露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时间表与科技客户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CFS</w:t>
              <w:br/>
              <w:t>高场托卡马克</w:t>
            </w:r>
          </w:p>
        </w:tc>
        <w:tc>
          <w:tcPr>
            <w:tcW w:type="dxa" w:w="357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2025-08-28 B2轮8.63亿美元；累计接近30亿美元。[S9]</w:t>
            </w:r>
          </w:p>
        </w:tc>
        <w:tc>
          <w:tcPr>
            <w:tcW w:type="dxa" w:w="425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SPARC先验证Q&gt;1；ARC目标2030年代初并网，设计净电功率400 MW。Google承购200 MW。[S10，2025-06-30]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Helion</w:t>
              <w:br/>
              <w:t>脉冲FRC / 直接电能回收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G轮2026-06-04初次关闭4.65亿美元，9月最终关闭5亿美元；6月公告累计约15亿美元。[S11]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Microsoft协议：目标2028年上线，经过1年爬坡后达到至少50 MW。不是2028全年50 MW保证。[S12，2023-05-10]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TAE</w:t>
              <w:br/>
              <w:t>FRC / 长期氢硼路线</w:t>
            </w:r>
          </w:p>
        </w:tc>
        <w:tc>
          <w:tcPr>
            <w:tcW w:type="dxa" w:w="357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2025-06-02新轮超过1.5亿美元；累计股权融资超过13亿美元。[S13]</w:t>
            </w:r>
          </w:p>
        </w:tc>
        <w:tc>
          <w:tcPr>
            <w:tcW w:type="dxa" w:w="4252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该公告目标Copernicus本十年末前净能量、Da Vinci于2030年代初商业电力。Google投资不等于PPA。2026-09-30仍为拟议并购推进。[S14]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Type One Energy</w:t>
              <w:br/>
              <w:t>仿星器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2026-10-06完成B轮2亿美元。[S15]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Infinity Two目标2034商业运行；未在所核查公告中找到科技公司有约束力PPA。[S16，2026-05-06]</w:t>
            </w:r>
          </w:p>
        </w:tc>
      </w:tr>
    </w:tbl>
    <w:p>
      <w:pPr>
        <w:pStyle w:val="Caption"/>
      </w:pPr>
      <w:r>
        <w:t>数据ID：U01–U14。CFS累计为“接近”，TAE为“超过”；Helion六月累计不是九月精确累计。公告更新未披露具体日，按月份标注。公司时间表均非本文保证。</w:t>
      </w:r>
    </w:p>
    <w:p>
      <w:pPr>
        <w:pStyle w:val="Heading2"/>
      </w:pPr>
      <w:r>
        <w:t>购电协议的价值：用未来需求支持今天融资</w:t>
      </w:r>
    </w:p>
    <w:p>
      <w:r>
        <w:t>Google对CFS既投资又签承购安排，公告将协议与SPARC的Q&gt;1里程碑联系起来。Helion公告中Constellation承担电力营销与输电管理。两种合作均可帮助开发商建立客户需求，但公告未提供足以独立测算电价、利润率和违约保护的完整条款。[S10，2025-06-30；S12，2023-05-10]</w:t>
      </w:r>
    </w:p>
    <w:p>
      <w:pPr>
        <w:pStyle w:val="Heading2"/>
      </w:pPr>
      <w:r>
        <w:t>四道商业门槛</w:t>
      </w:r>
    </w:p>
    <w:p>
      <w:r>
        <w:t>科学门槛是足够的聚变能量；工程门槛是扣除全厂消耗后仍有净电；运营门槛是可维护、可重复并持续运行；商业门槛是建设成本、可用率和融资条件共同形成可承受的交付电价。对D–T路线还需验证氚供给、增殖与循环；其他燃料路线面临不同的温度和约束挑战。</w:t>
      </w:r>
    </w:p>
    <w:p>
      <w:r>
        <w:t>本文没有核实到上述厂商已持续、商业化向数据中心供电的可审计证据。因此聚变模型贡献默认为零，不给出未经验证的商业LCOE，也不把融资加速推断为技术已经成熟。</w:t>
      </w:r>
    </w:p>
    <w:p>
      <w:r>
        <w:br w:type="page"/>
      </w:r>
    </w:p>
    <w:p>
      <w:pPr>
        <w:pStyle w:val="Subtitle"/>
      </w:pPr>
      <w:r>
        <w:t>08  /  AI 的电从哪来</w:t>
      </w:r>
    </w:p>
    <w:p>
      <w:pPr>
        <w:pStyle w:val="Heading1"/>
      </w:pPr>
      <w:r>
        <w:t>拆开托卡马克：网页如何解释发电</w:t>
      </w:r>
    </w:p>
    <w:p>
      <w:pPr>
        <w:pStyle w:val="Caption"/>
      </w:pPr>
      <w:r>
        <w:t>模型为概念性D–T托卡马克剖面，参考ITER部件说明，不是任何真实机型的工程复刻。</w:t>
      </w:r>
    </w:p>
    <w:p>
      <w:r>
        <w:drawing>
          <wp:inline xmlns:a="http://schemas.openxmlformats.org/drawingml/2006/main" xmlns:pic="http://schemas.openxmlformats.org/drawingml/2006/picture">
            <wp:extent cx="6192000" cy="348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网页_包层拆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　本地Three.js网页实测画面。滚动逐层拆解，部件标注随模型移动。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685"/>
        <w:gridCol w:w="3685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通往商业电厂的难题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磁体线圈 / 中央螺线管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约束等离子体、控制位置形状并驱动电流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超导冷却、受力支撑、绝缘与辐照保护。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真空室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提供洁净真空环境与结构边界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密封、端口与诊断、制造公差、远程维护。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第一壁 / 包层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屏蔽与取热；商业增殖包层还需产氚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材料抗辐照、热循环、氚回收与自持。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偏滤器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排出氦灰与杂质，承担高热流排出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抗热疲劳、有效冷却、快速替换。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等离子体与热转换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燃料聚变释放能量；热经循环变成电力</w:t>
            </w:r>
          </w:p>
        </w:tc>
        <w:tc>
          <w:tcPr>
            <w:tcW w:type="dxa" w:w="368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Q&gt;1不等于净上网；扣除厂用电后才有外送电力。</w:t>
            </w:r>
          </w:p>
        </w:tc>
      </w:tr>
    </w:tbl>
    <w:p>
      <w:pPr>
        <w:pStyle w:val="Caption"/>
      </w:pPr>
      <w:r>
        <w:t>原理来源：S18/S19，ITER网页未标发布日期，访问2026-10-22；S10，CFS公告2025-06-30。ITER本身不发电；Helion直接电能回收路线不适用图中的汽轮机热循环。</w:t>
      </w:r>
    </w:p>
    <w:p>
      <w:r>
        <w:t>互动包括鼠标滚动、步骤按钮、拖动旋转、复位、暂停动效，以及用电情景切换。手机保留同样的内容和数据；低性能或不支持WebGL的设备可阅读文字说明。图中几何尺寸、线圈数量与运动轨迹均为演示设计，不作为科学或工程参数。</w:t>
      </w:r>
    </w:p>
    <w:p>
      <w:r>
        <w:br w:type="page"/>
      </w:r>
    </w:p>
    <w:p>
      <w:pPr>
        <w:pStyle w:val="Subtitle"/>
      </w:pPr>
      <w:r>
        <w:t>09  /  AI 的电从哪来</w:t>
      </w:r>
    </w:p>
    <w:p>
      <w:pPr>
        <w:pStyle w:val="Heading1"/>
      </w:pPr>
      <w:r>
        <w:t>模型：把披露、假设和展示锁在同一条链上</w:t>
      </w:r>
    </w:p>
    <w:p>
      <w:pPr>
        <w:pStyle w:val="Caption"/>
      </w:pPr>
      <w:r>
        <w:t>数据表中每一条来源输入附名称、发布日期、访问日及口径；全部计算绿色标识，假设用橙色。</w:t>
      </w:r>
    </w:p>
    <w:p>
      <w:pPr>
        <w:pStyle w:val="Heading2"/>
      </w:pPr>
      <w:r>
        <w:t>供电结构如何进入动画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268"/>
        <w:gridCol w:w="2381"/>
        <w:gridCol w:w="2721"/>
      </w:tblGrid>
      <w:tr>
        <w:trPr>
          <w:cantSplit/>
          <w:tblHeader/>
        </w:trPr>
        <w:tc>
          <w:tcPr>
            <w:tcW w:type="dxa" w:w="2438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438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2024份额约数</w:t>
            </w:r>
          </w:p>
        </w:tc>
        <w:tc>
          <w:tcPr>
            <w:tcW w:type="dxa" w:w="2438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2030份额假设</w:t>
            </w:r>
          </w:p>
        </w:tc>
        <w:tc>
          <w:tcPr>
            <w:tcW w:type="dxa" w:w="2438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2030基准电量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煤电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30%</w:t>
            </w:r>
          </w:p>
        </w:tc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18%</w:t>
            </w:r>
          </w:p>
        </w:tc>
        <w:tc>
          <w:tcPr>
            <w:tcW w:type="dxa" w:w="272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171 TWh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天然气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26%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26%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247 TWh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核裂变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15%</w:t>
            </w:r>
          </w:p>
        </w:tc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14%</w:t>
            </w:r>
          </w:p>
        </w:tc>
        <w:tc>
          <w:tcPr>
            <w:tcW w:type="dxa" w:w="272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133 TWh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可再生能源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27%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40%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380 TWh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其他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2%（残差）</w:t>
            </w:r>
          </w:p>
        </w:tc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2%（残差）</w:t>
            </w:r>
          </w:p>
        </w:tc>
        <w:tc>
          <w:tcPr>
            <w:tcW w:type="dxa" w:w="272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19 TWh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聚变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0（假设）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0（假设）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0 TWh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合计</w:t>
            </w:r>
          </w:p>
        </w:tc>
        <w:tc>
          <w:tcPr>
            <w:tcW w:type="dxa" w:w="2268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100%</w:t>
            </w:r>
          </w:p>
        </w:tc>
        <w:tc>
          <w:tcPr>
            <w:tcW w:type="dxa" w:w="238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100%</w:t>
            </w:r>
          </w:p>
        </w:tc>
        <w:tc>
          <w:tcPr>
            <w:tcW w:type="dxa" w:w="2721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950 TWh</w:t>
            </w:r>
          </w:p>
        </w:tc>
      </w:tr>
    </w:tbl>
    <w:p>
      <w:pPr>
        <w:pStyle w:val="Caption"/>
      </w:pPr>
      <w:r>
        <w:t>来源：2024结构参考S2，2025-04-10；2030结构为A04–A08，2026-10-22。电量由“电力流向”公式算得。2024聚变零值为建模处理；其他残差同时吸收来源约数的舍入。</w:t>
      </w:r>
    </w:p>
    <w:p>
      <w:r>
        <w:t>这一结构只用于展示供应组合，不冒充IEA逐燃料的2030预测。燃煤、燃气、核裂变、可再生与其他流向求和必须等于终端总用电。电网是简化汇流与输送层；现场发电也纳入概念汇流，不表示所有物理电子都先走公网。储能是跨时段搬运电量，不再作为新增一次供电来源。</w:t>
      </w:r>
    </w:p>
    <w:p>
      <w:pPr>
        <w:pStyle w:val="Heading2"/>
      </w:pPr>
      <w:r>
        <w:t>可重算关系</w:t>
      </w:r>
    </w:p>
    <w:p>
      <w:r>
        <w:t>在“假设”页改变2030需求倍数，模型K14、低高情景及所有流向电量自动变化；改变PUE则影响示例年电量、三档电费与等效容量。结构份额如果超过100%，模型给出失败提示；正确状态下，各情景守恒校验为零。</w:t>
      </w:r>
    </w:p>
    <w:p>
      <w:r>
        <w:t>网页data.json由Excel已保存的公式缓存导出，附工作簿SHA-256。更改Excel后需重算并保存，再运行“工作底稿/同步网页.py”，以同步展示。网页情景按钮切换的是已导出的表格结果，不在前端自行产生新的财务预测。报告与演示摘要为交付时静态版本，修改假设后如需用于外发，须一并重新生成并复核。</w:t>
      </w:r>
    </w:p>
    <w:p>
      <w:pPr>
        <w:pStyle w:val="Heading2"/>
      </w:pPr>
      <w:r>
        <w:t>资料边界与未核实项</w:t>
      </w:r>
    </w:p>
    <w:p>
      <w:r>
        <w:t>财务数字遵循用户提供原件；原件签署日作为发布日期代理，未独立证明文件与在线申报逐字相同。新PPA价格、小时交付曲线与违约条款未完整公开；聚变最新累计到账资金、完整项目成本与持续净上网记录未统一核实。所有这些空白都保留为空白，不用行业均值冒充公司事实。</w:t>
      </w:r>
    </w:p>
    <w:p>
      <w:r>
        <w:br w:type="page"/>
      </w:r>
    </w:p>
    <w:p>
      <w:pPr>
        <w:pStyle w:val="Subtitle"/>
      </w:pPr>
      <w:r>
        <w:t>10  /  AI 的电从哪来</w:t>
      </w:r>
    </w:p>
    <w:p>
      <w:pPr>
        <w:pStyle w:val="Heading1"/>
      </w:pPr>
      <w:r>
        <w:t>接下来跟踪：把项目进度落到可验证指标</w:t>
      </w:r>
    </w:p>
    <w:p>
      <w:pPr>
        <w:pStyle w:val="Caption"/>
      </w:pPr>
      <w:r>
        <w:t>按季度跟踪现金流和合同；按项目节点跟踪接入、投运与科学工程里程碑。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3969"/>
      </w:tblGrid>
      <w:tr>
        <w:trPr>
          <w:cantSplit/>
          <w:tblHeader/>
        </w:trPr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跟踪对象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优先指标</w:t>
            </w:r>
          </w:p>
        </w:tc>
        <w:tc>
          <w:tcPr>
            <w:tcW w:type="dxa" w:w="3251"/>
            <w:vAlign w:val="center"/>
            <w:shd w:fill="1837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/>
                <w:color w:val="FFFFFF"/>
                <w:sz w:val="18"/>
              </w:rPr>
              <w:t>变化意味着什么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科技巨头</w:t>
            </w:r>
          </w:p>
        </w:tc>
        <w:tc>
          <w:tcPr>
            <w:tcW w:type="dxa" w:w="402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Capex现金支出与租赁新增；在建工程转固；已通电GW、负载率、PUE和购电TWh</w:t>
            </w:r>
          </w:p>
        </w:tc>
        <w:tc>
          <w:tcPr>
            <w:tcW w:type="dxa" w:w="3969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支出上升而转固与电量未跟随，可能是交期、接入或建设积压；不能只看预算。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电网与设备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已签接入协议、升级工程责任、变压器与开关设备交期、区域可靠容量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从申请转为可服务容量，才接近实际算力交付。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天然气</w:t>
            </w:r>
          </w:p>
        </w:tc>
        <w:tc>
          <w:tcPr>
            <w:tcW w:type="dxa" w:w="402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燃机交期、并行燃气接入、排放许可、可用率、燃料与电价差</w:t>
            </w:r>
          </w:p>
        </w:tc>
        <w:tc>
          <w:tcPr>
            <w:tcW w:type="dxa" w:w="3969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现场发电能否真正缩短通电时间；备用与燃料成本是否侵蚀利润。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核电 / PPA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换证与重启节点、增容完成度、实际容量因子、交付电量、实现电价和套保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合同价值要经过投资与交付兑现；注意并表增长与有机增长的区别。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可再生与储能</w:t>
            </w:r>
          </w:p>
        </w:tc>
        <w:tc>
          <w:tcPr>
            <w:tcW w:type="dxa" w:w="4025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逐时匹配率、弃电、储能时长和循环效率、到户保供成本</w:t>
            </w:r>
          </w:p>
        </w:tc>
        <w:tc>
          <w:tcPr>
            <w:tcW w:type="dxa" w:w="3969"/>
            <w:vAlign w:val="center"/>
            <w:shd w:fill="F0F6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年度绿电属性增加，不一定等于逐时低排放供电改善。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聚变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第三方验证的净电功率、持续运行、检修时长、材料寿命、燃料循环、许可和融资关闭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80" w:before="80" w:line="269" w:lineRule="auto"/>
            </w:pPr>
            <w:r>
              <w:rPr>
                <w:b w:val="0"/>
                <w:color w:val="294C5A"/>
                <w:sz w:val="18"/>
              </w:rPr>
              <w:t>从实验结果到可承保项目；融资公告与建设照片本身不等于商业发电。</w:t>
            </w:r>
          </w:p>
        </w:tc>
      </w:tr>
    </w:tbl>
    <w:p>
      <w:pPr>
        <w:pStyle w:val="Heading2"/>
      </w:pPr>
      <w:r>
        <w:t>结论一：近端供给靠多种成熟电源协作</w:t>
      </w:r>
    </w:p>
    <w:p>
      <w:r>
        <w:t>存量电网、燃气、核电和可再生能源共同承担增长。最紧缺的往往是当地可交付能力，因此同一电源在不同地点、时段、接入条件下价值不同。</w:t>
      </w:r>
    </w:p>
    <w:p>
      <w:pPr>
        <w:pStyle w:val="Heading2"/>
      </w:pPr>
      <w:r>
        <w:t>结论二：价值分配跟随建设与运营节点</w:t>
      </w:r>
    </w:p>
    <w:p>
      <w:r>
        <w:t>工程、设备和电网先获得建设相关收入，发电及能源服务再获得长期运行收入。对收入能否转化为利润，必须检验交期、成本控制、保供责任、监管与融资，而不是只看“AI相关”标签。</w:t>
      </w:r>
    </w:p>
    <w:p>
      <w:pPr>
        <w:pStyle w:val="Heading2"/>
      </w:pPr>
      <w:r>
        <w:t>结论三：聚变值得跟踪，但不宜预支</w:t>
      </w:r>
    </w:p>
    <w:p>
      <w:r>
        <w:t>长期购电安排让科技公司参与早期技术开发与市场形成。研究模型将其作为可选的未来增量；只有可验证的净电与稳定交付，才足以进入可靠供电基准。</w:t>
      </w:r>
    </w:p>
    <w:p>
      <w:pPr>
        <w:pStyle w:val="Caption"/>
      </w:pPr>
      <w:r>
        <w:t>本报告为行业研究与技术展示，不构成投资建议，不提供买入、卖出、持有评级或目标价。</w:t>
      </w:r>
    </w:p>
    <w:p>
      <w:r>
        <w:br w:type="page"/>
      </w:r>
    </w:p>
    <w:p>
      <w:pPr>
        <w:pStyle w:val="Subtitle"/>
      </w:pPr>
      <w:r>
        <w:t>附录 1  /  AI 的电从哪来</w:t>
      </w:r>
    </w:p>
    <w:p>
      <w:pPr>
        <w:pStyle w:val="Heading1"/>
      </w:pPr>
      <w:r>
        <w:t>来源与追溯索引</w:t>
      </w:r>
    </w:p>
    <w:p>
      <w:pPr>
        <w:pStyle w:val="Caption"/>
      </w:pPr>
      <w:r>
        <w:t>网上资料统一访问于2026-10-22。每个数据ID对应Excel“明细”，K对应“模型”，A对应“假设”。</w:t>
      </w:r>
    </w:p>
    <w:p>
      <w:pPr>
        <w:spacing w:before="140" w:after="60"/>
      </w:pPr>
      <w:r>
        <w:rPr>
          <w:b/>
        </w:rPr>
        <w:t>F1  Meta 2026Q3 Form 10-Q</w:t>
      </w:r>
    </w:p>
    <w:p>
      <w:pPr>
        <w:pStyle w:val="Caption"/>
      </w:pPr>
      <w:r>
        <w:t>发布日期：2026-10-21；访问/读取：2026-10-22</w:t>
      </w:r>
    </w:p>
    <w:p>
      <w:pPr>
        <w:spacing w:after="60"/>
      </w:pPr>
      <w:r>
        <w:rPr>
          <w:color w:val="426C89"/>
          <w:sz w:val="16"/>
        </w:rPr>
        <w:t>材料/Meta_2026Q3季报__meta-20260930.htm</w:t>
      </w:r>
    </w:p>
    <w:p>
      <w:pPr>
        <w:pStyle w:val="Caption"/>
      </w:pPr>
      <w:r>
        <w:t>日期采用文件签署日；财务数字完全按用户提供原件，未另行验证其与在线申报的同一性。</w:t>
      </w:r>
    </w:p>
    <w:p>
      <w:pPr>
        <w:spacing w:before="140" w:after="60"/>
      </w:pPr>
      <w:r>
        <w:rPr>
          <w:b/>
        </w:rPr>
        <w:t>F2  Constellation 2025 Form 10-K</w:t>
      </w:r>
    </w:p>
    <w:p>
      <w:pPr>
        <w:pStyle w:val="Caption"/>
      </w:pPr>
      <w:r>
        <w:t>发布日期：2026-02-24；访问/读取：2026-10-22</w:t>
      </w:r>
    </w:p>
    <w:p>
      <w:pPr>
        <w:spacing w:after="60"/>
      </w:pPr>
      <w:r>
        <w:rPr>
          <w:color w:val="426C89"/>
          <w:sz w:val="16"/>
        </w:rPr>
        <w:t>材料/Constellation_2025年报__ceg-20251231.htm</w:t>
      </w:r>
    </w:p>
    <w:p>
      <w:pPr>
        <w:pStyle w:val="Caption"/>
      </w:pPr>
      <w:r>
        <w:t>日期采用文件签署日；CEG Parent 合并口径。</w:t>
      </w:r>
    </w:p>
    <w:p>
      <w:pPr>
        <w:spacing w:before="140" w:after="60"/>
      </w:pPr>
      <w:r>
        <w:rPr>
          <w:b/>
        </w:rPr>
        <w:t>F3  Constellation 2026Q2 Form 10-Q</w:t>
      </w:r>
    </w:p>
    <w:p>
      <w:pPr>
        <w:pStyle w:val="Caption"/>
      </w:pPr>
      <w:r>
        <w:t>发布日期：2026-08-06；访问/读取：2026-10-22</w:t>
      </w:r>
    </w:p>
    <w:p>
      <w:pPr>
        <w:spacing w:after="60"/>
      </w:pPr>
      <w:r>
        <w:rPr>
          <w:color w:val="426C89"/>
          <w:sz w:val="16"/>
        </w:rPr>
        <w:t>材料/Constellation_2026Q2季报__ceg-20260630.htm</w:t>
      </w:r>
    </w:p>
    <w:p>
      <w:pPr>
        <w:pStyle w:val="Caption"/>
      </w:pPr>
      <w:r>
        <w:t>日期采用文件签署日；2026年已并表Calpine，不能将全部增长归于AI。</w:t>
      </w:r>
    </w:p>
    <w:p>
      <w:pPr>
        <w:spacing w:before="140" w:after="60"/>
      </w:pPr>
      <w:r>
        <w:rPr>
          <w:b/>
        </w:rPr>
        <w:t>S1  IEA · Energy and AI / Demand &amp; Executive summary</w:t>
      </w:r>
    </w:p>
    <w:p>
      <w:pPr>
        <w:pStyle w:val="Caption"/>
      </w:pPr>
      <w:r>
        <w:t>发布日期：2025-04-10；访问/读取：2026-10-22</w:t>
      </w:r>
    </w:p>
    <w:p>
      <w:pPr>
        <w:spacing w:after="60"/>
      </w:pPr>
      <w:r>
        <w:rPr>
          <w:color w:val="426C89"/>
          <w:sz w:val="16"/>
        </w:rPr>
        <w:t>https://www.iea.org/reports/energy-and-ai</w:t>
      </w:r>
    </w:p>
    <w:p>
      <w:pPr>
        <w:spacing w:before="140" w:after="60"/>
      </w:pPr>
      <w:r>
        <w:rPr>
          <w:b/>
        </w:rPr>
        <w:t>S2  IEA · Energy and AI / Supply</w:t>
      </w:r>
    </w:p>
    <w:p>
      <w:pPr>
        <w:pStyle w:val="Caption"/>
      </w:pPr>
      <w:r>
        <w:t>发布日期：2025-04-10；访问/读取：2026-10-22</w:t>
      </w:r>
    </w:p>
    <w:p>
      <w:pPr>
        <w:spacing w:after="60"/>
      </w:pPr>
      <w:r>
        <w:rPr>
          <w:color w:val="426C89"/>
          <w:sz w:val="16"/>
        </w:rPr>
        <w:t>https://www.iea.org/reports/energy-and-ai/energy-supply-for-ai</w:t>
      </w:r>
    </w:p>
    <w:p>
      <w:pPr>
        <w:spacing w:before="140" w:after="60"/>
      </w:pPr>
      <w:r>
        <w:rPr>
          <w:b/>
        </w:rPr>
        <w:t>S3  IEA · Key Questions on Energy and AI</w:t>
      </w:r>
    </w:p>
    <w:p>
      <w:pPr>
        <w:pStyle w:val="Caption"/>
      </w:pPr>
      <w:r>
        <w:t>发布日期：2026-04-16；访问/读取：2026-10-22</w:t>
      </w:r>
    </w:p>
    <w:p>
      <w:pPr>
        <w:spacing w:after="60"/>
      </w:pPr>
      <w:r>
        <w:rPr>
          <w:color w:val="426C89"/>
          <w:sz w:val="16"/>
        </w:rPr>
        <w:t>https://www.iea.org/reports/key-questions-on-energy-and-ai/executive-summary</w:t>
      </w:r>
    </w:p>
    <w:p>
      <w:pPr>
        <w:pStyle w:val="Caption"/>
      </w:pPr>
      <w:r>
        <w:t>最新总量采用此版本；不得与2025版发电量不加调整混用。</w:t>
      </w:r>
    </w:p>
    <w:p>
      <w:pPr>
        <w:spacing w:before="140" w:after="60"/>
      </w:pPr>
      <w:r>
        <w:rPr>
          <w:b/>
        </w:rPr>
        <w:t>S4  Alphabet · 2026Q2 earnings release</w:t>
      </w:r>
    </w:p>
    <w:p>
      <w:pPr>
        <w:pStyle w:val="Caption"/>
      </w:pPr>
      <w:r>
        <w:t>发布日期：2026-07-22；访问/读取：2026-10-22</w:t>
      </w:r>
    </w:p>
    <w:p>
      <w:pPr>
        <w:spacing w:after="60"/>
      </w:pPr>
      <w:r>
        <w:rPr>
          <w:color w:val="426C89"/>
          <w:sz w:val="16"/>
        </w:rPr>
        <w:t>https://www.sec.gov/Archives/edgar/data/1652044/000165204426000066/googexhibit991q22026.htm</w:t>
      </w:r>
    </w:p>
    <w:p>
      <w:pPr>
        <w:pStyle w:val="Caption"/>
      </w:pPr>
      <w:r>
        <w:t>本地原件的精确表名、段落名与口径见Excel“明细”L/M列；关键原文摘录与文件哈希见“工作底稿/原件核验.md”。</w:t>
      </w:r>
    </w:p>
    <w:p>
      <w:r>
        <w:br w:type="page"/>
      </w:r>
    </w:p>
    <w:p>
      <w:pPr>
        <w:pStyle w:val="Subtitle"/>
      </w:pPr>
      <w:r>
        <w:t>附录 2  /  AI 的电从哪来</w:t>
      </w:r>
    </w:p>
    <w:p>
      <w:pPr>
        <w:pStyle w:val="Heading1"/>
      </w:pPr>
      <w:r>
        <w:t>来源与追溯索引</w:t>
      </w:r>
    </w:p>
    <w:p>
      <w:pPr>
        <w:pStyle w:val="Caption"/>
      </w:pPr>
      <w:r>
        <w:t>网上资料统一访问于2026-10-22。每个数据ID对应Excel“明细”，K对应“模型”，A对应“假设”。</w:t>
      </w:r>
    </w:p>
    <w:p>
      <w:pPr>
        <w:spacing w:before="140" w:after="60"/>
      </w:pPr>
      <w:r>
        <w:rPr>
          <w:b/>
        </w:rPr>
        <w:t>S5  Microsoft · FY2026Q4 earnings release</w:t>
      </w:r>
    </w:p>
    <w:p>
      <w:pPr>
        <w:pStyle w:val="Caption"/>
      </w:pPr>
      <w:r>
        <w:t>发布日期：2026-07-29；访问/读取：2026-10-22</w:t>
      </w:r>
    </w:p>
    <w:p>
      <w:pPr>
        <w:spacing w:after="60"/>
      </w:pPr>
      <w:r>
        <w:rPr>
          <w:color w:val="426C89"/>
          <w:sz w:val="16"/>
        </w:rPr>
        <w:t>https://www.microsoft.com/en-us/investor/earnings/fy-2026-q4/press-release-webcast</w:t>
      </w:r>
    </w:p>
    <w:p>
      <w:pPr>
        <w:spacing w:before="140" w:after="60"/>
      </w:pPr>
      <w:r>
        <w:rPr>
          <w:b/>
        </w:rPr>
        <w:t>S6  Amazon · 2026Q2 earnings release</w:t>
      </w:r>
    </w:p>
    <w:p>
      <w:pPr>
        <w:pStyle w:val="Caption"/>
      </w:pPr>
      <w:r>
        <w:t>发布日期：2026-07-30；访问/读取：2026-10-22</w:t>
      </w:r>
    </w:p>
    <w:p>
      <w:pPr>
        <w:spacing w:after="60"/>
      </w:pPr>
      <w:r>
        <w:rPr>
          <w:color w:val="426C89"/>
          <w:sz w:val="16"/>
        </w:rPr>
        <w:t>https://www.aboutamazon.com/news/company-news/amazon-earnings-q2-2026-report</w:t>
      </w:r>
    </w:p>
    <w:p>
      <w:pPr>
        <w:spacing w:before="140" w:after="60"/>
      </w:pPr>
      <w:r>
        <w:rPr>
          <w:b/>
        </w:rPr>
        <w:t>S7  Constellation · Meta / Clinton PPA</w:t>
      </w:r>
    </w:p>
    <w:p>
      <w:pPr>
        <w:pStyle w:val="Caption"/>
      </w:pPr>
      <w:r>
        <w:t>发布日期：2025-06-03；访问/读取：2026-10-22</w:t>
      </w:r>
    </w:p>
    <w:p>
      <w:pPr>
        <w:spacing w:after="60"/>
      </w:pPr>
      <w:r>
        <w:rPr>
          <w:color w:val="426C89"/>
          <w:sz w:val="16"/>
        </w:rPr>
        <w:t>https://investors.constellationenergy.com/news-releases/news-release-details/constellation-meta-sign-20-year-deal-clean-reliable-nuclear</w:t>
      </w:r>
    </w:p>
    <w:p>
      <w:pPr>
        <w:spacing w:before="140" w:after="60"/>
      </w:pPr>
      <w:r>
        <w:rPr>
          <w:b/>
        </w:rPr>
        <w:t>S8  Talen · Amazon PPA expansion</w:t>
      </w:r>
    </w:p>
    <w:p>
      <w:pPr>
        <w:pStyle w:val="Caption"/>
      </w:pPr>
      <w:r>
        <w:t>发布日期：2025-06-11；访问/读取：2026-10-22</w:t>
      </w:r>
    </w:p>
    <w:p>
      <w:pPr>
        <w:spacing w:after="60"/>
      </w:pPr>
      <w:r>
        <w:rPr>
          <w:color w:val="426C89"/>
          <w:sz w:val="16"/>
        </w:rPr>
        <w:t>https://ir.talenenergy.com/news-releases/news-release-details/talen-energy-expands-nuclear-energy-relationship-amazon</w:t>
      </w:r>
    </w:p>
    <w:p>
      <w:pPr>
        <w:spacing w:before="140" w:after="60"/>
      </w:pPr>
      <w:r>
        <w:rPr>
          <w:b/>
        </w:rPr>
        <w:t>S9  CFS · Series B2 funding</w:t>
      </w:r>
    </w:p>
    <w:p>
      <w:pPr>
        <w:pStyle w:val="Caption"/>
      </w:pPr>
      <w:r>
        <w:t>发布日期：2025-08-28；访问/读取：2026-10-22</w:t>
      </w:r>
    </w:p>
    <w:p>
      <w:pPr>
        <w:spacing w:after="60"/>
      </w:pPr>
      <w:r>
        <w:rPr>
          <w:color w:val="426C89"/>
          <w:sz w:val="16"/>
        </w:rPr>
        <w:t>https://www.cfs.energy/news-and-media/commonwealth-fusion-systems-raises-863-million-series-b2-round-to-accelerate-the-commercialization-of-fusion-energy/</w:t>
      </w:r>
    </w:p>
    <w:p>
      <w:pPr>
        <w:spacing w:before="140" w:after="60"/>
      </w:pPr>
      <w:r>
        <w:rPr>
          <w:b/>
        </w:rPr>
        <w:t>S10  CFS · Google power agreement</w:t>
      </w:r>
    </w:p>
    <w:p>
      <w:pPr>
        <w:pStyle w:val="Caption"/>
      </w:pPr>
      <w:r>
        <w:t>发布日期：2025-06-30；访问/读取：2026-10-22</w:t>
      </w:r>
    </w:p>
    <w:p>
      <w:pPr>
        <w:spacing w:after="60"/>
      </w:pPr>
      <w:r>
        <w:rPr>
          <w:color w:val="426C89"/>
          <w:sz w:val="16"/>
        </w:rPr>
        <w:t>https://www.cfs.energy/news-and-media/google-and-commonwealth-fusion-systems-sign-strategic-partnership/</w:t>
      </w:r>
    </w:p>
    <w:p>
      <w:pPr>
        <w:spacing w:before="140" w:after="60"/>
      </w:pPr>
      <w:r>
        <w:rPr>
          <w:b/>
        </w:rPr>
        <w:t>S11  Helion · Series G funding</w:t>
      </w:r>
    </w:p>
    <w:p>
      <w:pPr>
        <w:pStyle w:val="Caption"/>
      </w:pPr>
      <w:r>
        <w:t>发布日期：2026-06-04；更新2026-09（日未披露）；访问/读取：2026-10-22</w:t>
      </w:r>
    </w:p>
    <w:p>
      <w:pPr>
        <w:spacing w:after="60"/>
      </w:pPr>
      <w:r>
        <w:rPr>
          <w:color w:val="426C89"/>
          <w:sz w:val="16"/>
        </w:rPr>
        <w:t>https://www.helionenergy.com/newsroom/helion-raises-465-million-series-g-funding-round-to-meet-surging-global-demand-for-power</w:t>
      </w:r>
    </w:p>
    <w:p>
      <w:pPr>
        <w:pStyle w:val="Caption"/>
      </w:pPr>
      <w:r>
        <w:t>原公告465百万美元；网页新增注释说明2026年9月最终关闭为500百万美元。</w:t>
      </w:r>
    </w:p>
    <w:p>
      <w:pPr>
        <w:pStyle w:val="Caption"/>
      </w:pPr>
      <w:r>
        <w:t>本地原件的精确表名、段落名与口径见Excel“明细”L/M列；关键原文摘录与文件哈希见“工作底稿/原件核验.md”。</w:t>
      </w:r>
    </w:p>
    <w:p>
      <w:r>
        <w:br w:type="page"/>
      </w:r>
    </w:p>
    <w:p>
      <w:pPr>
        <w:pStyle w:val="Subtitle"/>
      </w:pPr>
      <w:r>
        <w:t>附录 3  /  AI 的电从哪来</w:t>
      </w:r>
    </w:p>
    <w:p>
      <w:pPr>
        <w:pStyle w:val="Heading1"/>
      </w:pPr>
      <w:r>
        <w:t>来源与追溯索引</w:t>
      </w:r>
    </w:p>
    <w:p>
      <w:pPr>
        <w:pStyle w:val="Caption"/>
      </w:pPr>
      <w:r>
        <w:t>网上资料统一访问于2026-10-22。每个数据ID对应Excel“明细”，K对应“模型”，A对应“假设”。</w:t>
      </w:r>
    </w:p>
    <w:p>
      <w:pPr>
        <w:spacing w:before="140" w:after="60"/>
      </w:pPr>
      <w:r>
        <w:rPr>
          <w:b/>
        </w:rPr>
        <w:t>S12  Helion · Microsoft fusion PPA</w:t>
      </w:r>
    </w:p>
    <w:p>
      <w:pPr>
        <w:pStyle w:val="Caption"/>
      </w:pPr>
      <w:r>
        <w:t>发布日期：2023-05-10；访问/读取：2026-10-22</w:t>
      </w:r>
    </w:p>
    <w:p>
      <w:pPr>
        <w:spacing w:after="60"/>
      </w:pPr>
      <w:r>
        <w:rPr>
          <w:color w:val="426C89"/>
          <w:sz w:val="16"/>
        </w:rPr>
        <w:t>https://www.helionenergy.com/newsroom/helion-announces-worlds-first-fusion-ppa-with-microsoft</w:t>
      </w:r>
    </w:p>
    <w:p>
      <w:pPr>
        <w:spacing w:before="140" w:after="60"/>
      </w:pPr>
      <w:r>
        <w:rPr>
          <w:b/>
        </w:rPr>
        <w:t>S13  TAE · latest equity funding</w:t>
      </w:r>
    </w:p>
    <w:p>
      <w:pPr>
        <w:pStyle w:val="Caption"/>
      </w:pPr>
      <w:r>
        <w:t>发布日期：2025-06-02；访问/读取：2026-10-22</w:t>
      </w:r>
    </w:p>
    <w:p>
      <w:pPr>
        <w:spacing w:after="60"/>
      </w:pPr>
      <w:r>
        <w:rPr>
          <w:color w:val="426C89"/>
          <w:sz w:val="16"/>
        </w:rPr>
        <w:t>https://tae.com/tae-technologies-raises-150-million-in-latest-funding-round/</w:t>
      </w:r>
    </w:p>
    <w:p>
      <w:pPr>
        <w:spacing w:before="140" w:after="60"/>
      </w:pPr>
      <w:r>
        <w:rPr>
          <w:b/>
        </w:rPr>
        <w:t>S14  TMTG / TAE · proposed merger update</w:t>
      </w:r>
    </w:p>
    <w:p>
      <w:pPr>
        <w:pStyle w:val="Caption"/>
      </w:pPr>
      <w:r>
        <w:t>发布日期：2026-09-30；访问/读取：2026-10-22</w:t>
      </w:r>
    </w:p>
    <w:p>
      <w:pPr>
        <w:spacing w:after="60"/>
      </w:pPr>
      <w:r>
        <w:rPr>
          <w:color w:val="426C89"/>
          <w:sz w:val="16"/>
        </w:rPr>
        <w:t>https://www.sec.gov/Archives/edgar/data/1849635/000143774926031535/ex_1020869.htm</w:t>
      </w:r>
    </w:p>
    <w:p>
      <w:pPr>
        <w:pStyle w:val="Caption"/>
      </w:pPr>
      <w:r>
        <w:t>用于说明交易进度；不是完成融资或商业发电证明。</w:t>
      </w:r>
    </w:p>
    <w:p>
      <w:pPr>
        <w:spacing w:before="140" w:after="60"/>
      </w:pPr>
      <w:r>
        <w:rPr>
          <w:b/>
        </w:rPr>
        <w:t>S15  Type One Energy · Series B</w:t>
      </w:r>
    </w:p>
    <w:p>
      <w:pPr>
        <w:pStyle w:val="Caption"/>
      </w:pPr>
      <w:r>
        <w:t>发布日期：2026-10-06；访问/读取：2026-10-22</w:t>
      </w:r>
    </w:p>
    <w:p>
      <w:pPr>
        <w:spacing w:after="60"/>
      </w:pPr>
      <w:r>
        <w:rPr>
          <w:color w:val="426C89"/>
          <w:sz w:val="16"/>
        </w:rPr>
        <w:t>https://typeoneenergy.com/insights-announcements/type-one-energy-completes-200m-series-b-financing/</w:t>
      </w:r>
    </w:p>
    <w:p>
      <w:pPr>
        <w:spacing w:before="140" w:after="60"/>
      </w:pPr>
      <w:r>
        <w:rPr>
          <w:b/>
        </w:rPr>
        <w:t>S16  Type One Energy · UK Infinity consortium</w:t>
      </w:r>
    </w:p>
    <w:p>
      <w:pPr>
        <w:pStyle w:val="Caption"/>
      </w:pPr>
      <w:r>
        <w:t>发布日期：2026-05-06；访问/读取：2026-10-22</w:t>
      </w:r>
    </w:p>
    <w:p>
      <w:pPr>
        <w:spacing w:after="60"/>
      </w:pPr>
      <w:r>
        <w:rPr>
          <w:color w:val="426C89"/>
          <w:sz w:val="16"/>
        </w:rPr>
        <w:t>https://typeoneenergy.com/insights-announcements/uk-infinity-fusion-consortium/</w:t>
      </w:r>
    </w:p>
    <w:p>
      <w:pPr>
        <w:pStyle w:val="Caption"/>
      </w:pPr>
      <w:r>
        <w:t>商业运行2034年为公司目标。</w:t>
      </w:r>
    </w:p>
    <w:p>
      <w:pPr>
        <w:spacing w:before="140" w:after="60"/>
      </w:pPr>
      <w:r>
        <w:rPr>
          <w:b/>
        </w:rPr>
        <w:t>S17  IRENA · Renewable Power Generation Costs in 2024</w:t>
      </w:r>
    </w:p>
    <w:p>
      <w:pPr>
        <w:pStyle w:val="Caption"/>
      </w:pPr>
      <w:r>
        <w:t>发布日期：2025-07-22；访问/读取：2026-10-22</w:t>
      </w:r>
    </w:p>
    <w:p>
      <w:pPr>
        <w:spacing w:after="60"/>
      </w:pPr>
      <w:r>
        <w:rPr>
          <w:color w:val="426C89"/>
          <w:sz w:val="16"/>
        </w:rPr>
        <w:t>https://www.irena.org/News/pressreleases/2025/Jul/91-Percent-of-New-Renewable-Projects-Now-Cheaper-Than-Fossil-Fuels-Alternatives</w:t>
      </w:r>
    </w:p>
    <w:p>
      <w:pPr>
        <w:spacing w:before="140" w:after="60"/>
      </w:pPr>
      <w:r>
        <w:rPr>
          <w:b/>
        </w:rPr>
        <w:t>S18  ITER · The tokamak / components</w:t>
      </w:r>
    </w:p>
    <w:p>
      <w:pPr>
        <w:pStyle w:val="Caption"/>
      </w:pPr>
      <w:r>
        <w:t>发布日期：未标注发布日期；访问/读取：2026-10-22</w:t>
      </w:r>
    </w:p>
    <w:p>
      <w:pPr>
        <w:spacing w:after="60"/>
      </w:pPr>
      <w:r>
        <w:rPr>
          <w:color w:val="426C89"/>
          <w:sz w:val="16"/>
        </w:rPr>
        <w:t>https://www.iter.org/components</w:t>
      </w:r>
    </w:p>
    <w:p>
      <w:pPr>
        <w:pStyle w:val="Caption"/>
      </w:pPr>
      <w:r>
        <w:t>仅用于部件原理；网页为概念化D-T托卡马克，不是ITER或ARC工程复刻。</w:t>
      </w:r>
    </w:p>
    <w:p>
      <w:pPr>
        <w:spacing w:before="140" w:after="60"/>
      </w:pPr>
      <w:r>
        <w:rPr>
          <w:b/>
        </w:rPr>
        <w:t>S19  ITER · Blanket</w:t>
      </w:r>
    </w:p>
    <w:p>
      <w:pPr>
        <w:pStyle w:val="Caption"/>
      </w:pPr>
      <w:r>
        <w:t>发布日期：未标注发布日期；访问/读取：2026-10-22</w:t>
      </w:r>
    </w:p>
    <w:p>
      <w:pPr>
        <w:spacing w:after="60"/>
      </w:pPr>
      <w:r>
        <w:rPr>
          <w:color w:val="426C89"/>
          <w:sz w:val="16"/>
        </w:rPr>
        <w:t>https://www.iter.org/machine/blanket</w:t>
      </w:r>
    </w:p>
    <w:p>
      <w:pPr>
        <w:pStyle w:val="Caption"/>
      </w:pPr>
      <w:r>
        <w:t>ITER屏蔽包层与未来商业增殖包层应区分；本图显示商业D-T概念。</w:t>
      </w:r>
    </w:p>
    <w:p>
      <w:pPr>
        <w:pStyle w:val="Caption"/>
      </w:pPr>
      <w:r>
        <w:t>本地原件的精确表名、段落名与口径见Excel“明细”L/M列；关键原文摘录与文件哈希见“工作底稿/原件核验.md”。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研究与展示 · 非投资建议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FIELD NOTES    /    ENERGY × COMPUTE                                         行业研究 · 2026.10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Arial" w:hAnsi="Arial" w:eastAsia="等线"/>
      <w:color w:val="1837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0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183749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168B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18374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等线"/>
      <w:color w:val="1837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等线"/>
      <w:i/>
      <w:iCs/>
      <w:color w:val="18374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等线"/>
      <w:color w:val="18374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等线"/>
      <w:b/>
      <w:bCs/>
      <w:color w:val="6B808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