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omfortaa" w:cs="Comfortaa" w:eastAsia="Comfortaa" w:hAnsi="Comfortaa"/>
          <w:b w:val="1"/>
        </w:rPr>
      </w:pPr>
      <w:bookmarkStart w:colFirst="0" w:colLast="0" w:name="_dhn2tqngyzdi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Entrevistas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Conversaciones entre dos individuos, hablá acerca de opiniones personales y experiencias propias del entrevistado. (cualitativa)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 abiertas, semiestructuradas y estructuradas.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omfortaa" w:cs="Comfortaa" w:eastAsia="Comfortaa" w:hAnsi="Comfortaa"/>
          <w:b w:val="1"/>
        </w:rPr>
      </w:pPr>
      <w:bookmarkStart w:colFirst="0" w:colLast="0" w:name="_j58zpvbx2p6k" w:id="1"/>
      <w:bookmarkEnd w:id="1"/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Etnografía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Método de investigación basado en la observación del comportamiento del individuo en su entorno promedio. Se suele convivir con el mismo.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u w:val="single"/>
          <w:rtl w:val="0"/>
        </w:rPr>
        <w:t xml:space="preserve">Se suele usar para comprender culturas.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br w:type="textWrapping"/>
      </w:r>
    </w:p>
    <w:p w:rsidR="00000000" w:rsidDel="00000000" w:rsidP="00000000" w:rsidRDefault="00000000" w:rsidRPr="00000000" w14:paraId="00000008">
      <w:pPr>
        <w:pStyle w:val="Heading1"/>
        <w:ind w:firstLine="720"/>
        <w:rPr>
          <w:rFonts w:ascii="Comfortaa" w:cs="Comfortaa" w:eastAsia="Comfortaa" w:hAnsi="Comfortaa"/>
          <w:b w:val="1"/>
        </w:rPr>
      </w:pPr>
      <w:bookmarkStart w:colFirst="0" w:colLast="0" w:name="_y0lct39qdbpg" w:id="2"/>
      <w:bookmarkEnd w:id="2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Encuestas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Preguntas hechas en cuestionarios a grupos de personas  para recabar una extensa cantidad de opiniones sobre un tema.(cuantitativo)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i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u w:val="single"/>
          <w:rtl w:val="0"/>
        </w:rPr>
        <w:t xml:space="preserve">Recopilar una gran cantidad de datos de forma sencilla.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Comfortaa" w:cs="Comfortaa" w:eastAsia="Comfortaa" w:hAnsi="Comfortaa"/>
          <w:b w:val="1"/>
        </w:rPr>
      </w:pPr>
      <w:bookmarkStart w:colFirst="0" w:colLast="0" w:name="_y598nm7owpww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Bibliografía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Uso de fuentes escritas para fundamentar o complementar un trabajo u ejercicio.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i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u w:val="single"/>
          <w:rtl w:val="0"/>
        </w:rPr>
        <w:t xml:space="preserve">Se suele sacar de sitios webs verificados o estudios fundamentados.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