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829gs5j8q8a" w:id="0"/>
      <w:bookmarkEnd w:id="0"/>
      <w:r w:rsidDel="00000000" w:rsidR="00000000" w:rsidRPr="00000000">
        <w:rPr>
          <w:b w:val="1"/>
          <w:bCs w:val="1"/>
          <w:sz w:val="46"/>
          <w:szCs w:val="46"/>
          <w:rtl w:val="0"/>
        </w:rPr>
        <w:t xml:space="preserve">Executive Business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k7pb0475spe" w:id="1"/>
      <w:bookmarkEnd w:id="1"/>
      <w:r w:rsidDel="00000000" w:rsidR="00000000" w:rsidRPr="00000000">
        <w:rPr>
          <w:b w:val="1"/>
          <w:bCs w:val="1"/>
          <w:sz w:val="34"/>
          <w:szCs w:val="34"/>
          <w:rtl w:val="0"/>
        </w:rPr>
        <w:t xml:space="preserve">Sales Forecasting and Inventory Planning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46nykb1b2cw" w:id="2"/>
      <w:bookmarkEnd w:id="2"/>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four-year sales analysis shows overall business growth with clear seasonal changes in demand. Technology generated the highest sales, while the East showed the most consistent regional growth. Sales were generally strongest toward the end of the year. The three-month outlook indicates strong January sales, a February slowdown and a March recovery, although the wide forecast ranges show that demand remains uncertain. Product groups also behave differently, so inventory should be managed according to demand rather than using one stocking policy for all products.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lgihxkvbvxgu" w:id="3"/>
      <w:bookmarkEnd w:id="3"/>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0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Technology</w:t>
      </w:r>
      <w:r w:rsidDel="00000000" w:rsidR="00000000" w:rsidRPr="00000000">
        <w:rPr>
          <w:sz w:val="24"/>
          <w:szCs w:val="24"/>
          <w:rtl w:val="0"/>
        </w:rPr>
        <w:t xml:space="preserve"> was the highest-selling category, generating approximately </w:t>
      </w:r>
      <w:r w:rsidDel="00000000" w:rsidR="00000000" w:rsidRPr="00000000">
        <w:rPr>
          <w:b w:val="1"/>
          <w:bCs w:val="1"/>
          <w:sz w:val="24"/>
          <w:szCs w:val="24"/>
          <w:rtl w:val="0"/>
        </w:rPr>
        <w:t xml:space="preserve">827,456</w:t>
      </w:r>
      <w:r w:rsidDel="00000000" w:rsidR="00000000" w:rsidRPr="00000000">
        <w:rPr>
          <w:sz w:val="24"/>
          <w:szCs w:val="24"/>
          <w:rtl w:val="0"/>
        </w:rPr>
        <w:t xml:space="preserve"> in total sales.</w:t>
      </w:r>
    </w:p>
    <w:p w:rsidR="00000000" w:rsidDel="00000000" w:rsidP="00000000" w:rsidRDefault="00000000" w:rsidRPr="00000000" w14:paraId="0000000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Eas</w:t>
      </w:r>
      <w:r w:rsidDel="00000000" w:rsidR="00000000" w:rsidRPr="00000000">
        <w:rPr>
          <w:b w:val="1"/>
          <w:bCs w:val="1"/>
          <w:sz w:val="24"/>
          <w:szCs w:val="24"/>
          <w:rtl w:val="0"/>
        </w:rPr>
        <w:t xml:space="preserve">t</w:t>
      </w:r>
      <w:r w:rsidDel="00000000" w:rsidR="00000000" w:rsidRPr="00000000">
        <w:rPr>
          <w:sz w:val="24"/>
          <w:szCs w:val="24"/>
          <w:rtl w:val="0"/>
        </w:rPr>
        <w:t xml:space="preserve"> was the only region to record sales growth in every year analysed.</w:t>
      </w:r>
    </w:p>
    <w:p w:rsidR="00000000" w:rsidDel="00000000" w:rsidP="00000000" w:rsidRDefault="00000000" w:rsidRPr="00000000" w14:paraId="0000000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November and Decembe</w:t>
      </w:r>
      <w:r w:rsidDel="00000000" w:rsidR="00000000" w:rsidRPr="00000000">
        <w:rPr>
          <w:b w:val="1"/>
          <w:bCs w:val="1"/>
          <w:sz w:val="24"/>
          <w:szCs w:val="24"/>
          <w:rtl w:val="0"/>
        </w:rPr>
        <w:t xml:space="preserve">r</w:t>
      </w:r>
      <w:r w:rsidDel="00000000" w:rsidR="00000000" w:rsidRPr="00000000">
        <w:rPr>
          <w:sz w:val="24"/>
          <w:szCs w:val="24"/>
          <w:rtl w:val="0"/>
        </w:rPr>
        <w:t xml:space="preserve"> consistently showed stronger sales, indicating recurring year-end demand.</w:t>
      </w:r>
    </w:p>
    <w:p w:rsidR="00000000" w:rsidDel="00000000" w:rsidP="00000000" w:rsidRDefault="00000000" w:rsidRPr="00000000" w14:paraId="0000000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Average time from order to shipment was approximately</w:t>
      </w:r>
      <w:r w:rsidDel="00000000" w:rsidR="00000000" w:rsidRPr="00000000">
        <w:rPr>
          <w:sz w:val="24"/>
          <w:szCs w:val="24"/>
          <w:rtl w:val="0"/>
        </w:rPr>
        <w:t xml:space="preserve"> four days</w:t>
      </w:r>
      <w:r w:rsidDel="00000000" w:rsidR="00000000" w:rsidRPr="00000000">
        <w:rPr>
          <w:sz w:val="24"/>
          <w:szCs w:val="24"/>
          <w:rtl w:val="0"/>
        </w:rPr>
        <w:t xml:space="preserve"> across regions.</w:t>
      </w:r>
    </w:p>
    <w:p w:rsidR="00000000" w:rsidDel="00000000" w:rsidP="00000000" w:rsidRDefault="00000000" w:rsidRPr="00000000" w14:paraId="0000000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Three forecasting approaches were tested against known sales. The best-performing approach differed from actual monthly sales by about </w:t>
      </w:r>
      <w:r w:rsidDel="00000000" w:rsidR="00000000" w:rsidRPr="00000000">
        <w:rPr>
          <w:sz w:val="24"/>
          <w:szCs w:val="24"/>
          <w:rtl w:val="0"/>
        </w:rPr>
        <w:t xml:space="preserve">14% on average</w:t>
      </w:r>
      <w:r w:rsidDel="00000000" w:rsidR="00000000" w:rsidRPr="00000000">
        <w:rPr>
          <w:sz w:val="24"/>
          <w:szCs w:val="24"/>
          <w:rtl w:val="0"/>
        </w:rPr>
        <w:t xml:space="preserve"> and was selected for the final outlook.</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r1eajsupieq6" w:id="4"/>
      <w:bookmarkEnd w:id="4"/>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yvlg5hefcwq0" w:id="5"/>
      <w:bookmarkEnd w:id="5"/>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ust2njse8rx7" w:id="6"/>
      <w:bookmarkEnd w:id="6"/>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ud1v5tqxhke" w:id="7"/>
      <w:bookmarkEnd w:id="7"/>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2jhga1nwrecg" w:id="8"/>
      <w:bookmarkEnd w:id="8"/>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a0ajfde9cvj" w:id="9"/>
      <w:bookmarkEnd w:id="9"/>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ji3ay8grte9u" w:id="10"/>
      <w:bookmarkEnd w:id="10"/>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30"/>
          <w:szCs w:val="30"/>
        </w:rPr>
      </w:pPr>
      <w:bookmarkStart w:colFirst="0" w:colLast="0" w:name="_2b63w0lb0qig" w:id="11"/>
      <w:bookmarkEnd w:id="11"/>
      <w:r w:rsidDel="00000000" w:rsidR="00000000" w:rsidRPr="00000000">
        <w:rPr>
          <w:b w:val="1"/>
          <w:bCs w:val="1"/>
          <w:color w:val="000000"/>
          <w:sz w:val="30"/>
          <w:szCs w:val="30"/>
          <w:rtl w:val="0"/>
        </w:rPr>
        <w:t xml:space="preserve">Three-Month Sales Outlook</w:t>
      </w:r>
    </w:p>
    <w:p w:rsidR="00000000" w:rsidDel="00000000" w:rsidP="00000000" w:rsidRDefault="00000000" w:rsidRPr="00000000" w14:paraId="00000013">
      <w:pPr>
        <w:rPr/>
      </w:pPr>
      <w:r w:rsidDel="00000000" w:rsidR="00000000" w:rsidRPr="00000000">
        <w:rPr>
          <w:rtl w:val="0"/>
        </w:rPr>
      </w:r>
    </w:p>
    <w:tbl>
      <w:tblPr>
        <w:tblStyle w:val="Table1"/>
        <w:tblpPr w:leftFromText="180" w:rightFromText="180" w:topFromText="180" w:bottomFromText="180" w:vertAnchor="text" w:horzAnchor="text" w:tblpX="0" w:tblpY="0"/>
        <w:tblW w:w="8790.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1635"/>
        <w:gridCol w:w="3240"/>
        <w:gridCol w:w="3915"/>
        <w:tblGridChange w:id="0">
          <w:tblGrid>
            <w:gridCol w:w="1635"/>
            <w:gridCol w:w="3240"/>
            <w:gridCol w:w="3915"/>
          </w:tblGrid>
        </w:tblGridChange>
      </w:tblGrid>
      <w:tr>
        <w:trPr>
          <w:cantSplit w:val="0"/>
          <w:trHeight w:val="500" w:hRule="atLeast"/>
          <w:tblHeader w:val="0"/>
        </w:trPr>
        <w:tc>
          <w:tcPr>
            <w:shd w:fill="b4a7d6" w:val="clear"/>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Month</w:t>
            </w:r>
            <w:r w:rsidDel="00000000" w:rsidR="00000000" w:rsidRPr="00000000">
              <w:rPr>
                <w:rtl w:val="0"/>
              </w:rPr>
            </w:r>
          </w:p>
        </w:tc>
        <w:tc>
          <w:tcPr>
            <w:shd w:fill="b4a7d6" w:val="clear"/>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Expected Sales</w:t>
            </w:r>
            <w:r w:rsidDel="00000000" w:rsidR="00000000" w:rsidRPr="00000000">
              <w:rPr>
                <w:rtl w:val="0"/>
              </w:rPr>
            </w:r>
          </w:p>
        </w:tc>
        <w:tc>
          <w:tcPr>
            <w:shd w:fill="b4a7d6" w:val="clear"/>
          </w:tcPr>
          <w:p w:rsidR="00000000" w:rsidDel="00000000" w:rsidP="00000000" w:rsidRDefault="00000000" w:rsidRPr="00000000" w14:paraId="00000016">
            <w:pPr>
              <w:spacing w:after="240" w:before="240" w:lineRule="auto"/>
              <w:jc w:val="center"/>
              <w:rPr/>
            </w:pPr>
            <w:r w:rsidDel="00000000" w:rsidR="00000000" w:rsidRPr="00000000">
              <w:rPr>
                <w:b w:val="1"/>
                <w:bCs w:val="1"/>
                <w:rtl w:val="0"/>
              </w:rPr>
              <w:t xml:space="preserve">Planning Range</w:t>
            </w:r>
            <w:r w:rsidDel="00000000" w:rsidR="00000000" w:rsidRPr="00000000">
              <w:rPr>
                <w:rtl w:val="0"/>
              </w:rPr>
            </w:r>
          </w:p>
        </w:tc>
      </w:tr>
      <w:tr>
        <w:trPr>
          <w:cantSplit w:val="0"/>
          <w:trHeight w:val="500" w:hRule="atLeast"/>
          <w:tblHeader w:val="0"/>
        </w:trPr>
        <w:tc>
          <w:tcPr>
            <w:shd w:fill="b4a7d6" w:val="clear"/>
          </w:tcPr>
          <w:p w:rsidR="00000000" w:rsidDel="00000000" w:rsidP="00000000" w:rsidRDefault="00000000" w:rsidRPr="00000000" w14:paraId="00000017">
            <w:pPr>
              <w:spacing w:after="240" w:before="240" w:lineRule="auto"/>
              <w:rPr/>
            </w:pPr>
            <w:r w:rsidDel="00000000" w:rsidR="00000000" w:rsidRPr="00000000">
              <w:rPr>
                <w:rtl w:val="0"/>
              </w:rPr>
              <w:t xml:space="preserve">January 2019</w:t>
            </w:r>
          </w:p>
        </w:tc>
        <w:tc>
          <w:tcPr>
            <w:shd w:fill="b4a7d6" w:val="clear"/>
          </w:tcPr>
          <w:p w:rsidR="00000000" w:rsidDel="00000000" w:rsidP="00000000" w:rsidRDefault="00000000" w:rsidRPr="00000000" w14:paraId="00000018">
            <w:pPr>
              <w:spacing w:after="240" w:before="240" w:lineRule="auto"/>
              <w:rPr/>
            </w:pPr>
            <w:r w:rsidDel="00000000" w:rsidR="00000000" w:rsidRPr="00000000">
              <w:rPr>
                <w:rtl w:val="0"/>
              </w:rPr>
              <w:t xml:space="preserve">55,786</w:t>
            </w:r>
          </w:p>
        </w:tc>
        <w:tc>
          <w:tcPr>
            <w:shd w:fill="b4a7d6" w:val="clear"/>
          </w:tcPr>
          <w:p w:rsidR="00000000" w:rsidDel="00000000" w:rsidP="00000000" w:rsidRDefault="00000000" w:rsidRPr="00000000" w14:paraId="00000019">
            <w:pPr>
              <w:spacing w:after="240" w:before="240" w:lineRule="auto"/>
              <w:rPr/>
            </w:pPr>
            <w:r w:rsidDel="00000000" w:rsidR="00000000" w:rsidRPr="00000000">
              <w:rPr>
                <w:rtl w:val="0"/>
              </w:rPr>
              <w:t xml:space="preserve">26,637–84,935</w:t>
            </w:r>
          </w:p>
        </w:tc>
      </w:tr>
      <w:tr>
        <w:trPr>
          <w:cantSplit w:val="0"/>
          <w:trHeight w:val="500" w:hRule="atLeast"/>
          <w:tblHeader w:val="0"/>
        </w:trPr>
        <w:tc>
          <w:tcPr>
            <w:shd w:fill="b4a7d6" w:val="clear"/>
          </w:tcPr>
          <w:p w:rsidR="00000000" w:rsidDel="00000000" w:rsidP="00000000" w:rsidRDefault="00000000" w:rsidRPr="00000000" w14:paraId="0000001A">
            <w:pPr>
              <w:spacing w:after="240" w:before="240" w:lineRule="auto"/>
              <w:rPr/>
            </w:pPr>
            <w:r w:rsidDel="00000000" w:rsidR="00000000" w:rsidRPr="00000000">
              <w:rPr>
                <w:rtl w:val="0"/>
              </w:rPr>
              <w:t xml:space="preserve">February 2019</w:t>
            </w:r>
          </w:p>
        </w:tc>
        <w:tc>
          <w:tcPr>
            <w:shd w:fill="b4a7d6" w:val="clear"/>
          </w:tcPr>
          <w:p w:rsidR="00000000" w:rsidDel="00000000" w:rsidP="00000000" w:rsidRDefault="00000000" w:rsidRPr="00000000" w14:paraId="0000001B">
            <w:pPr>
              <w:spacing w:after="240" w:before="240" w:lineRule="auto"/>
              <w:rPr/>
            </w:pPr>
            <w:r w:rsidDel="00000000" w:rsidR="00000000" w:rsidRPr="00000000">
              <w:rPr>
                <w:rtl w:val="0"/>
              </w:rPr>
              <w:t xml:space="preserve">9,718</w:t>
            </w:r>
          </w:p>
        </w:tc>
        <w:tc>
          <w:tcPr>
            <w:shd w:fill="b4a7d6" w:val="clear"/>
          </w:tcPr>
          <w:p w:rsidR="00000000" w:rsidDel="00000000" w:rsidP="00000000" w:rsidRDefault="00000000" w:rsidRPr="00000000" w14:paraId="0000001C">
            <w:pPr>
              <w:spacing w:after="240" w:before="240" w:lineRule="auto"/>
              <w:rPr/>
            </w:pPr>
            <w:r w:rsidDel="00000000" w:rsidR="00000000" w:rsidRPr="00000000">
              <w:rPr>
                <w:rtl w:val="0"/>
              </w:rPr>
              <w:t xml:space="preserve">0–41,898</w:t>
            </w:r>
          </w:p>
        </w:tc>
      </w:tr>
      <w:tr>
        <w:trPr>
          <w:cantSplit w:val="0"/>
          <w:trHeight w:val="500" w:hRule="atLeast"/>
          <w:tblHeader w:val="0"/>
        </w:trPr>
        <w:tc>
          <w:tcPr>
            <w:shd w:fill="b4a7d6" w:val="clear"/>
          </w:tcPr>
          <w:p w:rsidR="00000000" w:rsidDel="00000000" w:rsidP="00000000" w:rsidRDefault="00000000" w:rsidRPr="00000000" w14:paraId="0000001D">
            <w:pPr>
              <w:spacing w:after="240" w:before="240" w:lineRule="auto"/>
              <w:rPr/>
            </w:pPr>
            <w:r w:rsidDel="00000000" w:rsidR="00000000" w:rsidRPr="00000000">
              <w:rPr>
                <w:rtl w:val="0"/>
              </w:rPr>
              <w:t xml:space="preserve">March 2019</w:t>
            </w:r>
          </w:p>
        </w:tc>
        <w:tc>
          <w:tcPr>
            <w:shd w:fill="b4a7d6" w:val="clear"/>
          </w:tcPr>
          <w:p w:rsidR="00000000" w:rsidDel="00000000" w:rsidP="00000000" w:rsidRDefault="00000000" w:rsidRPr="00000000" w14:paraId="0000001E">
            <w:pPr>
              <w:spacing w:after="240" w:before="240" w:lineRule="auto"/>
              <w:rPr/>
            </w:pPr>
            <w:r w:rsidDel="00000000" w:rsidR="00000000" w:rsidRPr="00000000">
              <w:rPr>
                <w:rtl w:val="0"/>
              </w:rPr>
              <w:t xml:space="preserve">49,131</w:t>
            </w:r>
          </w:p>
        </w:tc>
        <w:tc>
          <w:tcPr>
            <w:shd w:fill="b4a7d6" w:val="clear"/>
          </w:tcPr>
          <w:p w:rsidR="00000000" w:rsidDel="00000000" w:rsidP="00000000" w:rsidRDefault="00000000" w:rsidRPr="00000000" w14:paraId="0000001F">
            <w:pPr>
              <w:spacing w:after="240" w:before="240" w:lineRule="auto"/>
              <w:rPr/>
            </w:pPr>
            <w:r w:rsidDel="00000000" w:rsidR="00000000" w:rsidRPr="00000000">
              <w:rPr>
                <w:rtl w:val="0"/>
              </w:rPr>
              <w:t xml:space="preserve">6,124–92,138</w:t>
            </w:r>
          </w:p>
        </w:tc>
      </w:tr>
    </w:tbl>
    <w:p w:rsidR="00000000" w:rsidDel="00000000" w:rsidP="00000000" w:rsidRDefault="00000000" w:rsidRPr="00000000" w14:paraId="00000020">
      <w:pPr>
        <w:pStyle w:val="Heading3"/>
        <w:keepNext w:val="0"/>
        <w:keepLines w:val="0"/>
        <w:spacing w:before="280" w:lineRule="auto"/>
        <w:rPr>
          <w:sz w:val="24"/>
          <w:szCs w:val="24"/>
        </w:rPr>
      </w:pPr>
      <w:bookmarkStart w:colFirst="0" w:colLast="0" w:name="_ee36xzc6qxuv" w:id="12"/>
      <w:bookmarkEnd w:id="12"/>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sz w:val="24"/>
          <w:szCs w:val="24"/>
        </w:rPr>
      </w:pPr>
      <w:bookmarkStart w:colFirst="0" w:colLast="0" w:name="_d77l5lbsowq9" w:id="13"/>
      <w:bookmarkEnd w:id="13"/>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sz w:val="24"/>
          <w:szCs w:val="24"/>
        </w:rPr>
      </w:pPr>
      <w:bookmarkStart w:colFirst="0" w:colLast="0" w:name="_pr44hl85vh0m" w:id="14"/>
      <w:bookmarkEnd w:id="14"/>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sz w:val="24"/>
          <w:szCs w:val="24"/>
        </w:rPr>
      </w:pPr>
      <w:bookmarkStart w:colFirst="0" w:colLast="0" w:name="_1kvhm48pweus" w:id="15"/>
      <w:bookmarkEnd w:id="15"/>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sz w:val="24"/>
          <w:szCs w:val="24"/>
        </w:rPr>
      </w:pPr>
      <w:bookmarkStart w:colFirst="0" w:colLast="0" w:name="_oad9u8g2c4sf" w:id="16"/>
      <w:bookmarkEnd w:id="16"/>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sz w:val="24"/>
          <w:szCs w:val="24"/>
        </w:rPr>
      </w:pPr>
      <w:bookmarkStart w:colFirst="0" w:colLast="0" w:name="_jecrsd5ot442" w:id="17"/>
      <w:bookmarkEnd w:id="17"/>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sz w:val="24"/>
          <w:szCs w:val="24"/>
        </w:rPr>
      </w:pPr>
      <w:bookmarkStart w:colFirst="0" w:colLast="0" w:name="_782hbf9mt8or" w:id="18"/>
      <w:bookmarkEnd w:id="18"/>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sz w:val="24"/>
          <w:szCs w:val="24"/>
        </w:rPr>
      </w:pPr>
      <w:bookmarkStart w:colFirst="0" w:colLast="0" w:name="_mr234p2hnwc2" w:id="19"/>
      <w:bookmarkEnd w:id="19"/>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sz w:val="24"/>
          <w:szCs w:val="24"/>
        </w:rPr>
      </w:pPr>
      <w:bookmarkStart w:colFirst="0" w:colLast="0" w:name="_26otlhkb6a" w:id="20"/>
      <w:bookmarkEnd w:id="20"/>
      <w:r w:rsidDel="00000000" w:rsidR="00000000" w:rsidRPr="00000000">
        <w:rPr>
          <w:sz w:val="24"/>
          <w:szCs w:val="24"/>
          <w:rtl w:val="0"/>
        </w:rPr>
        <w:t xml:space="preserve">The outlook suggests a sharp February slowdown followed by recovery in March. Because the ranges are wide, these figures should be treated as </w:t>
      </w:r>
      <w:r w:rsidDel="00000000" w:rsidR="00000000" w:rsidRPr="00000000">
        <w:rPr>
          <w:sz w:val="24"/>
          <w:szCs w:val="24"/>
          <w:rtl w:val="0"/>
        </w:rPr>
        <w:t xml:space="preserve">planning guidance rather than fixed targets.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4pr2cj6298jb" w:id="21"/>
      <w:bookmarkEnd w:id="21"/>
      <w:r w:rsidDel="00000000" w:rsidR="00000000" w:rsidRPr="00000000">
        <w:rPr>
          <w:b w:val="1"/>
          <w:bCs w:val="1"/>
          <w:color w:val="000000"/>
          <w:sz w:val="26"/>
          <w:szCs w:val="26"/>
          <w:rtl w:val="0"/>
        </w:rPr>
        <w:t xml:space="preserve">Top Three Unusual Sales Periods</w:t>
      </w:r>
    </w:p>
    <w:p w:rsidR="00000000" w:rsidDel="00000000" w:rsidP="00000000" w:rsidRDefault="00000000" w:rsidRPr="00000000" w14:paraId="0000002A">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22 March 2015 — 37,703.67:</w:t>
      </w:r>
      <w:r w:rsidDel="00000000" w:rsidR="00000000" w:rsidRPr="00000000">
        <w:rPr>
          <w:sz w:val="24"/>
          <w:szCs w:val="24"/>
          <w:rtl w:val="0"/>
        </w:rPr>
        <w:t xml:space="preserve"> possibly caused by a bulk order or short-term promotion.</w:t>
      </w:r>
    </w:p>
    <w:p w:rsidR="00000000" w:rsidDel="00000000" w:rsidP="00000000" w:rsidRDefault="00000000" w:rsidRPr="00000000" w14:paraId="0000002B">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2 December 2018 — 35,998.90:</w:t>
      </w:r>
      <w:r w:rsidDel="00000000" w:rsidR="00000000" w:rsidRPr="00000000">
        <w:rPr>
          <w:sz w:val="24"/>
          <w:szCs w:val="24"/>
          <w:rtl w:val="0"/>
        </w:rPr>
        <w:t xml:space="preserve"> likely linked to year-end or holiday demand.</w:t>
      </w:r>
    </w:p>
    <w:p w:rsidR="00000000" w:rsidDel="00000000" w:rsidP="00000000" w:rsidRDefault="00000000" w:rsidRPr="00000000" w14:paraId="0000002C">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18 November 2018 — 30,572.45:</w:t>
      </w:r>
      <w:r w:rsidDel="00000000" w:rsidR="00000000" w:rsidRPr="00000000">
        <w:rPr>
          <w:sz w:val="24"/>
          <w:szCs w:val="24"/>
          <w:rtl w:val="0"/>
        </w:rPr>
        <w:t xml:space="preserve"> likely related to seasonal demand or promotional activity.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exact causes cannot be confirmed because promotion and major-order information was not available.</w:t>
      </w:r>
    </w:p>
    <w:p w:rsidR="00000000" w:rsidDel="00000000" w:rsidP="00000000" w:rsidRDefault="00000000" w:rsidRPr="00000000" w14:paraId="0000002E">
      <w:pPr>
        <w:pStyle w:val="Heading3"/>
        <w:keepNext w:val="0"/>
        <w:keepLines w:val="0"/>
        <w:spacing w:before="280" w:lineRule="auto"/>
        <w:rPr>
          <w:b w:val="1"/>
          <w:bCs w:val="1"/>
          <w:color w:val="000000"/>
          <w:sz w:val="30"/>
          <w:szCs w:val="30"/>
        </w:rPr>
      </w:pPr>
      <w:bookmarkStart w:colFirst="0" w:colLast="0" w:name="_i77rl6vmznho" w:id="22"/>
      <w:bookmarkEnd w:id="22"/>
      <w:r w:rsidDel="00000000" w:rsidR="00000000" w:rsidRPr="00000000">
        <w:rPr>
          <w:b w:val="1"/>
          <w:bCs w:val="1"/>
          <w:color w:val="000000"/>
          <w:sz w:val="30"/>
          <w:szCs w:val="30"/>
          <w:rtl w:val="0"/>
        </w:rPr>
        <w:t xml:space="preserve">Product Demand and Stocking Strategy</w:t>
      </w:r>
    </w:p>
    <w:p w:rsidR="00000000" w:rsidDel="00000000" w:rsidP="00000000" w:rsidRDefault="00000000" w:rsidRPr="00000000" w14:paraId="0000002F">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High Volume, Core Demand:</w:t>
      </w:r>
      <w:r w:rsidDel="00000000" w:rsidR="00000000" w:rsidRPr="00000000">
        <w:rPr>
          <w:sz w:val="24"/>
          <w:szCs w:val="24"/>
          <w:rtl w:val="0"/>
        </w:rPr>
        <w:t xml:space="preserve"> Accessories, Binders, Chairs, Phones, Storage and Tables. Maintain strong availability and adequate safety stock.</w:t>
      </w:r>
    </w:p>
    <w:p w:rsidR="00000000" w:rsidDel="00000000" w:rsidP="00000000" w:rsidRDefault="00000000" w:rsidRPr="00000000" w14:paraId="00000030">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High Value, Unpredictable Demand:</w:t>
      </w:r>
      <w:r w:rsidDel="00000000" w:rsidR="00000000" w:rsidRPr="00000000">
        <w:rPr>
          <w:sz w:val="24"/>
          <w:szCs w:val="24"/>
          <w:rtl w:val="0"/>
        </w:rPr>
        <w:t xml:space="preserve"> Copiers and Machines. Keep inventory controlled and replenish flexibly to avoid tying up excess capital.</w:t>
      </w:r>
    </w:p>
    <w:p w:rsidR="00000000" w:rsidDel="00000000" w:rsidP="00000000" w:rsidRDefault="00000000" w:rsidRPr="00000000" w14:paraId="00000031">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Low Volume, Stable Demand:</w:t>
      </w:r>
      <w:r w:rsidDel="00000000" w:rsidR="00000000" w:rsidRPr="00000000">
        <w:rPr>
          <w:sz w:val="24"/>
          <w:szCs w:val="24"/>
          <w:rtl w:val="0"/>
        </w:rPr>
        <w:t xml:space="preserve"> Bookcases, Appliances, Envelopes, Furnishings, Fasteners, Art, Paper and Labels. Use lean stock levels with regular small replenishments.</w:t>
      </w:r>
    </w:p>
    <w:p w:rsidR="00000000" w:rsidDel="00000000" w:rsidP="00000000" w:rsidRDefault="00000000" w:rsidRPr="00000000" w14:paraId="00000032">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Fast-Growing Demand:</w:t>
      </w:r>
      <w:r w:rsidDel="00000000" w:rsidR="00000000" w:rsidRPr="00000000">
        <w:rPr>
          <w:sz w:val="24"/>
          <w:szCs w:val="24"/>
          <w:rtl w:val="0"/>
        </w:rPr>
        <w:t xml:space="preserve"> Supplies. Increase stock gradually and review demand frequently.</w:t>
      </w:r>
    </w:p>
    <w:p w:rsidR="00000000" w:rsidDel="00000000" w:rsidP="00000000" w:rsidRDefault="00000000" w:rsidRPr="00000000" w14:paraId="00000033">
      <w:pPr>
        <w:pStyle w:val="Heading3"/>
        <w:keepNext w:val="0"/>
        <w:keepLines w:val="0"/>
        <w:spacing w:before="280" w:lineRule="auto"/>
        <w:rPr>
          <w:b w:val="1"/>
          <w:bCs w:val="1"/>
          <w:color w:val="000000"/>
          <w:sz w:val="32"/>
          <w:szCs w:val="32"/>
        </w:rPr>
      </w:pPr>
      <w:bookmarkStart w:colFirst="0" w:colLast="0" w:name="_5yuigy2e97cd" w:id="23"/>
      <w:bookmarkEnd w:id="23"/>
      <w:r w:rsidDel="00000000" w:rsidR="00000000" w:rsidRPr="00000000">
        <w:rPr>
          <w:b w:val="1"/>
          <w:bCs w:val="1"/>
          <w:color w:val="000000"/>
          <w:sz w:val="32"/>
          <w:szCs w:val="32"/>
          <w:rtl w:val="0"/>
        </w:rPr>
        <w:t xml:space="preserve">Business Recommendations</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Prioritise core products.</w:t>
      </w:r>
      <w:r w:rsidDel="00000000" w:rsidR="00000000" w:rsidRPr="00000000">
        <w:rPr>
          <w:sz w:val="24"/>
          <w:szCs w:val="24"/>
          <w:rtl w:val="0"/>
        </w:rPr>
        <w:t xml:space="preserve"> The high-volume group recorded the largest average sales volume at approximately </w:t>
      </w:r>
      <w:r w:rsidDel="00000000" w:rsidR="00000000" w:rsidRPr="00000000">
        <w:rPr>
          <w:sz w:val="24"/>
          <w:szCs w:val="24"/>
          <w:rtl w:val="0"/>
        </w:rPr>
        <w:t xml:space="preserve">239,496</w:t>
      </w:r>
      <w:r w:rsidDel="00000000" w:rsidR="00000000" w:rsidRPr="00000000">
        <w:rPr>
          <w:sz w:val="24"/>
          <w:szCs w:val="24"/>
          <w:rtl w:val="0"/>
        </w:rPr>
        <w:t xml:space="preserve">. These products should receive priority for replenishment and safety stock.</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Prepare early for year-end demand</w:t>
      </w:r>
      <w:r w:rsidDel="00000000" w:rsidR="00000000" w:rsidRPr="00000000">
        <w:rPr>
          <w:b w:val="1"/>
          <w:bCs w:val="1"/>
          <w:sz w:val="24"/>
          <w:szCs w:val="24"/>
          <w:rtl w:val="0"/>
        </w:rPr>
        <w:t xml:space="preserve">.</w:t>
      </w:r>
      <w:r w:rsidDel="00000000" w:rsidR="00000000" w:rsidRPr="00000000">
        <w:rPr>
          <w:sz w:val="24"/>
          <w:szCs w:val="24"/>
          <w:rtl w:val="0"/>
        </w:rPr>
        <w:t xml:space="preserve"> November and December repeatedly showed strong sales, including unusual weeks of approximately </w:t>
      </w:r>
      <w:r w:rsidDel="00000000" w:rsidR="00000000" w:rsidRPr="00000000">
        <w:rPr>
          <w:sz w:val="24"/>
          <w:szCs w:val="24"/>
          <w:rtl w:val="0"/>
        </w:rPr>
        <w:t xml:space="preserve">30,572 and 35,999</w:t>
      </w:r>
      <w:r w:rsidDel="00000000" w:rsidR="00000000" w:rsidRPr="00000000">
        <w:rPr>
          <w:sz w:val="24"/>
          <w:szCs w:val="24"/>
          <w:rtl w:val="0"/>
        </w:rPr>
        <w:t xml:space="preserve">. Inventory should be built ahead of these recurring peaks.</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Use flexible purchasing for the coming quarter</w:t>
      </w:r>
      <w:r w:rsidDel="00000000" w:rsidR="00000000" w:rsidRPr="00000000">
        <w:rPr>
          <w:b w:val="1"/>
          <w:bCs w:val="1"/>
          <w:sz w:val="24"/>
          <w:szCs w:val="24"/>
          <w:rtl w:val="0"/>
        </w:rPr>
        <w:t xml:space="preserve">.</w:t>
      </w:r>
      <w:r w:rsidDel="00000000" w:rsidR="00000000" w:rsidRPr="00000000">
        <w:rPr>
          <w:sz w:val="24"/>
          <w:szCs w:val="24"/>
          <w:rtl w:val="0"/>
        </w:rPr>
        <w:t xml:space="preserve"> Expected sales vary significantly from </w:t>
      </w:r>
      <w:r w:rsidDel="00000000" w:rsidR="00000000" w:rsidRPr="00000000">
        <w:rPr>
          <w:sz w:val="24"/>
          <w:szCs w:val="24"/>
          <w:rtl w:val="0"/>
        </w:rPr>
        <w:t xml:space="preserve">55,786 in January to 9,718 in February and 49,131 in March</w:t>
      </w:r>
      <w:r w:rsidDel="00000000" w:rsidR="00000000" w:rsidRPr="00000000">
        <w:rPr>
          <w:sz w:val="24"/>
          <w:szCs w:val="24"/>
          <w:rtl w:val="0"/>
        </w:rPr>
        <w:t xml:space="preserve">. Purchasing should be phased and adjusted as actual demand becomes available.</w:t>
      </w:r>
    </w:p>
    <w:p w:rsidR="00000000" w:rsidDel="00000000" w:rsidP="00000000" w:rsidRDefault="00000000" w:rsidRPr="00000000" w14:paraId="00000037">
      <w:pPr>
        <w:pStyle w:val="Heading3"/>
        <w:keepNext w:val="0"/>
        <w:keepLines w:val="0"/>
        <w:spacing w:before="280" w:lineRule="auto"/>
        <w:rPr>
          <w:b w:val="1"/>
          <w:bCs w:val="1"/>
          <w:color w:val="000000"/>
          <w:sz w:val="30"/>
          <w:szCs w:val="30"/>
        </w:rPr>
      </w:pPr>
      <w:bookmarkStart w:colFirst="0" w:colLast="0" w:name="_ivbkht9m1cyl" w:id="24"/>
      <w:bookmarkEnd w:id="24"/>
      <w:r w:rsidDel="00000000" w:rsidR="00000000" w:rsidRPr="00000000">
        <w:rPr>
          <w:b w:val="1"/>
          <w:bCs w:val="1"/>
          <w:color w:val="000000"/>
          <w:sz w:val="30"/>
          <w:szCs w:val="30"/>
          <w:rtl w:val="0"/>
        </w:rPr>
        <w:t xml:space="preserve">Risk and Limitation</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main business risk is overstocking or understocking if actual demand differs significantly from the forecast. Overstocking can tie up working capital and increase storage costs, while understocking can lead to lost sales and dissatisfied customers. Since the forecast is based on historical sales patterns, unexpected market changes may reduce its accuracy. Therefore, inventory plans should be reviewed regularly as new sales data becomes available. </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