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ind w:left="1440" w:firstLine="720"/>
        <w:rPr>
          <w:rFonts w:ascii="Verdana" w:cs="Verdana" w:eastAsia="Verdana" w:hAnsi="Verdana"/>
          <w:b w:val="1"/>
          <w:bCs w:val="1"/>
          <w:color w:val="000000"/>
          <w:sz w:val="44"/>
          <w:szCs w:val="44"/>
        </w:rPr>
      </w:pPr>
      <w:bookmarkStart w:colFirst="0" w:colLast="0" w:name="_oykw1yrbiz2m" w:id="0"/>
      <w:bookmarkEnd w:id="0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44"/>
          <w:szCs w:val="44"/>
          <w:rtl w:val="0"/>
        </w:rPr>
        <w:t xml:space="preserve">Sahaj Software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ind w:left="1440" w:firstLine="720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dwr7j8514jae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ind w:left="1440" w:firstLine="720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rnwwv0amnn09" w:id="2"/>
      <w:bookmarkEnd w:id="2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Laptop Replacement Policy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1. Purpose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 This policy outlines the guidelines for replacing Sahaj Software issued laptops to ensure that members have reliable and up to date equipment for optimal performance and security.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2. Scope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 This policy applies to all members, contractors, and consultants who are issued laptops by  Sahaj Software.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3. Replacement Cycle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Standard laptop replacement will occur every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Three years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from the date of issue.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Earlier replacement may be approved if: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device becomes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unrepairable or unreliable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device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fails to meet performance or security standards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There is a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change in job role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requiring upgraded specifications.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4. Conditions for Replacement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Replacement will be authorized by the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IT team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after evaluation.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old laptop must be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returned/retained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after a new one is issued.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5. Lost or Stolen Laptops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Must be reported immediately to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IT and need to file a complaint to the police.</w:t>
      </w:r>
      <w:r w:rsidDel="00000000" w:rsidR="00000000" w:rsidRPr="00000000">
        <w:rPr>
          <w:rFonts w:ascii="Verdana" w:cs="Verdana" w:eastAsia="Verdana" w:hAnsi="Verdana"/>
          <w:rtl w:val="0"/>
        </w:rPr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 replacement will be issued after investigation and completion of required documentation.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6. Disposal or Reuse.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Retired laptops will be: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Wiped off all company data.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Recycled, donated, or repurposed per IT asset disposal guidelines.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7. Exceptions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 Any exception to this policy must be approved by the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IT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