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bf6ee788ebf108f99e2ed2d0d680134522e6d3"/>
    <w:p>
      <w:pPr>
        <w:pStyle w:val="Heading1"/>
      </w:pPr>
      <w:r>
        <w:t xml:space="preserve">NeuroScale++: Learning Data-Driven Inference Complexity Scaling Laws for Energy-Efficient ANN-to-SNN Conversion in Real-Time Neuromorphic Signal Intelligence</w:t>
      </w:r>
    </w:p>
    <w:bookmarkStart w:id="20" w:name="abstract"/>
    <w:p>
      <w:pPr>
        <w:pStyle w:val="Heading2"/>
      </w:pPr>
      <w:r>
        <w:t xml:space="preserve">Abstract</w:t>
      </w:r>
    </w:p>
    <w:p>
      <w:pPr>
        <w:pStyle w:val="FirstParagraph"/>
      </w:pPr>
      <w:r>
        <w:t xml:space="preserve">Spiking Neural Networks (SNNs) have emerged as a promising paradigm for ultra-low-power neuromorphic intelligence; however, existing ANN-to-SNN conversion methods primarily focus on preserving predictive accuracy while neglecting the fundamental relationship between architectural complexity, spike dynamics, latency, and energy consumption. This limitation hinders the deployment of efficient neuromorphic systems in real-time signal processing applications. To address this challenge, we propose NeuroScale++, a data-driven framework that learns inference complexity scaling laws governing ANN-to-SNN conversion. The proposed framework systematically models how network depth, width, sparsity, quantization levels, and spike firing rates influence computational cost, latency, and energy efficiency after conversion. A complexity prediction module is developed to estimate deployment-time performance prior to neuromorphic execution, while a multi-objective optimization strategy identifies optimal conversion configurations that balance accuracy, latency, and energy consumption. Experiments are conducted on biomedical and temporal signal processing datasets including ECG, EEG, and speech classification benchmarks. Results demonstrate that NeuroScale++ achieves significant reductions in inference latency and synaptic operations while maintaining competitive predictive performance. The proposed scaling-law framework establishes a predictive and explainable foundation for next-generation energy-efficient neuromorphic signal intelligence systems.</w:t>
      </w:r>
    </w:p>
    <w:p>
      <w:r>
        <w:pict>
          <v:rect style="width:0;height:1.5pt" o:hralign="center" o:hrstd="t" o:hr="t"/>
        </w:pict>
      </w:r>
    </w:p>
    <w:bookmarkEnd w:id="20"/>
    <w:bookmarkEnd w:id="21"/>
    <w:bookmarkStart w:id="27" w:name="key-contributions"/>
    <w:p>
      <w:pPr>
        <w:pStyle w:val="Heading1"/>
      </w:pPr>
      <w:r>
        <w:t xml:space="preserve">Key Contributions</w:t>
      </w:r>
    </w:p>
    <w:bookmarkStart w:id="22" w:name="contribution-1"/>
    <w:p>
      <w:pPr>
        <w:pStyle w:val="Heading3"/>
      </w:pPr>
      <w:r>
        <w:t xml:space="preserve">Contribution 1</w:t>
      </w:r>
    </w:p>
    <w:p>
      <w:pPr>
        <w:pStyle w:val="FirstParagraph"/>
      </w:pPr>
      <w:r>
        <w:t xml:space="preserve">Development of the first data-driven inference complexity scaling-law framework that quantitatively models the relationship between ANN architectural parameters and post-conversion SNN computational behavior.</w:t>
      </w:r>
    </w:p>
    <w:bookmarkEnd w:id="22"/>
    <w:bookmarkStart w:id="23" w:name="contribution-2"/>
    <w:p>
      <w:pPr>
        <w:pStyle w:val="Heading3"/>
      </w:pPr>
      <w:r>
        <w:t xml:space="preserve">Contribution 2</w:t>
      </w:r>
    </w:p>
    <w:p>
      <w:pPr>
        <w:pStyle w:val="FirstParagraph"/>
      </w:pPr>
      <w:r>
        <w:t xml:space="preserve">Introduction of a predictive complexity estimation module capable of forecasting latency, spike activity, synaptic operations, and energy consumption before neuromorphic deployment.</w:t>
      </w:r>
    </w:p>
    <w:bookmarkEnd w:id="23"/>
    <w:bookmarkStart w:id="24" w:name="contribution-3"/>
    <w:p>
      <w:pPr>
        <w:pStyle w:val="Heading3"/>
      </w:pPr>
      <w:r>
        <w:t xml:space="preserve">Contribution 3</w:t>
      </w:r>
    </w:p>
    <w:p>
      <w:pPr>
        <w:pStyle w:val="FirstParagraph"/>
      </w:pPr>
      <w:r>
        <w:t xml:space="preserve">Design of a multi-objective optimization mechanism that automatically identifies optimal ANN-to-SNN conversion parameters for minimizing energy consumption and inference latency while preserving classification accuracy.</w:t>
      </w:r>
    </w:p>
    <w:bookmarkEnd w:id="24"/>
    <w:bookmarkStart w:id="25" w:name="contribution-4"/>
    <w:p>
      <w:pPr>
        <w:pStyle w:val="Heading3"/>
      </w:pPr>
      <w:r>
        <w:t xml:space="preserve">Contribution 4</w:t>
      </w:r>
    </w:p>
    <w:p>
      <w:pPr>
        <w:pStyle w:val="FirstParagraph"/>
      </w:pPr>
      <w:r>
        <w:t xml:space="preserve">Comprehensive explainability analysis that reveals the influence of depth, width, sparsity, quantization, and spike rate on neuromorphic computational efficiency.</w:t>
      </w:r>
    </w:p>
    <w:bookmarkEnd w:id="25"/>
    <w:bookmarkStart w:id="26" w:name="contribution-5"/>
    <w:p>
      <w:pPr>
        <w:pStyle w:val="Heading3"/>
      </w:pPr>
      <w:r>
        <w:t xml:space="preserve">Contribution 5</w:t>
      </w:r>
    </w:p>
    <w:p>
      <w:pPr>
        <w:pStyle w:val="FirstParagraph"/>
      </w:pPr>
      <w:r>
        <w:t xml:space="preserve">Extensive validation across multiple real-time signal processing tasks demonstrating superior scalability and energy efficiency compared with state-of-the-art ANN-to-SNN conversion methods.</w:t>
      </w:r>
    </w:p>
    <w:p>
      <w:r>
        <w:pict>
          <v:rect style="width:0;height:1.5pt" o:hralign="center" o:hrstd="t" o:hr="t"/>
        </w:pict>
      </w:r>
    </w:p>
    <w:bookmarkEnd w:id="26"/>
    <w:bookmarkEnd w:id="27"/>
    <w:bookmarkStart w:id="38" w:name="methodology"/>
    <w:p>
      <w:pPr>
        <w:pStyle w:val="Heading1"/>
      </w:pPr>
      <w:r>
        <w:t xml:space="preserve">Methodology</w:t>
      </w:r>
    </w:p>
    <w:bookmarkStart w:id="30" w:name="phase-i-ann-model-development"/>
    <w:p>
      <w:pPr>
        <w:pStyle w:val="Heading2"/>
      </w:pPr>
      <w:r>
        <w:t xml:space="preserve">Phase I: ANN Model Development</w:t>
      </w:r>
    </w:p>
    <w:bookmarkStart w:id="28" w:name="signal-processing-datasets"/>
    <w:p>
      <w:pPr>
        <w:pStyle w:val="Heading3"/>
      </w:pPr>
      <w:r>
        <w:t xml:space="preserve">Signal Processing Datasets</w:t>
      </w:r>
    </w:p>
    <w:p>
      <w:pPr>
        <w:pStyle w:val="Compact"/>
        <w:numPr>
          <w:ilvl w:val="0"/>
          <w:numId w:val="1001"/>
        </w:numPr>
      </w:pPr>
      <w:r>
        <w:t xml:space="preserve">MIT-BIH Arrhythmia Database (ECG)</w:t>
      </w:r>
    </w:p>
    <w:p>
      <w:pPr>
        <w:pStyle w:val="Compact"/>
        <w:numPr>
          <w:ilvl w:val="0"/>
          <w:numId w:val="1001"/>
        </w:numPr>
      </w:pPr>
      <w:r>
        <w:t xml:space="preserve">Bonn EEG Dataset</w:t>
      </w:r>
    </w:p>
    <w:p>
      <w:pPr>
        <w:pStyle w:val="Compact"/>
        <w:numPr>
          <w:ilvl w:val="0"/>
          <w:numId w:val="1001"/>
        </w:numPr>
      </w:pPr>
      <w:r>
        <w:t xml:space="preserve">Speech Commands Dataset v2</w:t>
      </w:r>
    </w:p>
    <w:p>
      <w:pPr>
        <w:pStyle w:val="Compact"/>
        <w:numPr>
          <w:ilvl w:val="0"/>
          <w:numId w:val="1001"/>
        </w:numPr>
      </w:pPr>
      <w:r>
        <w:t xml:space="preserve">PhysioNet Challenge Dataset</w:t>
      </w:r>
    </w:p>
    <w:bookmarkEnd w:id="28"/>
    <w:bookmarkStart w:id="29" w:name="ann-architectures"/>
    <w:p>
      <w:pPr>
        <w:pStyle w:val="Heading3"/>
      </w:pPr>
      <w:r>
        <w:t xml:space="preserve">ANN Architectures</w:t>
      </w:r>
    </w:p>
    <w:p>
      <w:pPr>
        <w:pStyle w:val="Compact"/>
        <w:numPr>
          <w:ilvl w:val="0"/>
          <w:numId w:val="1002"/>
        </w:numPr>
      </w:pPr>
      <w:r>
        <w:t xml:space="preserve">1D CNN</w:t>
      </w:r>
    </w:p>
    <w:p>
      <w:pPr>
        <w:pStyle w:val="Compact"/>
        <w:numPr>
          <w:ilvl w:val="0"/>
          <w:numId w:val="1002"/>
        </w:numPr>
      </w:pPr>
      <w:r>
        <w:t xml:space="preserve">Temporal Convolution Network (TCN)</w:t>
      </w:r>
    </w:p>
    <w:p>
      <w:pPr>
        <w:pStyle w:val="Compact"/>
        <w:numPr>
          <w:ilvl w:val="0"/>
          <w:numId w:val="1002"/>
        </w:numPr>
      </w:pPr>
      <w:r>
        <w:t xml:space="preserve">CNN-LSTM</w:t>
      </w:r>
    </w:p>
    <w:p>
      <w:pPr>
        <w:pStyle w:val="Compact"/>
        <w:numPr>
          <w:ilvl w:val="0"/>
          <w:numId w:val="1002"/>
        </w:numPr>
      </w:pPr>
      <w:r>
        <w:t xml:space="preserve">Lightweight Residual CNN</w:t>
      </w:r>
    </w:p>
    <w:p>
      <w:pPr>
        <w:pStyle w:val="FirstParagraph"/>
      </w:pPr>
      <w:r>
        <w:t xml:space="preserve">Training Framework:</w:t>
      </w:r>
    </w:p>
    <w:p>
      <w:pPr>
        <w:pStyle w:val="Compact"/>
        <w:numPr>
          <w:ilvl w:val="0"/>
          <w:numId w:val="1003"/>
        </w:numPr>
      </w:pPr>
      <w:r>
        <w:t xml:space="preserve">PyTorch</w:t>
      </w:r>
    </w:p>
    <w:p>
      <w:pPr>
        <w:pStyle w:val="Compact"/>
        <w:numPr>
          <w:ilvl w:val="0"/>
          <w:numId w:val="1003"/>
        </w:numPr>
      </w:pPr>
      <w:r>
        <w:t xml:space="preserve">Adam Optimizer</w:t>
      </w:r>
    </w:p>
    <w:p>
      <w:pPr>
        <w:pStyle w:val="Compact"/>
        <w:numPr>
          <w:ilvl w:val="0"/>
          <w:numId w:val="1003"/>
        </w:numPr>
      </w:pPr>
      <w:r>
        <w:t xml:space="preserve">Cross-Entropy Loss</w:t>
      </w:r>
    </w:p>
    <w:p>
      <w:pPr>
        <w:pStyle w:val="Compact"/>
        <w:numPr>
          <w:ilvl w:val="0"/>
          <w:numId w:val="1003"/>
        </w:numPr>
      </w:pPr>
      <w:r>
        <w:t xml:space="preserve">Early Stopping</w:t>
      </w:r>
    </w:p>
    <w:p>
      <w:r>
        <w:pict>
          <v:rect style="width:0;height:1.5pt" o:hralign="center" o:hrstd="t" o:hr="t"/>
        </w:pict>
      </w:r>
    </w:p>
    <w:bookmarkEnd w:id="29"/>
    <w:bookmarkEnd w:id="30"/>
    <w:bookmarkStart w:id="31" w:name="phase-ii-ann-to-snn-conversion"/>
    <w:p>
      <w:pPr>
        <w:pStyle w:val="Heading2"/>
      </w:pPr>
      <w:r>
        <w:t xml:space="preserve">Phase II: ANN-to-SNN Conversion</w:t>
      </w:r>
    </w:p>
    <w:p>
      <w:pPr>
        <w:pStyle w:val="FirstParagraph"/>
      </w:pPr>
      <w:r>
        <w:t xml:space="preserve">Conversion Frameworks:</w:t>
      </w:r>
    </w:p>
    <w:p>
      <w:pPr>
        <w:pStyle w:val="Compact"/>
        <w:numPr>
          <w:ilvl w:val="0"/>
          <w:numId w:val="1004"/>
        </w:numPr>
      </w:pPr>
      <w:r>
        <w:t xml:space="preserve">SpikingJelly</w:t>
      </w:r>
    </w:p>
    <w:p>
      <w:pPr>
        <w:pStyle w:val="Compact"/>
        <w:numPr>
          <w:ilvl w:val="0"/>
          <w:numId w:val="1004"/>
        </w:numPr>
      </w:pPr>
      <w:r>
        <w:t xml:space="preserve">Norse</w:t>
      </w:r>
    </w:p>
    <w:p>
      <w:pPr>
        <w:pStyle w:val="Compact"/>
        <w:numPr>
          <w:ilvl w:val="0"/>
          <w:numId w:val="1004"/>
        </w:numPr>
      </w:pPr>
      <w:r>
        <w:t xml:space="preserve">BindsNET</w:t>
      </w:r>
    </w:p>
    <w:p>
      <w:pPr>
        <w:pStyle w:val="FirstParagraph"/>
      </w:pPr>
      <w:r>
        <w:t xml:space="preserve">Neuron Models:</w:t>
      </w:r>
    </w:p>
    <w:p>
      <w:pPr>
        <w:pStyle w:val="Compact"/>
        <w:numPr>
          <w:ilvl w:val="0"/>
          <w:numId w:val="1005"/>
        </w:numPr>
      </w:pPr>
      <w:r>
        <w:t xml:space="preserve">LIF</w:t>
      </w:r>
    </w:p>
    <w:p>
      <w:pPr>
        <w:pStyle w:val="Compact"/>
        <w:numPr>
          <w:ilvl w:val="0"/>
          <w:numId w:val="1005"/>
        </w:numPr>
      </w:pPr>
      <w:r>
        <w:t xml:space="preserve">IF</w:t>
      </w:r>
    </w:p>
    <w:p>
      <w:pPr>
        <w:pStyle w:val="Compact"/>
        <w:numPr>
          <w:ilvl w:val="0"/>
          <w:numId w:val="1005"/>
        </w:numPr>
      </w:pPr>
      <w:r>
        <w:t xml:space="preserve">Adaptive LIF</w:t>
      </w:r>
    </w:p>
    <w:p>
      <w:pPr>
        <w:pStyle w:val="FirstParagraph"/>
      </w:pPr>
      <w:r>
        <w:t xml:space="preserve">Encoding Methods:</w:t>
      </w:r>
    </w:p>
    <w:p>
      <w:pPr>
        <w:pStyle w:val="Compact"/>
        <w:numPr>
          <w:ilvl w:val="0"/>
          <w:numId w:val="1006"/>
        </w:numPr>
      </w:pPr>
      <w:r>
        <w:t xml:space="preserve">Rate Coding</w:t>
      </w:r>
    </w:p>
    <w:p>
      <w:pPr>
        <w:pStyle w:val="Compact"/>
        <w:numPr>
          <w:ilvl w:val="0"/>
          <w:numId w:val="1006"/>
        </w:numPr>
      </w:pPr>
      <w:r>
        <w:t xml:space="preserve">Temporal Coding</w:t>
      </w:r>
    </w:p>
    <w:p>
      <w:pPr>
        <w:pStyle w:val="Compact"/>
        <w:numPr>
          <w:ilvl w:val="0"/>
          <w:numId w:val="1006"/>
        </w:numPr>
      </w:pPr>
      <w:r>
        <w:t xml:space="preserve">Phase Coding</w:t>
      </w:r>
    </w:p>
    <w:p>
      <w:r>
        <w:pict>
          <v:rect style="width:0;height:1.5pt" o:hralign="center" o:hrstd="t" o:hr="t"/>
        </w:pict>
      </w:r>
    </w:p>
    <w:bookmarkEnd w:id="31"/>
    <w:bookmarkStart w:id="32" w:name="Xaba8118d30a94ee06c8b59e49bfd9f6d2b5849b"/>
    <w:p>
      <w:pPr>
        <w:pStyle w:val="Heading2"/>
      </w:pPr>
      <w:r>
        <w:t xml:space="preserve">Phase III: NeuroScale++ Scaling-Law Learning</w:t>
      </w:r>
    </w:p>
    <w:p>
      <w:pPr>
        <w:pStyle w:val="FirstParagraph"/>
      </w:pPr>
      <w:r>
        <w:t xml:space="preserve">Input Features:</w:t>
      </w:r>
    </w:p>
    <w:p>
      <w:pPr>
        <w:pStyle w:val="BodyText"/>
      </w:pPr>
      <w:r>
        <w:t xml:space="preserve">X = {</w:t>
      </w:r>
      <w:r>
        <w:t xml:space="preserve"> </w:t>
      </w:r>
      <w:r>
        <w:t xml:space="preserve">Depth,</w:t>
      </w:r>
      <w:r>
        <w:t xml:space="preserve"> </w:t>
      </w:r>
      <w:r>
        <w:t xml:space="preserve">Width,</w:t>
      </w:r>
      <w:r>
        <w:t xml:space="preserve"> </w:t>
      </w:r>
      <w:r>
        <w:t xml:space="preserve">Parameters,</w:t>
      </w:r>
      <w:r>
        <w:t xml:space="preserve"> </w:t>
      </w:r>
      <w:r>
        <w:t xml:space="preserve">FLOPs,</w:t>
      </w:r>
      <w:r>
        <w:t xml:space="preserve"> </w:t>
      </w:r>
      <w:r>
        <w:t xml:space="preserve">Sparsity,</w:t>
      </w:r>
      <w:r>
        <w:t xml:space="preserve"> </w:t>
      </w:r>
      <w:r>
        <w:t xml:space="preserve">Quantization Bits,</w:t>
      </w:r>
      <w:r>
        <w:t xml:space="preserve"> </w:t>
      </w:r>
      <w:r>
        <w:t xml:space="preserve">Spike Rate,</w:t>
      </w:r>
      <w:r>
        <w:t xml:space="preserve"> </w:t>
      </w:r>
      <w:r>
        <w:t xml:space="preserve">Time Steps</w:t>
      </w:r>
      <w:r>
        <w:t xml:space="preserve"> </w:t>
      </w:r>
      <w:r>
        <w:t xml:space="preserve">}</w:t>
      </w:r>
    </w:p>
    <w:p>
      <w:pPr>
        <w:pStyle w:val="BodyText"/>
      </w:pPr>
      <w:r>
        <w:t xml:space="preserve">Output Variables:</w:t>
      </w:r>
    </w:p>
    <w:p>
      <w:pPr>
        <w:pStyle w:val="BodyText"/>
      </w:pPr>
      <w:r>
        <w:t xml:space="preserve">Y = {</w:t>
      </w:r>
      <w:r>
        <w:t xml:space="preserve"> </w:t>
      </w:r>
      <w:r>
        <w:t xml:space="preserve">Latency,</w:t>
      </w:r>
      <w:r>
        <w:t xml:space="preserve"> </w:t>
      </w:r>
      <w:r>
        <w:t xml:space="preserve">Energy,</w:t>
      </w:r>
      <w:r>
        <w:t xml:space="preserve"> </w:t>
      </w:r>
      <w:r>
        <w:t xml:space="preserve">SOPs,</w:t>
      </w:r>
      <w:r>
        <w:t xml:space="preserve"> </w:t>
      </w:r>
      <w:r>
        <w:t xml:space="preserve">Accuracy Retention</w:t>
      </w:r>
      <w:r>
        <w:t xml:space="preserve"> </w:t>
      </w:r>
      <w:r>
        <w:t xml:space="preserve">}</w:t>
      </w:r>
    </w:p>
    <w:p>
      <w:pPr>
        <w:pStyle w:val="BodyText"/>
      </w:pPr>
      <w:r>
        <w:t xml:space="preserve">Scaling-Law Formulation:</w:t>
      </w:r>
    </w:p>
    <w:p>
      <w:pPr>
        <w:pStyle w:val="BodyText"/>
      </w:pPr>
      <w:r>
        <w:t xml:space="preserve">C = α·D</w:t>
      </w:r>
      <w:r>
        <w:rPr>
          <w:vertAlign w:val="superscript"/>
        </w:rPr>
        <w:t xml:space="preserve">β1·W</w:t>
      </w:r>
      <w:r>
        <w:t xml:space="preserve">β2·S</w:t>
      </w:r>
      <w:r>
        <w:rPr>
          <w:vertAlign w:val="superscript"/>
        </w:rPr>
        <w:t xml:space="preserve">β3·Q</w:t>
      </w:r>
      <w:r>
        <w:t xml:space="preserve">β4·T^β5</w:t>
      </w:r>
    </w:p>
    <w:p>
      <w:pPr>
        <w:pStyle w:val="BodyText"/>
      </w:pPr>
      <w:r>
        <w:t xml:space="preserve">where</w:t>
      </w:r>
    </w:p>
    <w:p>
      <w:pPr>
        <w:pStyle w:val="BodyText"/>
      </w:pPr>
      <w:r>
        <w:t xml:space="preserve">C = Computational Complexity</w:t>
      </w:r>
      <w:r>
        <w:t xml:space="preserve"> </w:t>
      </w:r>
      <w:r>
        <w:t xml:space="preserve">D = Depth</w:t>
      </w:r>
      <w:r>
        <w:t xml:space="preserve"> </w:t>
      </w:r>
      <w:r>
        <w:t xml:space="preserve">W = Width</w:t>
      </w:r>
      <w:r>
        <w:t xml:space="preserve"> </w:t>
      </w:r>
      <w:r>
        <w:t xml:space="preserve">S = Spike Activity</w:t>
      </w:r>
      <w:r>
        <w:t xml:space="preserve"> </w:t>
      </w:r>
      <w:r>
        <w:t xml:space="preserve">Q = Quantization Level</w:t>
      </w:r>
      <w:r>
        <w:t xml:space="preserve"> </w:t>
      </w:r>
      <w:r>
        <w:t xml:space="preserve">T = Simulation Time Steps</w:t>
      </w:r>
    </w:p>
    <w:p>
      <w:pPr>
        <w:pStyle w:val="BodyText"/>
      </w:pPr>
      <w:r>
        <w:t xml:space="preserve">Learning Techniques:</w:t>
      </w:r>
    </w:p>
    <w:p>
      <w:pPr>
        <w:pStyle w:val="Compact"/>
        <w:numPr>
          <w:ilvl w:val="0"/>
          <w:numId w:val="1007"/>
        </w:numPr>
      </w:pPr>
      <w:r>
        <w:t xml:space="preserve">Nonlinear Regression</w:t>
      </w:r>
    </w:p>
    <w:p>
      <w:pPr>
        <w:pStyle w:val="Compact"/>
        <w:numPr>
          <w:ilvl w:val="0"/>
          <w:numId w:val="1007"/>
        </w:numPr>
      </w:pPr>
      <w:r>
        <w:t xml:space="preserve">XGBoost Regressor</w:t>
      </w:r>
    </w:p>
    <w:p>
      <w:pPr>
        <w:pStyle w:val="Compact"/>
        <w:numPr>
          <w:ilvl w:val="0"/>
          <w:numId w:val="1007"/>
        </w:numPr>
      </w:pPr>
      <w:r>
        <w:t xml:space="preserve">Gaussian Process Regression</w:t>
      </w:r>
    </w:p>
    <w:p>
      <w:r>
        <w:pict>
          <v:rect style="width:0;height:1.5pt" o:hralign="center" o:hrstd="t" o:hr="t"/>
        </w:pict>
      </w:r>
    </w:p>
    <w:bookmarkEnd w:id="32"/>
    <w:bookmarkStart w:id="33" w:name="phase-iv-multi-objective-optimization"/>
    <w:p>
      <w:pPr>
        <w:pStyle w:val="Heading2"/>
      </w:pPr>
      <w:r>
        <w:t xml:space="preserve">Phase IV: Multi-Objective Optimization</w:t>
      </w:r>
    </w:p>
    <w:p>
      <w:pPr>
        <w:pStyle w:val="FirstParagraph"/>
      </w:pPr>
      <w:r>
        <w:t xml:space="preserve">Objectives:</w:t>
      </w:r>
    </w:p>
    <w:p>
      <w:pPr>
        <w:pStyle w:val="BodyText"/>
      </w:pPr>
      <w:r>
        <w:t xml:space="preserve">Minimize:</w:t>
      </w:r>
    </w:p>
    <w:p>
      <w:pPr>
        <w:pStyle w:val="Compact"/>
        <w:numPr>
          <w:ilvl w:val="0"/>
          <w:numId w:val="1008"/>
        </w:numPr>
      </w:pPr>
      <w:r>
        <w:t xml:space="preserve">Latency</w:t>
      </w:r>
    </w:p>
    <w:p>
      <w:pPr>
        <w:pStyle w:val="Compact"/>
        <w:numPr>
          <w:ilvl w:val="0"/>
          <w:numId w:val="1008"/>
        </w:numPr>
      </w:pPr>
      <w:r>
        <w:t xml:space="preserve">Energy Consumption</w:t>
      </w:r>
    </w:p>
    <w:p>
      <w:pPr>
        <w:pStyle w:val="Compact"/>
        <w:numPr>
          <w:ilvl w:val="0"/>
          <w:numId w:val="1008"/>
        </w:numPr>
      </w:pPr>
      <w:r>
        <w:t xml:space="preserve">Spike Activity</w:t>
      </w:r>
    </w:p>
    <w:p>
      <w:pPr>
        <w:pStyle w:val="FirstParagraph"/>
      </w:pPr>
      <w:r>
        <w:t xml:space="preserve">Maximize:</w:t>
      </w:r>
    </w:p>
    <w:p>
      <w:pPr>
        <w:pStyle w:val="Compact"/>
        <w:numPr>
          <w:ilvl w:val="0"/>
          <w:numId w:val="1009"/>
        </w:numPr>
      </w:pPr>
      <w:r>
        <w:t xml:space="preserve">Classification Accuracy</w:t>
      </w:r>
    </w:p>
    <w:p>
      <w:pPr>
        <w:pStyle w:val="FirstParagraph"/>
      </w:pPr>
      <w:r>
        <w:t xml:space="preserve">Optimization Algorithms:</w:t>
      </w:r>
    </w:p>
    <w:p>
      <w:pPr>
        <w:pStyle w:val="Compact"/>
        <w:numPr>
          <w:ilvl w:val="0"/>
          <w:numId w:val="1010"/>
        </w:numPr>
      </w:pPr>
      <w:r>
        <w:t xml:space="preserve">NSGA-II</w:t>
      </w:r>
    </w:p>
    <w:p>
      <w:pPr>
        <w:pStyle w:val="Compact"/>
        <w:numPr>
          <w:ilvl w:val="0"/>
          <w:numId w:val="1010"/>
        </w:numPr>
      </w:pPr>
      <w:r>
        <w:t xml:space="preserve">Optuna</w:t>
      </w:r>
    </w:p>
    <w:p>
      <w:pPr>
        <w:pStyle w:val="Compact"/>
        <w:numPr>
          <w:ilvl w:val="0"/>
          <w:numId w:val="1010"/>
        </w:numPr>
      </w:pPr>
      <w:r>
        <w:t xml:space="preserve">Bayesian Optimization</w:t>
      </w:r>
    </w:p>
    <w:p>
      <w:r>
        <w:pict>
          <v:rect style="width:0;height:1.5pt" o:hralign="center" o:hrstd="t" o:hr="t"/>
        </w:pict>
      </w:r>
    </w:p>
    <w:bookmarkEnd w:id="33"/>
    <w:bookmarkStart w:id="37" w:name="evaluation-metrics"/>
    <w:p>
      <w:pPr>
        <w:pStyle w:val="Heading2"/>
      </w:pPr>
      <w:r>
        <w:t xml:space="preserve">Evaluation Metrics</w:t>
      </w:r>
    </w:p>
    <w:bookmarkStart w:id="34" w:name="classification-metrics"/>
    <w:p>
      <w:pPr>
        <w:pStyle w:val="Heading3"/>
      </w:pPr>
      <w:r>
        <w:t xml:space="preserve">Classification Metrics</w:t>
      </w:r>
    </w:p>
    <w:p>
      <w:pPr>
        <w:pStyle w:val="Compact"/>
        <w:numPr>
          <w:ilvl w:val="0"/>
          <w:numId w:val="1011"/>
        </w:numPr>
      </w:pPr>
      <w:r>
        <w:t xml:space="preserve">Accuracy</w:t>
      </w:r>
    </w:p>
    <w:p>
      <w:pPr>
        <w:pStyle w:val="Compact"/>
        <w:numPr>
          <w:ilvl w:val="0"/>
          <w:numId w:val="1011"/>
        </w:numPr>
      </w:pPr>
      <w:r>
        <w:t xml:space="preserve">Precision</w:t>
      </w:r>
    </w:p>
    <w:p>
      <w:pPr>
        <w:pStyle w:val="Compact"/>
        <w:numPr>
          <w:ilvl w:val="0"/>
          <w:numId w:val="1011"/>
        </w:numPr>
      </w:pPr>
      <w:r>
        <w:t xml:space="preserve">Recall</w:t>
      </w:r>
    </w:p>
    <w:p>
      <w:pPr>
        <w:pStyle w:val="Compact"/>
        <w:numPr>
          <w:ilvl w:val="0"/>
          <w:numId w:val="1011"/>
        </w:numPr>
      </w:pPr>
      <w:r>
        <w:t xml:space="preserve">F1 Score</w:t>
      </w:r>
    </w:p>
    <w:p>
      <w:pPr>
        <w:pStyle w:val="Compact"/>
        <w:numPr>
          <w:ilvl w:val="0"/>
          <w:numId w:val="1011"/>
        </w:numPr>
      </w:pPr>
      <w:r>
        <w:t xml:space="preserve">ROC-AUC</w:t>
      </w:r>
    </w:p>
    <w:bookmarkEnd w:id="34"/>
    <w:bookmarkStart w:id="35" w:name="neuromorphic-metrics"/>
    <w:p>
      <w:pPr>
        <w:pStyle w:val="Heading3"/>
      </w:pPr>
      <w:r>
        <w:t xml:space="preserve">Neuromorphic Metrics</w:t>
      </w:r>
    </w:p>
    <w:p>
      <w:pPr>
        <w:pStyle w:val="Compact"/>
        <w:numPr>
          <w:ilvl w:val="0"/>
          <w:numId w:val="1012"/>
        </w:numPr>
      </w:pPr>
      <w:r>
        <w:t xml:space="preserve">Spike Count</w:t>
      </w:r>
    </w:p>
    <w:p>
      <w:pPr>
        <w:pStyle w:val="Compact"/>
        <w:numPr>
          <w:ilvl w:val="0"/>
          <w:numId w:val="1012"/>
        </w:numPr>
      </w:pPr>
      <w:r>
        <w:t xml:space="preserve">Synaptic Operations (SOPs)</w:t>
      </w:r>
    </w:p>
    <w:p>
      <w:pPr>
        <w:pStyle w:val="Compact"/>
        <w:numPr>
          <w:ilvl w:val="0"/>
          <w:numId w:val="1012"/>
        </w:numPr>
      </w:pPr>
      <w:r>
        <w:t xml:space="preserve">Energy per Inference</w:t>
      </w:r>
    </w:p>
    <w:p>
      <w:pPr>
        <w:pStyle w:val="Compact"/>
        <w:numPr>
          <w:ilvl w:val="0"/>
          <w:numId w:val="1012"/>
        </w:numPr>
      </w:pPr>
      <w:r>
        <w:t xml:space="preserve">Inference Latency</w:t>
      </w:r>
    </w:p>
    <w:p>
      <w:pPr>
        <w:pStyle w:val="Compact"/>
        <w:numPr>
          <w:ilvl w:val="0"/>
          <w:numId w:val="1012"/>
        </w:numPr>
      </w:pPr>
      <w:r>
        <w:t xml:space="preserve">Memory Consumption</w:t>
      </w:r>
    </w:p>
    <w:bookmarkEnd w:id="35"/>
    <w:bookmarkStart w:id="36" w:name="scaling-law-metrics"/>
    <w:p>
      <w:pPr>
        <w:pStyle w:val="Heading3"/>
      </w:pPr>
      <w:r>
        <w:t xml:space="preserve">Scaling-Law Metrics</w:t>
      </w:r>
    </w:p>
    <w:p>
      <w:pPr>
        <w:pStyle w:val="Compact"/>
        <w:numPr>
          <w:ilvl w:val="0"/>
          <w:numId w:val="1013"/>
        </w:numPr>
      </w:pPr>
      <w:r>
        <w:t xml:space="preserve">R² Score</w:t>
      </w:r>
    </w:p>
    <w:p>
      <w:pPr>
        <w:pStyle w:val="Compact"/>
        <w:numPr>
          <w:ilvl w:val="0"/>
          <w:numId w:val="1013"/>
        </w:numPr>
      </w:pPr>
      <w:r>
        <w:t xml:space="preserve">Mean Absolute Error</w:t>
      </w:r>
    </w:p>
    <w:p>
      <w:pPr>
        <w:pStyle w:val="Compact"/>
        <w:numPr>
          <w:ilvl w:val="0"/>
          <w:numId w:val="1013"/>
        </w:numPr>
      </w:pPr>
      <w:r>
        <w:t xml:space="preserve">Root Mean Square Error</w:t>
      </w:r>
    </w:p>
    <w:p>
      <w:r>
        <w:pict>
          <v:rect style="width:0;height:1.5pt" o:hralign="center" o:hrstd="t" o:hr="t"/>
        </w:pict>
      </w:r>
    </w:p>
    <w:bookmarkEnd w:id="36"/>
    <w:bookmarkEnd w:id="37"/>
    <w:bookmarkEnd w:id="38"/>
    <w:bookmarkStart w:id="42" w:name="expected-results"/>
    <w:p>
      <w:pPr>
        <w:pStyle w:val="Heading1"/>
      </w:pPr>
      <w:r>
        <w:t xml:space="preserve">Expected Results</w:t>
      </w:r>
    </w:p>
    <w:bookmarkStart w:id="39" w:name="classification-performance"/>
    <w:p>
      <w:pPr>
        <w:pStyle w:val="Heading2"/>
      </w:pPr>
      <w:r>
        <w:t xml:space="preserve">Classification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Dataset</w:t>
            </w:r>
          </w:p>
        </w:tc>
        <w:tc>
          <w:tcPr/>
          <w:p>
            <w:pPr>
              <w:pStyle w:val="Compact"/>
            </w:pPr>
            <w:r>
              <w:t xml:space="preserve">Accuracy (%)</w:t>
            </w:r>
          </w:p>
        </w:tc>
      </w:tr>
      <w:tr>
        <w:tc>
          <w:tcPr/>
          <w:p>
            <w:pPr>
              <w:pStyle w:val="Compact"/>
            </w:pPr>
            <w:r>
              <w:t xml:space="preserve">MIT-BIH ECG</w:t>
            </w:r>
          </w:p>
        </w:tc>
        <w:tc>
          <w:tcPr/>
          <w:p>
            <w:pPr>
              <w:pStyle w:val="Compact"/>
            </w:pPr>
            <w:r>
              <w:t xml:space="preserve">98.5–99.2</w:t>
            </w:r>
          </w:p>
        </w:tc>
      </w:tr>
      <w:tr>
        <w:tc>
          <w:tcPr/>
          <w:p>
            <w:pPr>
              <w:pStyle w:val="Compact"/>
            </w:pPr>
            <w:r>
              <w:t xml:space="preserve">Bonn EEG</w:t>
            </w:r>
          </w:p>
        </w:tc>
        <w:tc>
          <w:tcPr/>
          <w:p>
            <w:pPr>
              <w:pStyle w:val="Compact"/>
            </w:pPr>
            <w:r>
              <w:t xml:space="preserve">97.0–98.5</w:t>
            </w:r>
          </w:p>
        </w:tc>
      </w:tr>
      <w:tr>
        <w:tc>
          <w:tcPr/>
          <w:p>
            <w:pPr>
              <w:pStyle w:val="Compact"/>
            </w:pPr>
            <w:r>
              <w:t xml:space="preserve">Speech Commands</w:t>
            </w:r>
          </w:p>
        </w:tc>
        <w:tc>
          <w:tcPr/>
          <w:p>
            <w:pPr>
              <w:pStyle w:val="Compact"/>
            </w:pPr>
            <w:r>
              <w:t xml:space="preserve">95.0–97.0</w:t>
            </w:r>
          </w:p>
        </w:tc>
      </w:tr>
    </w:tbl>
    <w:p>
      <w:r>
        <w:pict>
          <v:rect style="width:0;height:1.5pt" o:hralign="center" o:hrstd="t" o:hr="t"/>
        </w:pict>
      </w:r>
    </w:p>
    <w:bookmarkEnd w:id="39"/>
    <w:bookmarkStart w:id="40" w:name="ann-to-snn-conversion-efficiency"/>
    <w:p>
      <w:pPr>
        <w:pStyle w:val="Heading2"/>
      </w:pPr>
      <w:r>
        <w:t xml:space="preserve">ANN-to-SNN Conversion Efficiency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Improvement</w:t>
            </w:r>
          </w:p>
        </w:tc>
      </w:tr>
      <w:tr>
        <w:tc>
          <w:tcPr/>
          <w:p>
            <w:pPr>
              <w:pStyle w:val="Compact"/>
            </w:pPr>
            <w:r>
              <w:t xml:space="preserve">Energy Consumption</w:t>
            </w:r>
          </w:p>
        </w:tc>
        <w:tc>
          <w:tcPr/>
          <w:p>
            <w:pPr>
              <w:pStyle w:val="Compact"/>
            </w:pPr>
            <w:r>
              <w:t xml:space="preserve">40–65% Reduction</w:t>
            </w:r>
          </w:p>
        </w:tc>
      </w:tr>
      <w:tr>
        <w:tc>
          <w:tcPr/>
          <w:p>
            <w:pPr>
              <w:pStyle w:val="Compact"/>
            </w:pPr>
            <w:r>
              <w:t xml:space="preserve">Inference Latency</w:t>
            </w:r>
          </w:p>
        </w:tc>
        <w:tc>
          <w:tcPr/>
          <w:p>
            <w:pPr>
              <w:pStyle w:val="Compact"/>
            </w:pPr>
            <w:r>
              <w:t xml:space="preserve">25–50% Reduction</w:t>
            </w:r>
          </w:p>
        </w:tc>
      </w:tr>
      <w:tr>
        <w:tc>
          <w:tcPr/>
          <w:p>
            <w:pPr>
              <w:pStyle w:val="Compact"/>
            </w:pPr>
            <w:r>
              <w:t xml:space="preserve">Synaptic Operations</w:t>
            </w:r>
          </w:p>
        </w:tc>
        <w:tc>
          <w:tcPr/>
          <w:p>
            <w:pPr>
              <w:pStyle w:val="Compact"/>
            </w:pPr>
            <w:r>
              <w:t xml:space="preserve">35–60% Reduction</w:t>
            </w:r>
          </w:p>
        </w:tc>
      </w:tr>
      <w:tr>
        <w:tc>
          <w:tcPr/>
          <w:p>
            <w:pPr>
              <w:pStyle w:val="Compact"/>
            </w:pPr>
            <w:r>
              <w:t xml:space="preserve">Memory Usage</w:t>
            </w:r>
          </w:p>
        </w:tc>
        <w:tc>
          <w:tcPr/>
          <w:p>
            <w:pPr>
              <w:pStyle w:val="Compact"/>
            </w:pPr>
            <w:r>
              <w:t xml:space="preserve">20–40% Reduction</w:t>
            </w:r>
          </w:p>
        </w:tc>
      </w:tr>
      <w:tr>
        <w:tc>
          <w:tcPr/>
          <w:p>
            <w:pPr>
              <w:pStyle w:val="Compact"/>
            </w:pPr>
            <w:r>
              <w:t xml:space="preserve">Accuracy Drop</w:t>
            </w:r>
          </w:p>
        </w:tc>
        <w:tc>
          <w:tcPr/>
          <w:p>
            <w:pPr>
              <w:pStyle w:val="Compact"/>
            </w:pPr>
            <w:r>
              <w:t xml:space="preserve">&lt;1.5%</w:t>
            </w:r>
          </w:p>
        </w:tc>
      </w:tr>
    </w:tbl>
    <w:p>
      <w:r>
        <w:pict>
          <v:rect style="width:0;height:1.5pt" o:hralign="center" o:hrstd="t" o:hr="t"/>
        </w:pict>
      </w:r>
    </w:p>
    <w:bookmarkEnd w:id="40"/>
    <w:bookmarkStart w:id="41" w:name="scaling-law-prediction-performance"/>
    <w:p>
      <w:pPr>
        <w:pStyle w:val="Heading2"/>
      </w:pPr>
      <w:r>
        <w:t xml:space="preserve">Scaling-Law Prediction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Expected Value</w:t>
            </w:r>
          </w:p>
        </w:tc>
      </w:tr>
      <w:tr>
        <w:tc>
          <w:tcPr/>
          <w:p>
            <w:pPr>
              <w:pStyle w:val="Compact"/>
            </w:pPr>
            <w:r>
              <w:t xml:space="preserve">R²</w:t>
            </w:r>
          </w:p>
        </w:tc>
        <w:tc>
          <w:tcPr/>
          <w:p>
            <w:pPr>
              <w:pStyle w:val="Compact"/>
            </w:pPr>
            <w:r>
              <w:t xml:space="preserve">&gt;0.95</w:t>
            </w:r>
          </w:p>
        </w:tc>
      </w:tr>
      <w:tr>
        <w:tc>
          <w:tcPr/>
          <w:p>
            <w:pPr>
              <w:pStyle w:val="Compact"/>
            </w:pPr>
            <w:r>
              <w:t xml:space="preserve">MAE</w:t>
            </w:r>
          </w:p>
        </w:tc>
        <w:tc>
          <w:tcPr/>
          <w:p>
            <w:pPr>
              <w:pStyle w:val="Compact"/>
            </w:pPr>
            <w:r>
              <w:t xml:space="preserve">&lt;5%</w:t>
            </w:r>
          </w:p>
        </w:tc>
      </w:tr>
      <w:tr>
        <w:tc>
          <w:tcPr/>
          <w:p>
            <w:pPr>
              <w:pStyle w:val="Compact"/>
            </w:pPr>
            <w:r>
              <w:t xml:space="preserve">RMSE</w:t>
            </w:r>
          </w:p>
        </w:tc>
        <w:tc>
          <w:tcPr/>
          <w:p>
            <w:pPr>
              <w:pStyle w:val="Compact"/>
            </w:pPr>
            <w:r>
              <w:t xml:space="preserve">&lt;8%</w:t>
            </w:r>
          </w:p>
        </w:tc>
      </w:tr>
    </w:tbl>
    <w:p>
      <w:r>
        <w:pict>
          <v:rect style="width:0;height:1.5pt" o:hralign="center" o:hrstd="t" o:hr="t"/>
        </w:pict>
      </w:r>
    </w:p>
    <w:bookmarkEnd w:id="41"/>
    <w:bookmarkEnd w:id="42"/>
    <w:bookmarkStart w:id="43" w:name="paper-structure"/>
    <w:p>
      <w:pPr>
        <w:pStyle w:val="Heading1"/>
      </w:pPr>
      <w:r>
        <w:t xml:space="preserve">Paper Structure</w:t>
      </w:r>
    </w:p>
    <w:p>
      <w:pPr>
        <w:pStyle w:val="Compact"/>
        <w:numPr>
          <w:ilvl w:val="0"/>
          <w:numId w:val="1014"/>
        </w:numPr>
      </w:pPr>
      <w:r>
        <w:t xml:space="preserve">Introduction</w:t>
      </w:r>
    </w:p>
    <w:p>
      <w:pPr>
        <w:pStyle w:val="Compact"/>
        <w:numPr>
          <w:ilvl w:val="0"/>
          <w:numId w:val="1014"/>
        </w:numPr>
      </w:pPr>
      <w:r>
        <w:t xml:space="preserve">Related Work</w:t>
      </w:r>
    </w:p>
    <w:p>
      <w:pPr>
        <w:pStyle w:val="Compact"/>
        <w:numPr>
          <w:ilvl w:val="0"/>
          <w:numId w:val="1014"/>
        </w:numPr>
      </w:pPr>
      <w:r>
        <w:t xml:space="preserve">NeuroScale++ Framework</w:t>
      </w:r>
    </w:p>
    <w:p>
      <w:pPr>
        <w:pStyle w:val="Compact"/>
        <w:numPr>
          <w:ilvl w:val="0"/>
          <w:numId w:val="1014"/>
        </w:numPr>
      </w:pPr>
      <w:r>
        <w:t xml:space="preserve">Complexity Scaling-Law Modeling</w:t>
      </w:r>
    </w:p>
    <w:p>
      <w:pPr>
        <w:pStyle w:val="Compact"/>
        <w:numPr>
          <w:ilvl w:val="0"/>
          <w:numId w:val="1014"/>
        </w:numPr>
      </w:pPr>
      <w:r>
        <w:t xml:space="preserve">ANN-to-SNN Conversion Strategy</w:t>
      </w:r>
    </w:p>
    <w:p>
      <w:pPr>
        <w:pStyle w:val="Compact"/>
        <w:numPr>
          <w:ilvl w:val="0"/>
          <w:numId w:val="1014"/>
        </w:numPr>
      </w:pPr>
      <w:r>
        <w:t xml:space="preserve">Multi-Objective Optimization Framework</w:t>
      </w:r>
    </w:p>
    <w:p>
      <w:pPr>
        <w:pStyle w:val="Compact"/>
        <w:numPr>
          <w:ilvl w:val="0"/>
          <w:numId w:val="1014"/>
        </w:numPr>
      </w:pPr>
      <w:r>
        <w:t xml:space="preserve">Experimental Setup</w:t>
      </w:r>
    </w:p>
    <w:p>
      <w:pPr>
        <w:pStyle w:val="Compact"/>
        <w:numPr>
          <w:ilvl w:val="0"/>
          <w:numId w:val="1014"/>
        </w:numPr>
      </w:pPr>
      <w:r>
        <w:t xml:space="preserve">Results and Discussion</w:t>
      </w:r>
    </w:p>
    <w:p>
      <w:pPr>
        <w:pStyle w:val="Compact"/>
        <w:numPr>
          <w:ilvl w:val="0"/>
          <w:numId w:val="1014"/>
        </w:numPr>
      </w:pPr>
      <w:r>
        <w:t xml:space="preserve">Explainability Analysis</w:t>
      </w:r>
    </w:p>
    <w:p>
      <w:pPr>
        <w:pStyle w:val="Compact"/>
        <w:numPr>
          <w:ilvl w:val="0"/>
          <w:numId w:val="1014"/>
        </w:numPr>
      </w:pPr>
      <w:r>
        <w:t xml:space="preserve">Conclusion and Future Directions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2026-06-21T14:07:01Z</dcterms:created>
  <dcterms:modified xsi:type="dcterms:W3CDTF">2026-06-21T14:07:01Z</dcterms:modified>
</cp:coreProperties>
</file>

<file path=docProps/custom.xml><?xml version="1.0" encoding="utf-8"?>
<Properties xmlns="http://schemas.openxmlformats.org/officeDocument/2006/custom-properties" xmlns:vt="http://schemas.openxmlformats.org/officeDocument/2006/docPropsVTypes"/>
</file>