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100" w:lineRule="auto"/>
        <w:rPr/>
      </w:pPr>
      <w:r>
        <w:rPr>
          <w:rtl w:val="0"/>
        </w:rPr>
      </w:r>
    </w:p>
    <w:p w:rsidR="00000000" w:rsidDel="00000000" w:rsidP="00000000" w:rsidRDefault="00000000" w:rsidRPr="00000000" w14:paraId="00000002">
      <w:pPr>
        <w:jc w:val="center"/>
        <w:rPr/>
      </w:pPr>
      <w:r>
        <w:rPr>
          <w:b w:val="1"/>
          <w:bCs w:val="1"/>
          <w:color w:val="111827"/>
          <w:sz w:val="44"/>
          <w:szCs w:val="44"/>
          <w:rtl w:val="0"/>
        </w:rPr>
        <w:t xml:space="preserve">PLAN DE GOUVERNANCE DES DONNÉES</w:t>
      </w:r>
      <w:r>
        <w:rPr>
          <w:rtl w:val="0"/>
        </w:rPr>
      </w:r>
    </w:p>
    <w:p w:rsidR="00000000" w:rsidDel="00000000" w:rsidP="00000000" w:rsidRDefault="00000000" w:rsidRPr="00000000" w14:paraId="00000003">
      <w:pPr>
        <w:spacing w:after="100" w:before="200" w:lineRule="auto"/>
        <w:jc w:val="center"/>
        <w:rPr/>
      </w:pPr>
      <w:r>
        <w:rPr>
          <w:b w:val="1"/>
          <w:bCs w:val="1"/>
          <w:color w:val="166534"/>
          <w:sz w:val="36"/>
          <w:szCs w:val="36"/>
          <w:rtl w:val="0"/>
        </w:rPr>
        <w:t xml:space="preserve">GRAVIA</w:t>
      </w:r>
      <w:r>
        <w:rPr>
          <w:rtl w:val="0"/>
        </w:rPr>
      </w:r>
    </w:p>
    <w:p w:rsidR="00000000" w:rsidDel="00000000" w:rsidP="00000000" w:rsidRDefault="00000000" w:rsidRPr="00000000" w14:paraId="00000004">
      <w:pPr>
        <w:spacing w:after="700" w:lineRule="auto"/>
        <w:jc w:val="center"/>
        <w:rPr/>
      </w:pPr>
      <w:r>
        <w:rPr>
          <w:i w:val="1"/>
          <w:iCs w:val="1"/>
          <w:color w:val="595959"/>
          <w:sz w:val="22"/>
          <w:szCs w:val="22"/>
          <w:rtl w:val="0"/>
        </w:rPr>
        <w:t xml:space="preserve">Aide à la décision pour la priorisation des secours routiers</w:t>
      </w:r>
      <w:r>
        <w:rPr>
          <w:rtl w:val="0"/>
        </w:rPr>
      </w:r>
    </w:p>
    <w:tbl>
      <w:tblPr>
        <w:tblStyle w:val="Table1"/>
        <w:tblW w:w="9638.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3000"/>
        <w:gridCol w:w="6638"/>
        <w:tblGridChange w:id="0">
          <w:tblGrid>
            <w:gridCol w:w="3000"/>
            <w:gridCol w:w="6638"/>
          </w:tblGrid>
        </w:tblGridChange>
      </w:tblGrid>
      <w:tr>
        <w:trPr>
          <w:cantSplit w:val="0"/>
          <w:tblHeader w:val="1"/>
        </w:trPr>
        <w:tc>
          <w:tcPr>
            <w:shd w:fill="1f2937" w:val="clear"/>
            <w:tcMar>
              <w:top w:w="80.0" w:type="dxa"/>
              <w:left w:w="110.0" w:type="dxa"/>
              <w:bottom w:w="80.0" w:type="dxa"/>
              <w:right w:w="110.0" w:type="dxa"/>
            </w:tcMar>
            <w:vAlign w:val="center"/>
          </w:tcPr>
          <w:p w:rsidR="00000000" w:rsidDel="00000000" w:rsidP="00000000" w:rsidRDefault="00000000" w:rsidRPr="00000000" w14:paraId="00000005">
            <w:pPr>
              <w:jc w:val="left"/>
              <w:rPr/>
            </w:pPr>
            <w:r>
              <w:rPr>
                <w:rtl w:val="0"/>
              </w:rPr>
            </w:r>
          </w:p>
        </w:tc>
        <w:tc>
          <w:tcPr>
            <w:shd w:fill="1f2937" w:val="clear"/>
            <w:tcMar>
              <w:top w:w="80.0" w:type="dxa"/>
              <w:left w:w="110.0" w:type="dxa"/>
              <w:bottom w:w="80.0" w:type="dxa"/>
              <w:right w:w="110.0" w:type="dxa"/>
            </w:tcMar>
            <w:vAlign w:val="center"/>
          </w:tcPr>
          <w:p w:rsidR="00000000" w:rsidDel="00000000" w:rsidP="00000000" w:rsidRDefault="00000000" w:rsidRPr="00000000" w14:paraId="00000006">
            <w:pPr>
              <w:jc w:val="left"/>
              <w:rPr/>
            </w:pPr>
            <w:r>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07">
            <w:pPr>
              <w:jc w:val="left"/>
              <w:rPr/>
            </w:pPr>
            <w:r>
              <w:rPr>
                <w:b w:val="0"/>
                <w:bCs w:val="0"/>
                <w:color w:val="000000"/>
                <w:sz w:val="19"/>
                <w:szCs w:val="19"/>
                <w:rtl w:val="0"/>
              </w:rPr>
              <w:t xml:space="preserve">Organisation (fictive)</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08">
            <w:pPr>
              <w:jc w:val="left"/>
              <w:rPr/>
            </w:pPr>
            <w:r>
              <w:rPr>
                <w:b w:val="0"/>
                <w:bCs w:val="0"/>
                <w:color w:val="000000"/>
                <w:sz w:val="19"/>
                <w:szCs w:val="19"/>
                <w:rtl w:val="0"/>
              </w:rPr>
              <w:t xml:space="preserve">VigiRoute, opérateur d'intérêt public</w:t>
            </w:r>
            <w:r>
              <w:rPr>
                <w:rtl w:val="0"/>
              </w:rPr>
            </w:r>
          </w:p>
        </w:tc>
      </w:tr>
      <w:tr>
        <w:trPr>
          <w:cantSplit w:val="0"/>
          <w:tblHeader w:val="0"/>
        </w:trPr>
        <w:tc>
          <w:tcPr>
            <w:shd w:fill="f3f4f6" w:val="clear"/>
            <w:tcMar>
              <w:top w:w="80.0" w:type="dxa"/>
              <w:left w:w="110.0" w:type="dxa"/>
              <w:bottom w:w="80.0" w:type="dxa"/>
              <w:right w:w="110.0" w:type="dxa"/>
            </w:tcMar>
            <w:vAlign w:val="center"/>
          </w:tcPr>
          <w:p w:rsidR="00000000" w:rsidDel="00000000" w:rsidP="00000000" w:rsidRDefault="00000000" w:rsidRPr="00000000" w14:paraId="00000009">
            <w:pPr>
              <w:jc w:val="left"/>
              <w:rPr/>
            </w:pPr>
            <w:r>
              <w:rPr>
                <w:b w:val="0"/>
                <w:bCs w:val="0"/>
                <w:color w:val="000000"/>
                <w:sz w:val="19"/>
                <w:szCs w:val="19"/>
                <w:rtl w:val="0"/>
              </w:rPr>
              <w:t xml:space="preserve">Version</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0A">
            <w:pPr>
              <w:jc w:val="left"/>
              <w:rPr/>
            </w:pPr>
            <w:r>
              <w:rPr>
                <w:b w:val="0"/>
                <w:bCs w:val="0"/>
                <w:color w:val="000000"/>
                <w:sz w:val="19"/>
                <w:szCs w:val="19"/>
                <w:rtl w:val="0"/>
              </w:rPr>
              <w:t xml:space="preserve">0.2 (révisé après implémentation : cadrage initial du 2026-06-29, périmètre réel confirmé au 2026-09-13)</w:t>
            </w:r>
            <w:r>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0B">
            <w:pPr>
              <w:jc w:val="left"/>
              <w:rPr/>
            </w:pPr>
            <w:r>
              <w:rPr>
                <w:b w:val="0"/>
                <w:bCs w:val="0"/>
                <w:color w:val="000000"/>
                <w:sz w:val="19"/>
                <w:szCs w:val="19"/>
                <w:rtl w:val="0"/>
              </w:rPr>
              <w:t xml:space="preserve">Date de dernière révision</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0C">
            <w:pPr>
              <w:jc w:val="left"/>
              <w:rPr/>
            </w:pPr>
            <w:r>
              <w:rPr>
                <w:b w:val="0"/>
                <w:bCs w:val="0"/>
                <w:color w:val="000000"/>
                <w:sz w:val="19"/>
                <w:szCs w:val="19"/>
                <w:rtl w:val="0"/>
              </w:rPr>
              <w:t xml:space="preserve">2026-09-13</w:t>
            </w:r>
            <w:r>
              <w:rPr>
                <w:rtl w:val="0"/>
              </w:rPr>
            </w:r>
          </w:p>
        </w:tc>
      </w:tr>
      <w:tr>
        <w:trPr>
          <w:cantSplit w:val="0"/>
          <w:tblHeader w:val="0"/>
        </w:trPr>
        <w:tc>
          <w:tcPr>
            <w:shd w:fill="f3f4f6" w:val="clear"/>
            <w:tcMar>
              <w:top w:w="80.0" w:type="dxa"/>
              <w:left w:w="110.0" w:type="dxa"/>
              <w:bottom w:w="80.0" w:type="dxa"/>
              <w:right w:w="110.0" w:type="dxa"/>
            </w:tcMar>
            <w:vAlign w:val="center"/>
          </w:tcPr>
          <w:p w:rsidR="00000000" w:rsidDel="00000000" w:rsidP="00000000" w:rsidRDefault="00000000" w:rsidRPr="00000000" w14:paraId="0000000D">
            <w:pPr>
              <w:jc w:val="left"/>
              <w:rPr/>
            </w:pPr>
            <w:r>
              <w:rPr>
                <w:b w:val="0"/>
                <w:bCs w:val="0"/>
                <w:color w:val="000000"/>
                <w:sz w:val="19"/>
                <w:szCs w:val="19"/>
                <w:rtl w:val="0"/>
              </w:rPr>
              <w:t xml:space="preserve">Bloc RNCP</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0E">
            <w:pPr>
              <w:jc w:val="left"/>
              <w:rPr/>
            </w:pPr>
            <w:r>
              <w:rPr>
                <w:b w:val="0"/>
                <w:bCs w:val="0"/>
                <w:color w:val="000000"/>
                <w:sz w:val="19"/>
                <w:szCs w:val="19"/>
                <w:rtl w:val="0"/>
              </w:rPr>
              <w:t xml:space="preserve">Bloc 1 — Piloter la gouvernance des données</w:t>
            </w:r>
            <w:r>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0F">
            <w:pPr>
              <w:jc w:val="left"/>
              <w:rPr/>
            </w:pPr>
            <w:r>
              <w:rPr>
                <w:b w:val="0"/>
                <w:bCs w:val="0"/>
                <w:color w:val="000000"/>
                <w:sz w:val="19"/>
                <w:szCs w:val="19"/>
                <w:rtl w:val="0"/>
              </w:rPr>
              <w:t xml:space="preserve">Documents liés</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10">
            <w:pPr>
              <w:jc w:val="left"/>
              <w:rPr/>
            </w:pPr>
            <w:r>
              <w:rPr>
                <w:b w:val="0"/>
                <w:bCs w:val="0"/>
                <w:color w:val="000000"/>
                <w:sz w:val="19"/>
                <w:szCs w:val="19"/>
                <w:rtl w:val="0"/>
              </w:rPr>
              <w:t xml:space="preserve">Cahier des charges GRAVIA · Architecture GRAVIA · AIPD GRAVIA</w:t>
            </w:r>
            <w:r>
              <w:rPr>
                <w:rtl w:val="0"/>
              </w:rPr>
            </w:r>
          </w:p>
        </w:tc>
      </w:tr>
    </w:tbl>
    <w:p w:rsidR="00000000" w:rsidDel="00000000" w:rsidP="00000000" w:rsidRDefault="00000000" w:rsidRPr="00000000" w14:paraId="00000011">
      <w:pPr>
        <w:rPr/>
      </w:pPr>
      <w:r>
        <w:br w:type="page"/>
      </w:r>
      <w:r>
        <w:rPr>
          <w:rtl w:val="0"/>
        </w:rPr>
      </w:r>
    </w:p>
    <w:p w:rsidR="00000000" w:rsidDel="00000000" w:rsidP="00000000" w:rsidRDefault="00000000" w:rsidRPr="00000000" w14:paraId="00000012">
      <w:pPr>
        <w:pStyle w:val="Heading1"/>
        <w:rPr/>
      </w:pPr>
      <w:r>
        <w:rPr>
          <w:rtl w:val="0"/>
        </w:rPr>
        <w:t xml:space="preserve">1. Objet et portée</w:t>
      </w:r>
    </w:p>
    <w:p w:rsidR="00000000" w:rsidDel="00000000" w:rsidP="00000000" w:rsidRDefault="00000000" w:rsidRPr="00000000" w14:paraId="00000013">
      <w:pPr>
        <w:spacing w:after="160" w:line="276" w:lineRule="auto"/>
        <w:rPr/>
      </w:pPr>
      <w:r>
        <w:rPr>
          <w:rtl w:val="0"/>
        </w:rPr>
        <w:t xml:space="preserve">Ce document définit la politique de gouvernance des données de VigiRoute pour le projet GRAVIA. Il fixe les règles garantissant la </w:t>
      </w:r>
      <w:r>
        <w:rPr>
          <w:b w:val="1"/>
          <w:bCs w:val="1"/>
          <w:rtl w:val="0"/>
        </w:rPr>
        <w:t xml:space="preserve">qualité</w:t>
      </w:r>
      <w:r>
        <w:rPr>
          <w:rtl w:val="0"/>
        </w:rPr>
        <w:t xml:space="preserve">, la </w:t>
      </w:r>
      <w:r>
        <w:rPr>
          <w:b w:val="1"/>
          <w:bCs w:val="1"/>
          <w:rtl w:val="0"/>
        </w:rPr>
        <w:t xml:space="preserve">disponibilité</w:t>
      </w:r>
      <w:r>
        <w:rPr>
          <w:rtl w:val="0"/>
        </w:rPr>
        <w:t xml:space="preserve">, la </w:t>
      </w:r>
      <w:r>
        <w:rPr>
          <w:b w:val="1"/>
          <w:bCs w:val="1"/>
          <w:rtl w:val="0"/>
        </w:rPr>
        <w:t xml:space="preserve">sécurité</w:t>
      </w:r>
      <w:r>
        <w:rPr>
          <w:rtl w:val="0"/>
        </w:rPr>
        <w:t xml:space="preserve"> et la </w:t>
      </w:r>
      <w:r>
        <w:rPr>
          <w:b w:val="1"/>
          <w:bCs w:val="1"/>
          <w:rtl w:val="0"/>
        </w:rPr>
        <w:t xml:space="preserve">confidentialité</w:t>
      </w:r>
      <w:r>
        <w:rPr>
          <w:rtl w:val="0"/>
        </w:rPr>
        <w:t xml:space="preserve"> des données, ainsi que la </w:t>
      </w:r>
      <w:r>
        <w:rPr>
          <w:b w:val="1"/>
          <w:bCs w:val="1"/>
          <w:rtl w:val="0"/>
        </w:rPr>
        <w:t xml:space="preserve">conformité</w:t>
      </w:r>
      <w:r>
        <w:rPr>
          <w:rtl w:val="0"/>
        </w:rPr>
        <w:t xml:space="preserve"> aux réglementations en vigueur, sur l'ensemble du cycle de vie des données (ingestion → entraînement → production → archivage).</w:t>
      </w:r>
    </w:p>
    <w:p w:rsidR="00000000" w:rsidDel="00000000" w:rsidP="00000000" w:rsidRDefault="00000000" w:rsidRPr="00000000" w14:paraId="00000014">
      <w:pPr>
        <w:spacing w:after="160" w:line="276" w:lineRule="auto"/>
        <w:rPr/>
      </w:pPr>
      <w:r>
        <w:rPr>
          <w:rtl w:val="0"/>
        </w:rPr>
        <w:t xml:space="preserve">Il s'adresse à toutes les parties prenantes du projet et constitue le cadre de référence opposable en cas d'audit.</w:t>
      </w:r>
    </w:p>
    <w:p w:rsidR="00000000" w:rsidDel="00000000" w:rsidP="00000000" w:rsidRDefault="00000000" w:rsidRPr="00000000" w14:paraId="00000015">
      <w:pPr>
        <w:pStyle w:val="Heading1"/>
        <w:rPr/>
      </w:pPr>
      <w:r>
        <w:rPr>
          <w:rtl w:val="0"/>
        </w:rPr>
        <w:t xml:space="preserve">2. Contexte</w:t>
      </w:r>
    </w:p>
    <w:p w:rsidR="00000000" w:rsidDel="00000000" w:rsidP="00000000" w:rsidRDefault="00000000" w:rsidRPr="00000000" w14:paraId="00000016">
      <w:pPr>
        <w:spacing w:after="160" w:line="276" w:lineRule="auto"/>
        <w:rPr/>
      </w:pPr>
      <w:r>
        <w:rPr>
          <w:rtl w:val="0"/>
        </w:rPr>
        <w:t xml:space="preserve">GRAVIA est un système d'aide à la décision qui prédit la gravité probable d'un accident au moment de son signalement, afin d'aider les opérateurs de secours à prioriser les moyens. Le système s'appuie :</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 apprentissage, sur la base ouverte BAAC (accidents corporels 2005→2024, data.gouv.fr) ;</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 production, sur des signalements temps réel concernant des victimes réelles identifiables (donnée de santé : gravité).</w:t>
      </w:r>
    </w:p>
    <w:p w:rsidR="00000000" w:rsidDel="00000000" w:rsidP="00000000" w:rsidRDefault="00000000" w:rsidRPr="00000000" w14:paraId="00000019">
      <w:pPr>
        <w:spacing w:after="160" w:line="276" w:lineRule="auto"/>
        <w:rPr/>
      </w:pPr>
      <w:r>
        <w:rPr>
          <w:rtl w:val="0"/>
        </w:rPr>
        <w:t xml:space="preserve">Cette dualité (open data historique vs données opérationnelles sensibles) structure l'ensemble de la politique.</w:t>
      </w:r>
    </w:p>
    <w:p w:rsidR="00000000" w:rsidDel="00000000" w:rsidP="00000000" w:rsidRDefault="00000000" w:rsidRPr="00000000" w14:paraId="0000001A">
      <w:pPr>
        <w:pStyle w:val="Heading1"/>
        <w:rPr/>
      </w:pPr>
      <w:r>
        <w:rPr>
          <w:rtl w:val="0"/>
        </w:rPr>
        <w:t xml:space="preserve">3. Périmètre et classification des données</w:t>
      </w:r>
    </w:p>
    <w:tbl>
      <w:tblPr>
        <w:tblStyle w:val="Table2"/>
        <w:tblW w:w="9638.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600"/>
        <w:gridCol w:w="3400"/>
        <w:gridCol w:w="1400"/>
        <w:gridCol w:w="2238"/>
        <w:tblGridChange w:id="0">
          <w:tblGrid>
            <w:gridCol w:w="2600"/>
            <w:gridCol w:w="3400"/>
            <w:gridCol w:w="1400"/>
            <w:gridCol w:w="2238"/>
          </w:tblGrid>
        </w:tblGridChange>
      </w:tblGrid>
      <w:tr>
        <w:trPr>
          <w:cantSplit w:val="0"/>
          <w:tblHeader w:val="1"/>
        </w:trPr>
        <w:tc>
          <w:tcPr>
            <w:shd w:fill="1f2937" w:val="clear"/>
            <w:tcMar>
              <w:top w:w="80.0" w:type="dxa"/>
              <w:left w:w="110.0" w:type="dxa"/>
              <w:bottom w:w="80.0" w:type="dxa"/>
              <w:right w:w="110.0" w:type="dxa"/>
            </w:tcMar>
            <w:vAlign w:val="center"/>
          </w:tcPr>
          <w:p w:rsidR="00000000" w:rsidDel="00000000" w:rsidP="00000000" w:rsidRDefault="00000000" w:rsidRPr="00000000" w14:paraId="0000001B">
            <w:pPr>
              <w:jc w:val="left"/>
              <w:rPr/>
            </w:pPr>
            <w:r>
              <w:rPr>
                <w:b w:val="1"/>
                <w:bCs w:val="1"/>
                <w:color w:val="ffffff"/>
                <w:sz w:val="19"/>
                <w:szCs w:val="19"/>
                <w:rtl w:val="0"/>
              </w:rPr>
              <w:t xml:space="preserve">Catégorie</w:t>
            </w:r>
            <w:r>
              <w:rPr>
                <w:rtl w:val="0"/>
              </w:rPr>
            </w:r>
          </w:p>
        </w:tc>
        <w:tc>
          <w:tcPr>
            <w:shd w:fill="1f2937" w:val="clear"/>
            <w:tcMar>
              <w:top w:w="80.0" w:type="dxa"/>
              <w:left w:w="110.0" w:type="dxa"/>
              <w:bottom w:w="80.0" w:type="dxa"/>
              <w:right w:w="110.0" w:type="dxa"/>
            </w:tcMar>
            <w:vAlign w:val="center"/>
          </w:tcPr>
          <w:p w:rsidR="00000000" w:rsidDel="00000000" w:rsidP="00000000" w:rsidRDefault="00000000" w:rsidRPr="00000000" w14:paraId="0000001C">
            <w:pPr>
              <w:jc w:val="left"/>
              <w:rPr/>
            </w:pPr>
            <w:r>
              <w:rPr>
                <w:b w:val="1"/>
                <w:bCs w:val="1"/>
                <w:color w:val="ffffff"/>
                <w:sz w:val="19"/>
                <w:szCs w:val="19"/>
                <w:rtl w:val="0"/>
              </w:rPr>
              <w:t xml:space="preserve">Exemples</w:t>
            </w:r>
            <w:r>
              <w:rPr>
                <w:rtl w:val="0"/>
              </w:rPr>
            </w:r>
          </w:p>
        </w:tc>
        <w:tc>
          <w:tcPr>
            <w:shd w:fill="1f2937" w:val="clear"/>
            <w:tcMar>
              <w:top w:w="80.0" w:type="dxa"/>
              <w:left w:w="110.0" w:type="dxa"/>
              <w:bottom w:w="80.0" w:type="dxa"/>
              <w:right w:w="110.0" w:type="dxa"/>
            </w:tcMar>
            <w:vAlign w:val="center"/>
          </w:tcPr>
          <w:p w:rsidR="00000000" w:rsidDel="00000000" w:rsidP="00000000" w:rsidRDefault="00000000" w:rsidRPr="00000000" w14:paraId="0000001D">
            <w:pPr>
              <w:jc w:val="left"/>
              <w:rPr/>
            </w:pPr>
            <w:r>
              <w:rPr>
                <w:b w:val="1"/>
                <w:bCs w:val="1"/>
                <w:color w:val="ffffff"/>
                <w:sz w:val="19"/>
                <w:szCs w:val="19"/>
                <w:rtl w:val="0"/>
              </w:rPr>
              <w:t xml:space="preserve">Sensibilité</w:t>
            </w:r>
            <w:r>
              <w:rPr>
                <w:rtl w:val="0"/>
              </w:rPr>
            </w:r>
          </w:p>
        </w:tc>
        <w:tc>
          <w:tcPr>
            <w:shd w:fill="1f2937" w:val="clear"/>
            <w:tcMar>
              <w:top w:w="80.0" w:type="dxa"/>
              <w:left w:w="110.0" w:type="dxa"/>
              <w:bottom w:w="80.0" w:type="dxa"/>
              <w:right w:w="110.0" w:type="dxa"/>
            </w:tcMar>
            <w:vAlign w:val="center"/>
          </w:tcPr>
          <w:p w:rsidR="00000000" w:rsidDel="00000000" w:rsidP="00000000" w:rsidRDefault="00000000" w:rsidRPr="00000000" w14:paraId="0000001E">
            <w:pPr>
              <w:jc w:val="left"/>
              <w:rPr/>
            </w:pPr>
            <w:r>
              <w:rPr>
                <w:b w:val="1"/>
                <w:bCs w:val="1"/>
                <w:color w:val="ffffff"/>
                <w:sz w:val="19"/>
                <w:szCs w:val="19"/>
                <w:rtl w:val="0"/>
              </w:rPr>
              <w:t xml:space="preserve">Traitement</w:t>
            </w:r>
            <w:r>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1F">
            <w:pPr>
              <w:jc w:val="left"/>
              <w:rPr/>
            </w:pPr>
            <w:r>
              <w:rPr>
                <w:b w:val="0"/>
                <w:bCs w:val="0"/>
                <w:color w:val="000000"/>
                <w:sz w:val="19"/>
                <w:szCs w:val="19"/>
                <w:rtl w:val="0"/>
              </w:rPr>
              <w:t xml:space="preserve">Données non personnelles</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20">
            <w:pPr>
              <w:jc w:val="left"/>
              <w:rPr/>
            </w:pPr>
            <w:r>
              <w:rPr>
                <w:b w:val="0"/>
                <w:bCs w:val="0"/>
                <w:color w:val="000000"/>
                <w:sz w:val="19"/>
                <w:szCs w:val="19"/>
                <w:rtl w:val="0"/>
              </w:rPr>
              <w:t xml:space="preserve">Conditions météo, type de route, type de collision</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21">
            <w:pPr>
              <w:jc w:val="left"/>
              <w:rPr/>
            </w:pPr>
            <w:r>
              <w:rPr>
                <w:b w:val="0"/>
                <w:bCs w:val="0"/>
                <w:color w:val="000000"/>
                <w:sz w:val="19"/>
                <w:szCs w:val="19"/>
                <w:rtl w:val="0"/>
              </w:rPr>
              <w:t xml:space="preserve">Public</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22">
            <w:pPr>
              <w:jc w:val="left"/>
              <w:rPr/>
            </w:pPr>
            <w:r>
              <w:rPr>
                <w:b w:val="0"/>
                <w:bCs w:val="0"/>
                <w:color w:val="000000"/>
                <w:sz w:val="19"/>
                <w:szCs w:val="19"/>
                <w:rtl w:val="0"/>
              </w:rPr>
              <w:t xml:space="preserve">Libre</w:t>
            </w:r>
            <w:r>
              <w:rPr>
                <w:rtl w:val="0"/>
              </w:rPr>
            </w:r>
          </w:p>
        </w:tc>
      </w:tr>
      <w:tr>
        <w:trPr>
          <w:cantSplit w:val="0"/>
          <w:tblHeader w:val="0"/>
        </w:trPr>
        <w:tc>
          <w:tcPr>
            <w:shd w:fill="f3f4f6" w:val="clear"/>
            <w:tcMar>
              <w:top w:w="80.0" w:type="dxa"/>
              <w:left w:w="110.0" w:type="dxa"/>
              <w:bottom w:w="80.0" w:type="dxa"/>
              <w:right w:w="110.0" w:type="dxa"/>
            </w:tcMar>
            <w:vAlign w:val="center"/>
          </w:tcPr>
          <w:p w:rsidR="00000000" w:rsidDel="00000000" w:rsidP="00000000" w:rsidRDefault="00000000" w:rsidRPr="00000000" w14:paraId="00000023">
            <w:pPr>
              <w:jc w:val="left"/>
              <w:rPr/>
            </w:pPr>
            <w:r>
              <w:rPr>
                <w:b w:val="0"/>
                <w:bCs w:val="0"/>
                <w:color w:val="000000"/>
                <w:sz w:val="19"/>
                <w:szCs w:val="19"/>
                <w:rtl w:val="0"/>
              </w:rPr>
              <w:t xml:space="preserve">Données personnelles</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24">
            <w:pPr>
              <w:jc w:val="left"/>
              <w:rPr/>
            </w:pPr>
            <w:r>
              <w:rPr>
                <w:b w:val="0"/>
                <w:bCs w:val="0"/>
                <w:color w:val="000000"/>
                <w:sz w:val="19"/>
                <w:szCs w:val="19"/>
                <w:rtl w:val="0"/>
              </w:rPr>
              <w:t xml:space="preserve">Âge, géolocalisation précise</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25">
            <w:pPr>
              <w:jc w:val="left"/>
              <w:rPr/>
            </w:pPr>
            <w:r>
              <w:rPr>
                <w:b w:val="0"/>
                <w:bCs w:val="0"/>
                <w:color w:val="000000"/>
                <w:sz w:val="19"/>
                <w:szCs w:val="19"/>
                <w:rtl w:val="0"/>
              </w:rPr>
              <w:t xml:space="preserve">Restreint</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26">
            <w:pPr>
              <w:jc w:val="left"/>
              <w:rPr/>
            </w:pPr>
            <w:r>
              <w:rPr>
                <w:b w:val="0"/>
                <w:bCs w:val="0"/>
                <w:color w:val="000000"/>
                <w:sz w:val="19"/>
                <w:szCs w:val="19"/>
                <w:rtl w:val="0"/>
              </w:rPr>
              <w:t xml:space="preserve">Pseudonymisation</w:t>
            </w:r>
            <w:r>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27">
            <w:pPr>
              <w:jc w:val="left"/>
              <w:rPr/>
            </w:pPr>
            <w:r>
              <w:rPr>
                <w:b w:val="0"/>
                <w:bCs w:val="0"/>
                <w:color w:val="000000"/>
                <w:sz w:val="19"/>
                <w:szCs w:val="19"/>
                <w:rtl w:val="0"/>
              </w:rPr>
              <w:t xml:space="preserve">Données personnelles, conservées telles quelles</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28">
            <w:pPr>
              <w:jc w:val="left"/>
              <w:rPr/>
            </w:pPr>
            <w:r>
              <w:rPr>
                <w:b w:val="0"/>
                <w:bCs w:val="0"/>
                <w:color w:val="000000"/>
                <w:sz w:val="19"/>
                <w:szCs w:val="19"/>
                <w:rtl w:val="0"/>
              </w:rPr>
              <w:t xml:space="preserve">Sexe (audit d'équité EC-6), motif de trajet</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29">
            <w:pPr>
              <w:jc w:val="left"/>
              <w:rPr/>
            </w:pPr>
            <w:r>
              <w:rPr>
                <w:b w:val="0"/>
                <w:bCs w:val="0"/>
                <w:color w:val="000000"/>
                <w:sz w:val="19"/>
                <w:szCs w:val="19"/>
                <w:rtl w:val="0"/>
              </w:rPr>
              <w:t xml:space="preserve">Restreint</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2A">
            <w:pPr>
              <w:jc w:val="left"/>
              <w:rPr/>
            </w:pPr>
            <w:r>
              <w:rPr>
                <w:b w:val="0"/>
                <w:bCs w:val="0"/>
                <w:color w:val="000000"/>
                <w:sz w:val="19"/>
                <w:szCs w:val="19"/>
                <w:rtl w:val="0"/>
              </w:rPr>
              <w:t xml:space="preserve">Non transformées</w:t>
            </w:r>
            <w:r>
              <w:rPr>
                <w:rtl w:val="0"/>
              </w:rPr>
            </w:r>
          </w:p>
        </w:tc>
      </w:tr>
      <w:tr>
        <w:trPr>
          <w:cantSplit w:val="0"/>
          <w:tblHeader w:val="0"/>
        </w:trPr>
        <w:tc>
          <w:tcPr>
            <w:shd w:fill="f3f4f6" w:val="clear"/>
            <w:tcMar>
              <w:top w:w="80.0" w:type="dxa"/>
              <w:left w:w="110.0" w:type="dxa"/>
              <w:bottom w:w="80.0" w:type="dxa"/>
              <w:right w:w="110.0" w:type="dxa"/>
            </w:tcMar>
            <w:vAlign w:val="center"/>
          </w:tcPr>
          <w:p w:rsidR="00000000" w:rsidDel="00000000" w:rsidP="00000000" w:rsidRDefault="00000000" w:rsidRPr="00000000" w14:paraId="0000002B">
            <w:pPr>
              <w:jc w:val="left"/>
              <w:rPr/>
            </w:pPr>
            <w:r>
              <w:rPr>
                <w:b w:val="0"/>
                <w:bCs w:val="0"/>
                <w:color w:val="000000"/>
                <w:sz w:val="19"/>
                <w:szCs w:val="19"/>
                <w:rtl w:val="0"/>
              </w:rPr>
              <w:t xml:space="preserve">Données sensibles (art. 9 RGPD)</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2C">
            <w:pPr>
              <w:jc w:val="left"/>
              <w:rPr/>
            </w:pPr>
            <w:r>
              <w:rPr>
                <w:b w:val="0"/>
                <w:bCs w:val="0"/>
                <w:color w:val="000000"/>
                <w:sz w:val="19"/>
                <w:szCs w:val="19"/>
                <w:rtl w:val="0"/>
              </w:rPr>
              <w:t xml:space="preserve">Gravité = donnée de santé</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2D">
            <w:pPr>
              <w:jc w:val="left"/>
              <w:rPr/>
            </w:pPr>
            <w:r>
              <w:rPr>
                <w:b w:val="0"/>
                <w:bCs w:val="0"/>
                <w:color w:val="000000"/>
                <w:sz w:val="19"/>
                <w:szCs w:val="19"/>
                <w:rtl w:val="0"/>
              </w:rPr>
              <w:t xml:space="preserve">Confidentiel</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2E">
            <w:pPr>
              <w:jc w:val="left"/>
              <w:rPr/>
            </w:pPr>
            <w:r>
              <w:rPr>
                <w:b w:val="0"/>
                <w:bCs w:val="0"/>
                <w:color w:val="000000"/>
                <w:sz w:val="19"/>
                <w:szCs w:val="19"/>
                <w:rtl w:val="0"/>
              </w:rPr>
              <w:t xml:space="preserve">Accès strict, AIPD</w:t>
            </w:r>
            <w:r>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2F">
            <w:pPr>
              <w:jc w:val="left"/>
              <w:rPr/>
            </w:pPr>
            <w:r>
              <w:rPr>
                <w:b w:val="0"/>
                <w:bCs w:val="0"/>
                <w:color w:val="000000"/>
                <w:sz w:val="19"/>
                <w:szCs w:val="19"/>
                <w:rtl w:val="0"/>
              </w:rPr>
              <w:t xml:space="preserve">Données opérationnelles (prod)</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30">
            <w:pPr>
              <w:jc w:val="left"/>
              <w:rPr/>
            </w:pPr>
            <w:r>
              <w:rPr>
                <w:b w:val="0"/>
                <w:bCs w:val="0"/>
                <w:color w:val="000000"/>
                <w:sz w:val="19"/>
                <w:szCs w:val="19"/>
                <w:rtl w:val="0"/>
              </w:rPr>
              <w:t xml:space="preserve">Signalement temps réel d'une victime identifiable</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31">
            <w:pPr>
              <w:jc w:val="left"/>
              <w:rPr/>
            </w:pPr>
            <w:r>
              <w:rPr>
                <w:b w:val="0"/>
                <w:bCs w:val="0"/>
                <w:color w:val="000000"/>
                <w:sz w:val="19"/>
                <w:szCs w:val="19"/>
                <w:rtl w:val="0"/>
              </w:rPr>
              <w:t xml:space="preserve">Confidentiel</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32">
            <w:pPr>
              <w:jc w:val="left"/>
              <w:rPr/>
            </w:pPr>
            <w:r>
              <w:rPr>
                <w:b w:val="0"/>
                <w:bCs w:val="0"/>
                <w:color w:val="000000"/>
                <w:sz w:val="19"/>
                <w:szCs w:val="19"/>
                <w:rtl w:val="0"/>
              </w:rPr>
              <w:t xml:space="preserve">Chiffrement, accès strict, traçabilité</w:t>
            </w:r>
            <w:r>
              <w:rPr>
                <w:rtl w:val="0"/>
              </w:rPr>
            </w:r>
          </w:p>
        </w:tc>
      </w:tr>
    </w:tbl>
    <w:p w:rsidR="00000000" w:rsidDel="00000000" w:rsidP="00000000" w:rsidRDefault="00000000" w:rsidRPr="00000000" w14:paraId="00000033">
      <w:pPr>
        <w:spacing w:after="120" w:lineRule="auto"/>
        <w:rPr/>
      </w:pPr>
      <w:r>
        <w:rPr>
          <w:rtl w:val="0"/>
        </w:rPr>
      </w:r>
    </w:p>
    <w:p w:rsidR="00000000" w:rsidDel="00000000" w:rsidP="00000000" w:rsidRDefault="00000000" w:rsidRPr="00000000" w14:paraId="00000034">
      <w:pPr>
        <w:spacing w:after="160" w:line="276" w:lineRule="auto"/>
        <w:rPr/>
      </w:pPr>
      <w:r>
        <w:rPr>
          <w:b w:val="1"/>
          <w:bCs w:val="1"/>
          <w:rtl w:val="0"/>
        </w:rPr>
        <w:t xml:space="preserve">Données à risque de ré-identification : </w:t>
      </w:r>
      <w:r>
        <w:rPr>
          <w:rtl w:val="0"/>
        </w:rPr>
        <w:t xml:space="preserve">le croisement latitude/longitude + date + commune peut réidentifier une victime → mesure d’agrégation géographique en couche Silver : lat/long/adr et com (commune) supprimées, seul le département (dep) subsiste. La commune seule combinée à la date exacte pouvait déjà isoler un accident unique dans une zone peu accidentogène, d’où sa suppression au même titre que les coordonnées précises.</w:t>
      </w:r>
      <w:r>
        <w:br w:type="page"/>
      </w:r>
      <w:r>
        <w:rPr>
          <w:rtl w:val="0"/>
        </w:rPr>
      </w:r>
    </w:p>
    <w:p w:rsidR="00000000" w:rsidDel="00000000" w:rsidP="00000000" w:rsidRDefault="00000000" w:rsidRPr="00000000" w14:paraId="00000035">
      <w:pPr>
        <w:spacing w:after="160" w:line="276" w:lineRule="auto"/>
        <w:rPr/>
      </w:pPr>
      <w:r>
        <w:rPr>
          <w:rtl w:val="0"/>
        </w:rPr>
      </w:r>
    </w:p>
    <w:p w:rsidR="00000000" w:rsidDel="00000000" w:rsidP="00000000" w:rsidRDefault="00000000" w:rsidRPr="00000000" w14:paraId="00000036">
      <w:pPr>
        <w:pStyle w:val="Heading1"/>
        <w:rPr/>
      </w:pPr>
      <w:r>
        <w:rPr>
          <w:rtl w:val="0"/>
        </w:rPr>
        <w:t xml:space="preserve">4. Cadre réglementaire et normatif</w:t>
      </w:r>
    </w:p>
    <w:tbl>
      <w:tblPr>
        <w:tblStyle w:val="Table3"/>
        <w:tblW w:w="9638.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3200"/>
        <w:gridCol w:w="6438"/>
        <w:tblGridChange w:id="0">
          <w:tblGrid>
            <w:gridCol w:w="3200"/>
            <w:gridCol w:w="6438"/>
          </w:tblGrid>
        </w:tblGridChange>
      </w:tblGrid>
      <w:tr>
        <w:trPr>
          <w:cantSplit w:val="0"/>
          <w:tblHeader w:val="1"/>
        </w:trPr>
        <w:tc>
          <w:tcPr>
            <w:shd w:fill="1f2937" w:val="clear"/>
            <w:tcMar>
              <w:top w:w="80.0" w:type="dxa"/>
              <w:left w:w="110.0" w:type="dxa"/>
              <w:bottom w:w="80.0" w:type="dxa"/>
              <w:right w:w="110.0" w:type="dxa"/>
            </w:tcMar>
            <w:vAlign w:val="center"/>
          </w:tcPr>
          <w:p w:rsidR="00000000" w:rsidDel="00000000" w:rsidP="00000000" w:rsidRDefault="00000000" w:rsidRPr="00000000" w14:paraId="00000037">
            <w:pPr>
              <w:jc w:val="left"/>
              <w:rPr/>
            </w:pPr>
            <w:r>
              <w:rPr>
                <w:b w:val="1"/>
                <w:bCs w:val="1"/>
                <w:color w:val="ffffff"/>
                <w:sz w:val="19"/>
                <w:szCs w:val="19"/>
                <w:rtl w:val="0"/>
              </w:rPr>
              <w:t xml:space="preserve">Référentiel</w:t>
            </w:r>
            <w:r>
              <w:rPr>
                <w:rtl w:val="0"/>
              </w:rPr>
            </w:r>
          </w:p>
        </w:tc>
        <w:tc>
          <w:tcPr>
            <w:shd w:fill="1f2937" w:val="clear"/>
            <w:tcMar>
              <w:top w:w="80.0" w:type="dxa"/>
              <w:left w:w="110.0" w:type="dxa"/>
              <w:bottom w:w="80.0" w:type="dxa"/>
              <w:right w:w="110.0" w:type="dxa"/>
            </w:tcMar>
            <w:vAlign w:val="center"/>
          </w:tcPr>
          <w:p w:rsidR="00000000" w:rsidDel="00000000" w:rsidP="00000000" w:rsidRDefault="00000000" w:rsidRPr="00000000" w14:paraId="00000038">
            <w:pPr>
              <w:jc w:val="left"/>
              <w:rPr/>
            </w:pPr>
            <w:r>
              <w:rPr>
                <w:b w:val="1"/>
                <w:bCs w:val="1"/>
                <w:color w:val="ffffff"/>
                <w:sz w:val="19"/>
                <w:szCs w:val="19"/>
                <w:rtl w:val="0"/>
              </w:rPr>
              <w:t xml:space="preserve">Application dans GRAVIA</w:t>
            </w:r>
            <w:r>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39">
            <w:pPr>
              <w:jc w:val="left"/>
              <w:rPr/>
            </w:pPr>
            <w:r>
              <w:rPr>
                <w:b w:val="0"/>
                <w:bCs w:val="0"/>
                <w:color w:val="000000"/>
                <w:sz w:val="19"/>
                <w:szCs w:val="19"/>
                <w:rtl w:val="0"/>
              </w:rPr>
              <w:t xml:space="preserve">RGPD (UE 2016/679)</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3A">
            <w:pPr>
              <w:jc w:val="left"/>
              <w:rPr/>
            </w:pPr>
            <w:r>
              <w:rPr>
                <w:b w:val="0"/>
                <w:bCs w:val="0"/>
                <w:color w:val="000000"/>
                <w:sz w:val="19"/>
                <w:szCs w:val="19"/>
                <w:rtl w:val="0"/>
              </w:rPr>
              <w:t xml:space="preserve">Base légale, minimisation, droits des personnes, sécurité, AIPD (art. 35)</w:t>
            </w:r>
            <w:r>
              <w:rPr>
                <w:rtl w:val="0"/>
              </w:rPr>
            </w:r>
          </w:p>
        </w:tc>
      </w:tr>
      <w:tr>
        <w:trPr>
          <w:cantSplit w:val="0"/>
          <w:tblHeader w:val="0"/>
        </w:trPr>
        <w:tc>
          <w:tcPr>
            <w:shd w:fill="f3f4f6" w:val="clear"/>
            <w:tcMar>
              <w:top w:w="80.0" w:type="dxa"/>
              <w:left w:w="110.0" w:type="dxa"/>
              <w:bottom w:w="80.0" w:type="dxa"/>
              <w:right w:w="110.0" w:type="dxa"/>
            </w:tcMar>
            <w:vAlign w:val="center"/>
          </w:tcPr>
          <w:p w:rsidR="00000000" w:rsidDel="00000000" w:rsidP="00000000" w:rsidRDefault="00000000" w:rsidRPr="00000000" w14:paraId="0000003B">
            <w:pPr>
              <w:jc w:val="left"/>
              <w:rPr/>
            </w:pPr>
            <w:r>
              <w:rPr>
                <w:b w:val="0"/>
                <w:bCs w:val="0"/>
                <w:color w:val="000000"/>
                <w:sz w:val="19"/>
                <w:szCs w:val="19"/>
                <w:rtl w:val="0"/>
              </w:rPr>
              <w:t xml:space="preserve">Loi Informatique et Libertés</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3C">
            <w:pPr>
              <w:jc w:val="left"/>
              <w:rPr/>
            </w:pPr>
            <w:r>
              <w:rPr>
                <w:b w:val="0"/>
                <w:bCs w:val="0"/>
                <w:color w:val="000000"/>
                <w:sz w:val="19"/>
                <w:szCs w:val="19"/>
                <w:rtl w:val="0"/>
              </w:rPr>
              <w:t xml:space="preserve">Droits d'accès, rectification, suppression, opposition</w:t>
            </w:r>
            <w:r>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3D">
            <w:pPr>
              <w:jc w:val="left"/>
              <w:rPr/>
            </w:pPr>
            <w:r>
              <w:rPr>
                <w:b w:val="0"/>
                <w:bCs w:val="0"/>
                <w:color w:val="000000"/>
                <w:sz w:val="19"/>
                <w:szCs w:val="19"/>
                <w:rtl w:val="0"/>
              </w:rPr>
              <w:t xml:space="preserve">ISO/IEC 27001</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3E">
            <w:pPr>
              <w:jc w:val="left"/>
              <w:rPr/>
            </w:pPr>
            <w:r>
              <w:rPr>
                <w:b w:val="0"/>
                <w:bCs w:val="0"/>
                <w:color w:val="000000"/>
                <w:sz w:val="19"/>
                <w:szCs w:val="19"/>
                <w:rtl w:val="0"/>
              </w:rPr>
              <w:t xml:space="preserve">Système de management de la sécurité de l'information (SMSI)</w:t>
            </w:r>
            <w:r>
              <w:rPr>
                <w:rtl w:val="0"/>
              </w:rPr>
            </w:r>
          </w:p>
        </w:tc>
      </w:tr>
      <w:tr>
        <w:trPr>
          <w:cantSplit w:val="0"/>
          <w:tblHeader w:val="0"/>
        </w:trPr>
        <w:tc>
          <w:tcPr>
            <w:shd w:fill="f3f4f6" w:val="clear"/>
            <w:tcMar>
              <w:top w:w="80.0" w:type="dxa"/>
              <w:left w:w="110.0" w:type="dxa"/>
              <w:bottom w:w="80.0" w:type="dxa"/>
              <w:right w:w="110.0" w:type="dxa"/>
            </w:tcMar>
            <w:vAlign w:val="center"/>
          </w:tcPr>
          <w:p w:rsidR="00000000" w:rsidDel="00000000" w:rsidP="00000000" w:rsidRDefault="00000000" w:rsidRPr="00000000" w14:paraId="0000003F">
            <w:pPr>
              <w:jc w:val="left"/>
              <w:rPr/>
            </w:pPr>
            <w:r>
              <w:rPr>
                <w:b w:val="0"/>
                <w:bCs w:val="0"/>
                <w:color w:val="000000"/>
                <w:sz w:val="19"/>
                <w:szCs w:val="19"/>
                <w:rtl w:val="0"/>
              </w:rPr>
              <w:t xml:space="preserve">Recommandations ANSSI</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40">
            <w:pPr>
              <w:jc w:val="left"/>
              <w:rPr/>
            </w:pPr>
            <w:r>
              <w:rPr>
                <w:b w:val="0"/>
                <w:bCs w:val="0"/>
                <w:color w:val="000000"/>
                <w:sz w:val="19"/>
                <w:szCs w:val="19"/>
                <w:rtl w:val="0"/>
              </w:rPr>
              <w:t xml:space="preserve">Mesures de sécurité techniques (chiffrement, cloisonnement)</w:t>
            </w:r>
            <w:r>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41">
            <w:pPr>
              <w:jc w:val="left"/>
              <w:rPr/>
            </w:pPr>
            <w:r>
              <w:rPr>
                <w:b w:val="0"/>
                <w:bCs w:val="0"/>
                <w:color w:val="000000"/>
                <w:sz w:val="19"/>
                <w:szCs w:val="19"/>
                <w:rtl w:val="0"/>
              </w:rPr>
              <w:t xml:space="preserve">RGAA</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42">
            <w:pPr>
              <w:jc w:val="left"/>
              <w:rPr/>
            </w:pPr>
            <w:r>
              <w:rPr>
                <w:b w:val="0"/>
                <w:bCs w:val="0"/>
                <w:color w:val="000000"/>
                <w:sz w:val="19"/>
                <w:szCs w:val="19"/>
                <w:rtl w:val="0"/>
              </w:rPr>
              <w:t xml:space="preserve">Accessibilité des interfaces et documents</w:t>
            </w:r>
            <w:r>
              <w:rPr>
                <w:rtl w:val="0"/>
              </w:rPr>
            </w:r>
          </w:p>
        </w:tc>
      </w:tr>
      <w:tr>
        <w:trPr>
          <w:cantSplit w:val="0"/>
          <w:tblHeader w:val="0"/>
        </w:trPr>
        <w:tc>
          <w:tcPr>
            <w:shd w:fill="f3f4f6" w:val="clear"/>
            <w:tcMar>
              <w:top w:w="80.0" w:type="dxa"/>
              <w:left w:w="110.0" w:type="dxa"/>
              <w:bottom w:w="80.0" w:type="dxa"/>
              <w:right w:w="110.0" w:type="dxa"/>
            </w:tcMar>
            <w:vAlign w:val="center"/>
          </w:tcPr>
          <w:p w:rsidR="00000000" w:rsidDel="00000000" w:rsidP="00000000" w:rsidRDefault="00000000" w:rsidRPr="00000000" w14:paraId="00000043">
            <w:pPr>
              <w:jc w:val="left"/>
              <w:rPr/>
            </w:pPr>
            <w:r>
              <w:rPr>
                <w:b w:val="0"/>
                <w:bCs w:val="0"/>
                <w:color w:val="000000"/>
                <w:sz w:val="19"/>
                <w:szCs w:val="19"/>
                <w:rtl w:val="0"/>
              </w:rPr>
              <w:t xml:space="preserve">Lignes directrices IA (CNIL / AI Act)</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44">
            <w:pPr>
              <w:jc w:val="left"/>
              <w:rPr/>
            </w:pPr>
            <w:r>
              <w:rPr>
                <w:b w:val="0"/>
                <w:bCs w:val="0"/>
                <w:color w:val="000000"/>
                <w:sz w:val="19"/>
                <w:szCs w:val="19"/>
                <w:rtl w:val="0"/>
              </w:rPr>
              <w:t xml:space="preserve">IA éthique, explicabilité, human-in-the-loop, tests de biais</w:t>
            </w:r>
            <w:r>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45">
            <w:pPr>
              <w:jc w:val="left"/>
              <w:rPr/>
            </w:pPr>
            <w:r>
              <w:rPr>
                <w:b w:val="0"/>
                <w:bCs w:val="0"/>
                <w:color w:val="000000"/>
                <w:sz w:val="19"/>
                <w:szCs w:val="19"/>
                <w:rtl w:val="0"/>
              </w:rPr>
              <w:t xml:space="preserve">HDS (Hébergement de Données de Santé)</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46">
            <w:pPr>
              <w:jc w:val="left"/>
              <w:rPr/>
            </w:pPr>
            <w:r>
              <w:rPr>
                <w:b w:val="0"/>
                <w:bCs w:val="0"/>
                <w:color w:val="000000"/>
                <w:sz w:val="19"/>
                <w:szCs w:val="19"/>
                <w:rtl w:val="0"/>
              </w:rPr>
              <w:t xml:space="preserve">Non requis sur le périmètre actuel (données ouvertes/pseudonymisées) ; requis en production réelle (art. L1111-8 CSP)</w:t>
            </w:r>
            <w:r>
              <w:rPr>
                <w:rtl w:val="0"/>
              </w:rPr>
            </w:r>
          </w:p>
        </w:tc>
      </w:tr>
    </w:tbl>
    <w:p w:rsidR="00000000" w:rsidDel="00000000" w:rsidP="00000000" w:rsidRDefault="00000000" w:rsidRPr="00000000" w14:paraId="00000047">
      <w:pPr>
        <w:spacing w:after="120" w:lineRule="auto"/>
        <w:rPr/>
      </w:pPr>
      <w:r>
        <w:rPr>
          <w:rtl w:val="0"/>
        </w:rPr>
      </w:r>
    </w:p>
    <w:p w:rsidR="00000000" w:rsidDel="00000000" w:rsidP="00000000" w:rsidRDefault="00000000" w:rsidRPr="00000000" w14:paraId="00000048">
      <w:pPr>
        <w:spacing w:after="160" w:line="276" w:lineRule="auto"/>
        <w:rPr/>
      </w:pPr>
      <w:r>
        <w:rPr>
          <w:b w:val="1"/>
          <w:bCs w:val="1"/>
          <w:rtl w:val="0"/>
        </w:rPr>
        <w:t xml:space="preserve">Base légale du traitement : </w:t>
      </w:r>
      <w:r>
        <w:rPr>
          <w:rtl w:val="0"/>
        </w:rPr>
        <w:t xml:space="preserve">mission d'intérêt public (art. 6.1.e RGPD) ; pour les données de santé, intérêt public dans le domaine de la santé / sauvegarde des intérêts vitaux (art. 9.2.i / 9.2.c).</w:t>
      </w:r>
    </w:p>
    <w:p w:rsidR="00000000" w:rsidDel="00000000" w:rsidP="00000000" w:rsidRDefault="00000000" w:rsidRPr="00000000" w14:paraId="00000049">
      <w:pPr>
        <w:pStyle w:val="Heading1"/>
        <w:rPr/>
      </w:pPr>
      <w:r>
        <w:rPr>
          <w:rtl w:val="0"/>
        </w:rPr>
        <w:t xml:space="preserve">5. Gouvernance organisationnelle</w:t>
      </w:r>
    </w:p>
    <w:p w:rsidR="00000000" w:rsidDel="00000000" w:rsidP="00000000" w:rsidRDefault="00000000" w:rsidRPr="00000000" w14:paraId="0000004A">
      <w:pPr>
        <w:pStyle w:val="Heading2"/>
        <w:rPr/>
      </w:pPr>
      <w:r>
        <w:rPr>
          <w:rtl w:val="0"/>
        </w:rPr>
        <w:t xml:space="preserve">5.1 Parties prenantes et rôles</w:t>
      </w:r>
    </w:p>
    <w:tbl>
      <w:tblPr>
        <w:tblStyle w:val="Table4"/>
        <w:tblW w:w="9638.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3200"/>
        <w:gridCol w:w="6438"/>
        <w:tblGridChange w:id="0">
          <w:tblGrid>
            <w:gridCol w:w="3200"/>
            <w:gridCol w:w="6438"/>
          </w:tblGrid>
        </w:tblGridChange>
      </w:tblGrid>
      <w:tr>
        <w:trPr>
          <w:cantSplit w:val="0"/>
          <w:tblHeader w:val="1"/>
        </w:trPr>
        <w:tc>
          <w:tcPr>
            <w:shd w:fill="1f2937" w:val="clear"/>
            <w:tcMar>
              <w:top w:w="80.0" w:type="dxa"/>
              <w:left w:w="110.0" w:type="dxa"/>
              <w:bottom w:w="80.0" w:type="dxa"/>
              <w:right w:w="110.0" w:type="dxa"/>
            </w:tcMar>
            <w:vAlign w:val="center"/>
          </w:tcPr>
          <w:p w:rsidR="00000000" w:rsidDel="00000000" w:rsidP="00000000" w:rsidRDefault="00000000" w:rsidRPr="00000000" w14:paraId="0000004B">
            <w:pPr>
              <w:jc w:val="left"/>
              <w:rPr/>
            </w:pPr>
            <w:r>
              <w:rPr>
                <w:b w:val="1"/>
                <w:bCs w:val="1"/>
                <w:color w:val="ffffff"/>
                <w:sz w:val="19"/>
                <w:szCs w:val="19"/>
                <w:rtl w:val="0"/>
              </w:rPr>
              <w:t xml:space="preserve">Partie prenante</w:t>
            </w:r>
            <w:r>
              <w:rPr>
                <w:rtl w:val="0"/>
              </w:rPr>
            </w:r>
          </w:p>
        </w:tc>
        <w:tc>
          <w:tcPr>
            <w:shd w:fill="1f2937" w:val="clear"/>
            <w:tcMar>
              <w:top w:w="80.0" w:type="dxa"/>
              <w:left w:w="110.0" w:type="dxa"/>
              <w:bottom w:w="80.0" w:type="dxa"/>
              <w:right w:w="110.0" w:type="dxa"/>
            </w:tcMar>
            <w:vAlign w:val="center"/>
          </w:tcPr>
          <w:p w:rsidR="00000000" w:rsidDel="00000000" w:rsidP="00000000" w:rsidRDefault="00000000" w:rsidRPr="00000000" w14:paraId="0000004C">
            <w:pPr>
              <w:jc w:val="left"/>
              <w:rPr/>
            </w:pPr>
            <w:r>
              <w:rPr>
                <w:b w:val="1"/>
                <w:bCs w:val="1"/>
                <w:color w:val="ffffff"/>
                <w:sz w:val="19"/>
                <w:szCs w:val="19"/>
                <w:rtl w:val="0"/>
              </w:rPr>
              <w:t xml:space="preserve">Responsabilités</w:t>
            </w:r>
            <w:r>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4D">
            <w:pPr>
              <w:jc w:val="left"/>
              <w:rPr/>
            </w:pPr>
            <w:r>
              <w:rPr>
                <w:b w:val="0"/>
                <w:bCs w:val="0"/>
                <w:color w:val="000000"/>
                <w:sz w:val="19"/>
                <w:szCs w:val="19"/>
                <w:rtl w:val="0"/>
              </w:rPr>
              <w:t xml:space="preserve">Direction VigiRoute</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4E">
            <w:pPr>
              <w:jc w:val="left"/>
              <w:rPr/>
            </w:pPr>
            <w:r>
              <w:rPr>
                <w:b w:val="0"/>
                <w:bCs w:val="0"/>
                <w:color w:val="000000"/>
                <w:sz w:val="19"/>
                <w:szCs w:val="19"/>
                <w:rtl w:val="0"/>
              </w:rPr>
              <w:t xml:space="preserve">Sponsor, arbitrages, validation de la politique, allocation des moyens</w:t>
            </w:r>
            <w:r>
              <w:rPr>
                <w:rtl w:val="0"/>
              </w:rPr>
            </w:r>
          </w:p>
        </w:tc>
      </w:tr>
      <w:tr>
        <w:trPr>
          <w:cantSplit w:val="0"/>
          <w:tblHeader w:val="0"/>
        </w:trPr>
        <w:tc>
          <w:tcPr>
            <w:shd w:fill="f3f4f6" w:val="clear"/>
            <w:tcMar>
              <w:top w:w="80.0" w:type="dxa"/>
              <w:left w:w="110.0" w:type="dxa"/>
              <w:bottom w:w="80.0" w:type="dxa"/>
              <w:right w:w="110.0" w:type="dxa"/>
            </w:tcMar>
            <w:vAlign w:val="center"/>
          </w:tcPr>
          <w:p w:rsidR="00000000" w:rsidDel="00000000" w:rsidP="00000000" w:rsidRDefault="00000000" w:rsidRPr="00000000" w14:paraId="0000004F">
            <w:pPr>
              <w:jc w:val="left"/>
              <w:rPr/>
            </w:pPr>
            <w:r>
              <w:rPr>
                <w:b w:val="0"/>
                <w:bCs w:val="0"/>
                <w:color w:val="000000"/>
                <w:sz w:val="19"/>
                <w:szCs w:val="19"/>
                <w:rtl w:val="0"/>
              </w:rPr>
              <w:t xml:space="preserve">Délégué à la protection des données (DPO)</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50">
            <w:pPr>
              <w:jc w:val="left"/>
              <w:rPr/>
            </w:pPr>
            <w:r>
              <w:rPr>
                <w:b w:val="0"/>
                <w:bCs w:val="0"/>
                <w:color w:val="000000"/>
                <w:sz w:val="19"/>
                <w:szCs w:val="19"/>
                <w:rtl w:val="0"/>
              </w:rPr>
              <w:t xml:space="preserve">Garant RGPD, pilotage de l'AIPD, point de contact CNIL, avis sur les traitements</w:t>
            </w:r>
            <w:r>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51">
            <w:pPr>
              <w:jc w:val="left"/>
              <w:rPr/>
            </w:pPr>
            <w:r>
              <w:rPr>
                <w:b w:val="0"/>
                <w:bCs w:val="0"/>
                <w:color w:val="000000"/>
                <w:sz w:val="19"/>
                <w:szCs w:val="19"/>
                <w:rtl w:val="0"/>
              </w:rPr>
              <w:t xml:space="preserve">Responsable sécurité (RSSI)</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52">
            <w:pPr>
              <w:jc w:val="left"/>
              <w:rPr/>
            </w:pPr>
            <w:r>
              <w:rPr>
                <w:b w:val="0"/>
                <w:bCs w:val="0"/>
                <w:color w:val="000000"/>
                <w:sz w:val="19"/>
                <w:szCs w:val="19"/>
                <w:rtl w:val="0"/>
              </w:rPr>
              <w:t xml:space="preserve">SMSI ISO 27001, mesures techniques, gestion des incidents de sécurité</w:t>
            </w:r>
            <w:r>
              <w:rPr>
                <w:rtl w:val="0"/>
              </w:rPr>
            </w:r>
          </w:p>
        </w:tc>
      </w:tr>
      <w:tr>
        <w:trPr>
          <w:cantSplit w:val="0"/>
          <w:tblHeader w:val="0"/>
        </w:trPr>
        <w:tc>
          <w:tcPr>
            <w:shd w:fill="f3f4f6" w:val="clear"/>
            <w:tcMar>
              <w:top w:w="80.0" w:type="dxa"/>
              <w:left w:w="110.0" w:type="dxa"/>
              <w:bottom w:w="80.0" w:type="dxa"/>
              <w:right w:w="110.0" w:type="dxa"/>
            </w:tcMar>
            <w:vAlign w:val="center"/>
          </w:tcPr>
          <w:p w:rsidR="00000000" w:rsidDel="00000000" w:rsidP="00000000" w:rsidRDefault="00000000" w:rsidRPr="00000000" w14:paraId="00000053">
            <w:pPr>
              <w:jc w:val="left"/>
              <w:rPr/>
            </w:pPr>
            <w:r>
              <w:rPr>
                <w:b w:val="0"/>
                <w:bCs w:val="0"/>
                <w:color w:val="000000"/>
                <w:sz w:val="19"/>
                <w:szCs w:val="19"/>
                <w:rtl w:val="0"/>
              </w:rPr>
              <w:t xml:space="preserve">Architecte IA / Data</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54">
            <w:pPr>
              <w:jc w:val="left"/>
              <w:rPr/>
            </w:pPr>
            <w:r>
              <w:rPr>
                <w:b w:val="0"/>
                <w:bCs w:val="0"/>
                <w:color w:val="000000"/>
                <w:sz w:val="19"/>
                <w:szCs w:val="19"/>
                <w:rtl w:val="0"/>
              </w:rPr>
              <w:t xml:space="preserve">Mise en œuvre technique de la politique (pseudonymisation, accès, qualité)</w:t>
            </w:r>
            <w:r>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55">
            <w:pPr>
              <w:jc w:val="left"/>
              <w:rPr/>
            </w:pPr>
            <w:r>
              <w:rPr>
                <w:b w:val="0"/>
                <w:bCs w:val="0"/>
                <w:color w:val="000000"/>
                <w:sz w:val="19"/>
                <w:szCs w:val="19"/>
                <w:rtl w:val="0"/>
              </w:rPr>
              <w:t xml:space="preserve">Data stewards</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56">
            <w:pPr>
              <w:jc w:val="left"/>
              <w:rPr/>
            </w:pPr>
            <w:r>
              <w:rPr>
                <w:b w:val="0"/>
                <w:bCs w:val="0"/>
                <w:color w:val="000000"/>
                <w:sz w:val="19"/>
                <w:szCs w:val="19"/>
                <w:rtl w:val="0"/>
              </w:rPr>
              <w:t xml:space="preserve">Qualité et documentation des données au quotidien</w:t>
            </w:r>
            <w:r>
              <w:rPr>
                <w:rtl w:val="0"/>
              </w:rPr>
            </w:r>
          </w:p>
        </w:tc>
      </w:tr>
      <w:tr>
        <w:trPr>
          <w:cantSplit w:val="0"/>
          <w:tblHeader w:val="0"/>
        </w:trPr>
        <w:tc>
          <w:tcPr>
            <w:shd w:fill="f3f4f6" w:val="clear"/>
            <w:tcMar>
              <w:top w:w="80.0" w:type="dxa"/>
              <w:left w:w="110.0" w:type="dxa"/>
              <w:bottom w:w="80.0" w:type="dxa"/>
              <w:right w:w="110.0" w:type="dxa"/>
            </w:tcMar>
            <w:vAlign w:val="center"/>
          </w:tcPr>
          <w:p w:rsidR="00000000" w:rsidDel="00000000" w:rsidP="00000000" w:rsidRDefault="00000000" w:rsidRPr="00000000" w14:paraId="00000057">
            <w:pPr>
              <w:jc w:val="left"/>
              <w:rPr/>
            </w:pPr>
            <w:r>
              <w:rPr>
                <w:b w:val="0"/>
                <w:bCs w:val="0"/>
                <w:color w:val="000000"/>
                <w:sz w:val="19"/>
                <w:szCs w:val="19"/>
                <w:rtl w:val="0"/>
              </w:rPr>
              <w:t xml:space="preserve">Opérateurs de secours</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58">
            <w:pPr>
              <w:jc w:val="left"/>
              <w:rPr/>
            </w:pPr>
            <w:r>
              <w:rPr>
                <w:b w:val="0"/>
                <w:bCs w:val="0"/>
                <w:color w:val="000000"/>
                <w:sz w:val="19"/>
                <w:szCs w:val="19"/>
                <w:rtl w:val="0"/>
              </w:rPr>
              <w:t xml:space="preserve">Utilisateurs finaux ; décision humaine finale (human-in-the-loop)</w:t>
            </w:r>
            <w:r>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59">
            <w:pPr>
              <w:jc w:val="left"/>
              <w:rPr/>
            </w:pPr>
            <w:r>
              <w:rPr>
                <w:b w:val="0"/>
                <w:bCs w:val="0"/>
                <w:color w:val="000000"/>
                <w:sz w:val="19"/>
                <w:szCs w:val="19"/>
                <w:rtl w:val="0"/>
              </w:rPr>
              <w:t xml:space="preserve">Fournisseur de données (ONISR)</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5A">
            <w:pPr>
              <w:jc w:val="left"/>
              <w:rPr/>
            </w:pPr>
            <w:r>
              <w:rPr>
                <w:b w:val="0"/>
                <w:bCs w:val="0"/>
                <w:color w:val="000000"/>
                <w:sz w:val="19"/>
                <w:szCs w:val="19"/>
                <w:rtl w:val="0"/>
              </w:rPr>
              <w:t xml:space="preserve">Source BAAC, documentation des millésimes</w:t>
            </w:r>
            <w:r>
              <w:rPr>
                <w:rtl w:val="0"/>
              </w:rPr>
            </w:r>
          </w:p>
        </w:tc>
      </w:tr>
      <w:tr>
        <w:trPr>
          <w:cantSplit w:val="0"/>
          <w:tblHeader w:val="0"/>
        </w:trPr>
        <w:tc>
          <w:tcPr>
            <w:shd w:fill="f3f4f6" w:val="clear"/>
            <w:tcMar>
              <w:top w:w="80.0" w:type="dxa"/>
              <w:left w:w="110.0" w:type="dxa"/>
              <w:bottom w:w="80.0" w:type="dxa"/>
              <w:right w:w="110.0" w:type="dxa"/>
            </w:tcMar>
            <w:vAlign w:val="center"/>
          </w:tcPr>
          <w:p w:rsidR="00000000" w:rsidDel="00000000" w:rsidP="00000000" w:rsidRDefault="00000000" w:rsidRPr="00000000" w14:paraId="0000005B">
            <w:pPr>
              <w:jc w:val="left"/>
              <w:rPr/>
            </w:pPr>
            <w:r>
              <w:rPr>
                <w:b w:val="0"/>
                <w:bCs w:val="0"/>
                <w:color w:val="000000"/>
                <w:sz w:val="19"/>
                <w:szCs w:val="19"/>
                <w:rtl w:val="0"/>
              </w:rPr>
              <w:t xml:space="preserve">CNIL</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5C">
            <w:pPr>
              <w:jc w:val="left"/>
              <w:rPr/>
            </w:pPr>
            <w:r>
              <w:rPr>
                <w:b w:val="0"/>
                <w:bCs w:val="0"/>
                <w:color w:val="000000"/>
                <w:sz w:val="19"/>
                <w:szCs w:val="19"/>
                <w:rtl w:val="0"/>
              </w:rPr>
              <w:t xml:space="preserve">Autorité de contrôle externe</w:t>
            </w:r>
            <w:r>
              <w:rPr>
                <w:rtl w:val="0"/>
              </w:rPr>
            </w:r>
          </w:p>
        </w:tc>
      </w:tr>
    </w:tbl>
    <w:p w:rsidR="00000000" w:rsidDel="00000000" w:rsidP="00000000" w:rsidRDefault="00000000" w:rsidRPr="00000000" w14:paraId="0000005D">
      <w:pPr>
        <w:spacing w:after="160" w:lineRule="auto"/>
        <w:rPr/>
      </w:pPr>
      <w:r>
        <w:br w:type="page"/>
      </w:r>
      <w:r>
        <w:rPr>
          <w:rtl w:val="0"/>
        </w:rPr>
      </w:r>
    </w:p>
    <w:p w:rsidR="00000000" w:rsidDel="00000000" w:rsidP="00000000" w:rsidRDefault="00000000" w:rsidRPr="00000000" w14:paraId="0000005E">
      <w:pPr>
        <w:spacing w:after="160" w:lineRule="auto"/>
        <w:rPr/>
      </w:pPr>
      <w:r>
        <w:rPr>
          <w:rtl w:val="0"/>
        </w:rPr>
      </w:r>
    </w:p>
    <w:p w:rsidR="00000000" w:rsidDel="00000000" w:rsidP="00000000" w:rsidRDefault="00000000" w:rsidRPr="00000000" w14:paraId="0000005F">
      <w:pPr>
        <w:pStyle w:val="Heading2"/>
        <w:rPr/>
      </w:pPr>
      <w:r>
        <w:rPr>
          <w:rtl w:val="0"/>
        </w:rPr>
        <w:t xml:space="preserve">5.2 Matrice RACI (extraits clés)</w:t>
      </w:r>
    </w:p>
    <w:tbl>
      <w:tblPr>
        <w:tblStyle w:val="Table5"/>
        <w:tblW w:w="9638.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600"/>
        <w:gridCol w:w="1300"/>
        <w:gridCol w:w="1300"/>
        <w:gridCol w:w="1300"/>
        <w:gridCol w:w="1600"/>
        <w:gridCol w:w="1538"/>
        <w:tblGridChange w:id="0">
          <w:tblGrid>
            <w:gridCol w:w="2600"/>
            <w:gridCol w:w="1300"/>
            <w:gridCol w:w="1300"/>
            <w:gridCol w:w="1300"/>
            <w:gridCol w:w="1600"/>
            <w:gridCol w:w="1538"/>
          </w:tblGrid>
        </w:tblGridChange>
      </w:tblGrid>
      <w:tr>
        <w:trPr>
          <w:cantSplit w:val="0"/>
          <w:tblHeader w:val="1"/>
        </w:trPr>
        <w:tc>
          <w:tcPr>
            <w:shd w:fill="1f2937" w:val="clear"/>
            <w:tcMar>
              <w:top w:w="80.0" w:type="dxa"/>
              <w:left w:w="110.0" w:type="dxa"/>
              <w:bottom w:w="80.0" w:type="dxa"/>
              <w:right w:w="110.0" w:type="dxa"/>
            </w:tcMar>
            <w:vAlign w:val="center"/>
          </w:tcPr>
          <w:p w:rsidR="00000000" w:rsidDel="00000000" w:rsidP="00000000" w:rsidRDefault="00000000" w:rsidRPr="00000000" w14:paraId="00000060">
            <w:pPr>
              <w:jc w:val="left"/>
              <w:rPr/>
            </w:pPr>
            <w:r>
              <w:rPr>
                <w:b w:val="1"/>
                <w:bCs w:val="1"/>
                <w:color w:val="ffffff"/>
                <w:sz w:val="19"/>
                <w:szCs w:val="19"/>
                <w:rtl w:val="0"/>
              </w:rPr>
              <w:t xml:space="preserve">Activité</w:t>
            </w:r>
            <w:r>
              <w:rPr>
                <w:rtl w:val="0"/>
              </w:rPr>
            </w:r>
          </w:p>
        </w:tc>
        <w:tc>
          <w:tcPr>
            <w:shd w:fill="1f2937" w:val="clear"/>
            <w:tcMar>
              <w:top w:w="80.0" w:type="dxa"/>
              <w:left w:w="110.0" w:type="dxa"/>
              <w:bottom w:w="80.0" w:type="dxa"/>
              <w:right w:w="110.0" w:type="dxa"/>
            </w:tcMar>
            <w:vAlign w:val="center"/>
          </w:tcPr>
          <w:p w:rsidR="00000000" w:rsidDel="00000000" w:rsidP="00000000" w:rsidRDefault="00000000" w:rsidRPr="00000000" w14:paraId="00000061">
            <w:pPr>
              <w:jc w:val="left"/>
              <w:rPr/>
            </w:pPr>
            <w:r>
              <w:rPr>
                <w:b w:val="1"/>
                <w:bCs w:val="1"/>
                <w:color w:val="ffffff"/>
                <w:sz w:val="19"/>
                <w:szCs w:val="19"/>
                <w:rtl w:val="0"/>
              </w:rPr>
              <w:t xml:space="preserve">Direction</w:t>
            </w:r>
            <w:r>
              <w:rPr>
                <w:rtl w:val="0"/>
              </w:rPr>
            </w:r>
          </w:p>
        </w:tc>
        <w:tc>
          <w:tcPr>
            <w:shd w:fill="1f2937" w:val="clear"/>
            <w:tcMar>
              <w:top w:w="80.0" w:type="dxa"/>
              <w:left w:w="110.0" w:type="dxa"/>
              <w:bottom w:w="80.0" w:type="dxa"/>
              <w:right w:w="110.0" w:type="dxa"/>
            </w:tcMar>
            <w:vAlign w:val="center"/>
          </w:tcPr>
          <w:p w:rsidR="00000000" w:rsidDel="00000000" w:rsidP="00000000" w:rsidRDefault="00000000" w:rsidRPr="00000000" w14:paraId="00000062">
            <w:pPr>
              <w:jc w:val="left"/>
              <w:rPr/>
            </w:pPr>
            <w:r>
              <w:rPr>
                <w:b w:val="1"/>
                <w:bCs w:val="1"/>
                <w:color w:val="ffffff"/>
                <w:sz w:val="19"/>
                <w:szCs w:val="19"/>
                <w:rtl w:val="0"/>
              </w:rPr>
              <w:t xml:space="preserve">DPO</w:t>
            </w:r>
            <w:r>
              <w:rPr>
                <w:rtl w:val="0"/>
              </w:rPr>
            </w:r>
          </w:p>
        </w:tc>
        <w:tc>
          <w:tcPr>
            <w:shd w:fill="1f2937" w:val="clear"/>
            <w:tcMar>
              <w:top w:w="80.0" w:type="dxa"/>
              <w:left w:w="110.0" w:type="dxa"/>
              <w:bottom w:w="80.0" w:type="dxa"/>
              <w:right w:w="110.0" w:type="dxa"/>
            </w:tcMar>
            <w:vAlign w:val="center"/>
          </w:tcPr>
          <w:p w:rsidR="00000000" w:rsidDel="00000000" w:rsidP="00000000" w:rsidRDefault="00000000" w:rsidRPr="00000000" w14:paraId="00000063">
            <w:pPr>
              <w:jc w:val="left"/>
              <w:rPr/>
            </w:pPr>
            <w:r>
              <w:rPr>
                <w:b w:val="1"/>
                <w:bCs w:val="1"/>
                <w:color w:val="ffffff"/>
                <w:sz w:val="19"/>
                <w:szCs w:val="19"/>
                <w:rtl w:val="0"/>
              </w:rPr>
              <w:t xml:space="preserve">RSSI</w:t>
            </w:r>
            <w:r>
              <w:rPr>
                <w:rtl w:val="0"/>
              </w:rPr>
            </w:r>
          </w:p>
        </w:tc>
        <w:tc>
          <w:tcPr>
            <w:shd w:fill="1f2937" w:val="clear"/>
            <w:tcMar>
              <w:top w:w="80.0" w:type="dxa"/>
              <w:left w:w="110.0" w:type="dxa"/>
              <w:bottom w:w="80.0" w:type="dxa"/>
              <w:right w:w="110.0" w:type="dxa"/>
            </w:tcMar>
            <w:vAlign w:val="center"/>
          </w:tcPr>
          <w:p w:rsidR="00000000" w:rsidDel="00000000" w:rsidP="00000000" w:rsidRDefault="00000000" w:rsidRPr="00000000" w14:paraId="00000064">
            <w:pPr>
              <w:jc w:val="left"/>
              <w:rPr/>
            </w:pPr>
            <w:r>
              <w:rPr>
                <w:b w:val="1"/>
                <w:bCs w:val="1"/>
                <w:color w:val="ffffff"/>
                <w:sz w:val="19"/>
                <w:szCs w:val="19"/>
                <w:rtl w:val="0"/>
              </w:rPr>
              <w:t xml:space="preserve">Architecte IA</w:t>
            </w:r>
            <w:r>
              <w:rPr>
                <w:rtl w:val="0"/>
              </w:rPr>
            </w:r>
          </w:p>
        </w:tc>
        <w:tc>
          <w:tcPr>
            <w:shd w:fill="1f2937" w:val="clear"/>
            <w:tcMar>
              <w:top w:w="80.0" w:type="dxa"/>
              <w:left w:w="110.0" w:type="dxa"/>
              <w:bottom w:w="80.0" w:type="dxa"/>
              <w:right w:w="110.0" w:type="dxa"/>
            </w:tcMar>
            <w:vAlign w:val="center"/>
          </w:tcPr>
          <w:p w:rsidR="00000000" w:rsidDel="00000000" w:rsidP="00000000" w:rsidRDefault="00000000" w:rsidRPr="00000000" w14:paraId="00000065">
            <w:pPr>
              <w:jc w:val="left"/>
              <w:rPr/>
            </w:pPr>
            <w:r>
              <w:rPr>
                <w:b w:val="1"/>
                <w:bCs w:val="1"/>
                <w:color w:val="ffffff"/>
                <w:sz w:val="19"/>
                <w:szCs w:val="19"/>
                <w:rtl w:val="0"/>
              </w:rPr>
              <w:t xml:space="preserve">Data stewards</w:t>
            </w:r>
            <w:r>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66">
            <w:pPr>
              <w:jc w:val="left"/>
              <w:rPr/>
            </w:pPr>
            <w:r>
              <w:rPr>
                <w:b w:val="0"/>
                <w:bCs w:val="0"/>
                <w:color w:val="000000"/>
                <w:sz w:val="19"/>
                <w:szCs w:val="19"/>
                <w:rtl w:val="0"/>
              </w:rPr>
              <w:t xml:space="preserve">Validation de la politique</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67">
            <w:pPr>
              <w:jc w:val="left"/>
              <w:rPr/>
            </w:pPr>
            <w:r>
              <w:rPr>
                <w:b w:val="0"/>
                <w:bCs w:val="0"/>
                <w:color w:val="000000"/>
                <w:sz w:val="19"/>
                <w:szCs w:val="19"/>
                <w:rtl w:val="0"/>
              </w:rPr>
              <w:t xml:space="preserve">A</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68">
            <w:pPr>
              <w:jc w:val="left"/>
              <w:rPr/>
            </w:pPr>
            <w:r>
              <w:rPr>
                <w:b w:val="0"/>
                <w:bCs w:val="0"/>
                <w:color w:val="000000"/>
                <w:sz w:val="19"/>
                <w:szCs w:val="19"/>
                <w:rtl w:val="0"/>
              </w:rPr>
              <w:t xml:space="preserve">C</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69">
            <w:pPr>
              <w:jc w:val="left"/>
              <w:rPr/>
            </w:pPr>
            <w:r>
              <w:rPr>
                <w:b w:val="0"/>
                <w:bCs w:val="0"/>
                <w:color w:val="000000"/>
                <w:sz w:val="19"/>
                <w:szCs w:val="19"/>
                <w:rtl w:val="0"/>
              </w:rPr>
              <w:t xml:space="preserve">C</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6A">
            <w:pPr>
              <w:jc w:val="left"/>
              <w:rPr/>
            </w:pPr>
            <w:r>
              <w:rPr>
                <w:b w:val="0"/>
                <w:bCs w:val="0"/>
                <w:color w:val="000000"/>
                <w:sz w:val="19"/>
                <w:szCs w:val="19"/>
                <w:rtl w:val="0"/>
              </w:rPr>
              <w:t xml:space="preserve">R</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6B">
            <w:pPr>
              <w:jc w:val="left"/>
              <w:rPr/>
            </w:pPr>
            <w:r>
              <w:rPr>
                <w:b w:val="0"/>
                <w:bCs w:val="0"/>
                <w:color w:val="000000"/>
                <w:sz w:val="19"/>
                <w:szCs w:val="19"/>
                <w:rtl w:val="0"/>
              </w:rPr>
              <w:t xml:space="preserve">I</w:t>
            </w:r>
            <w:r>
              <w:rPr>
                <w:rtl w:val="0"/>
              </w:rPr>
            </w:r>
          </w:p>
        </w:tc>
      </w:tr>
      <w:tr>
        <w:trPr>
          <w:cantSplit w:val="0"/>
          <w:tblHeader w:val="0"/>
        </w:trPr>
        <w:tc>
          <w:tcPr>
            <w:shd w:fill="f3f4f6" w:val="clear"/>
            <w:tcMar>
              <w:top w:w="80.0" w:type="dxa"/>
              <w:left w:w="110.0" w:type="dxa"/>
              <w:bottom w:w="80.0" w:type="dxa"/>
              <w:right w:w="110.0" w:type="dxa"/>
            </w:tcMar>
            <w:vAlign w:val="center"/>
          </w:tcPr>
          <w:p w:rsidR="00000000" w:rsidDel="00000000" w:rsidP="00000000" w:rsidRDefault="00000000" w:rsidRPr="00000000" w14:paraId="0000006C">
            <w:pPr>
              <w:jc w:val="left"/>
              <w:rPr/>
            </w:pPr>
            <w:r>
              <w:rPr>
                <w:b w:val="0"/>
                <w:bCs w:val="0"/>
                <w:color w:val="000000"/>
                <w:sz w:val="19"/>
                <w:szCs w:val="19"/>
                <w:rtl w:val="0"/>
              </w:rPr>
              <w:t xml:space="preserve">Réalisation de l'AIPD</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6D">
            <w:pPr>
              <w:jc w:val="left"/>
              <w:rPr/>
            </w:pPr>
            <w:r>
              <w:rPr>
                <w:b w:val="0"/>
                <w:bCs w:val="0"/>
                <w:color w:val="000000"/>
                <w:sz w:val="19"/>
                <w:szCs w:val="19"/>
                <w:rtl w:val="0"/>
              </w:rPr>
              <w:t xml:space="preserve">I</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6E">
            <w:pPr>
              <w:jc w:val="left"/>
              <w:rPr/>
            </w:pPr>
            <w:r>
              <w:rPr>
                <w:b w:val="0"/>
                <w:bCs w:val="0"/>
                <w:color w:val="000000"/>
                <w:sz w:val="19"/>
                <w:szCs w:val="19"/>
                <w:rtl w:val="0"/>
              </w:rPr>
              <w:t xml:space="preserve">A / R</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6F">
            <w:pPr>
              <w:jc w:val="left"/>
              <w:rPr/>
            </w:pPr>
            <w:r>
              <w:rPr>
                <w:b w:val="0"/>
                <w:bCs w:val="0"/>
                <w:color w:val="000000"/>
                <w:sz w:val="19"/>
                <w:szCs w:val="19"/>
                <w:rtl w:val="0"/>
              </w:rPr>
              <w:t xml:space="preserve">C</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70">
            <w:pPr>
              <w:jc w:val="left"/>
              <w:rPr/>
            </w:pPr>
            <w:r>
              <w:rPr>
                <w:b w:val="0"/>
                <w:bCs w:val="0"/>
                <w:color w:val="000000"/>
                <w:sz w:val="19"/>
                <w:szCs w:val="19"/>
                <w:rtl w:val="0"/>
              </w:rPr>
              <w:t xml:space="preserve">C</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71">
            <w:pPr>
              <w:jc w:val="left"/>
              <w:rPr/>
            </w:pPr>
            <w:r>
              <w:rPr>
                <w:b w:val="0"/>
                <w:bCs w:val="0"/>
                <w:color w:val="000000"/>
                <w:sz w:val="19"/>
                <w:szCs w:val="19"/>
                <w:rtl w:val="0"/>
              </w:rPr>
              <w:t xml:space="preserve">I</w:t>
            </w:r>
            <w:r>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72">
            <w:pPr>
              <w:jc w:val="left"/>
              <w:rPr/>
            </w:pPr>
            <w:r>
              <w:rPr>
                <w:b w:val="0"/>
                <w:bCs w:val="0"/>
                <w:color w:val="000000"/>
                <w:sz w:val="19"/>
                <w:szCs w:val="19"/>
                <w:rtl w:val="0"/>
              </w:rPr>
              <w:t xml:space="preserve">Pseudonymisation des données</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73">
            <w:pPr>
              <w:jc w:val="left"/>
              <w:rPr/>
            </w:pPr>
            <w:r>
              <w:rPr>
                <w:b w:val="0"/>
                <w:bCs w:val="0"/>
                <w:color w:val="000000"/>
                <w:sz w:val="19"/>
                <w:szCs w:val="19"/>
                <w:rtl w:val="0"/>
              </w:rPr>
              <w:t xml:space="preserve">I</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74">
            <w:pPr>
              <w:jc w:val="left"/>
              <w:rPr/>
            </w:pPr>
            <w:r>
              <w:rPr>
                <w:b w:val="0"/>
                <w:bCs w:val="0"/>
                <w:color w:val="000000"/>
                <w:sz w:val="19"/>
                <w:szCs w:val="19"/>
                <w:rtl w:val="0"/>
              </w:rPr>
              <w:t xml:space="preserve">C</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75">
            <w:pPr>
              <w:jc w:val="left"/>
              <w:rPr/>
            </w:pPr>
            <w:r>
              <w:rPr>
                <w:b w:val="0"/>
                <w:bCs w:val="0"/>
                <w:color w:val="000000"/>
                <w:sz w:val="19"/>
                <w:szCs w:val="19"/>
                <w:rtl w:val="0"/>
              </w:rPr>
              <w:t xml:space="preserve">C</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76">
            <w:pPr>
              <w:jc w:val="left"/>
              <w:rPr/>
            </w:pPr>
            <w:r>
              <w:rPr>
                <w:b w:val="0"/>
                <w:bCs w:val="0"/>
                <w:color w:val="000000"/>
                <w:sz w:val="19"/>
                <w:szCs w:val="19"/>
                <w:rtl w:val="0"/>
              </w:rPr>
              <w:t xml:space="preserve">R</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77">
            <w:pPr>
              <w:jc w:val="left"/>
              <w:rPr/>
            </w:pPr>
            <w:r>
              <w:rPr>
                <w:b w:val="0"/>
                <w:bCs w:val="0"/>
                <w:color w:val="000000"/>
                <w:sz w:val="19"/>
                <w:szCs w:val="19"/>
                <w:rtl w:val="0"/>
              </w:rPr>
              <w:t xml:space="preserve">C</w:t>
            </w:r>
            <w:r>
              <w:rPr>
                <w:rtl w:val="0"/>
              </w:rPr>
            </w:r>
          </w:p>
        </w:tc>
      </w:tr>
      <w:tr>
        <w:trPr>
          <w:cantSplit w:val="0"/>
          <w:tblHeader w:val="0"/>
        </w:trPr>
        <w:tc>
          <w:tcPr>
            <w:shd w:fill="f3f4f6" w:val="clear"/>
            <w:tcMar>
              <w:top w:w="80.0" w:type="dxa"/>
              <w:left w:w="110.0" w:type="dxa"/>
              <w:bottom w:w="80.0" w:type="dxa"/>
              <w:right w:w="110.0" w:type="dxa"/>
            </w:tcMar>
            <w:vAlign w:val="center"/>
          </w:tcPr>
          <w:p w:rsidR="00000000" w:rsidDel="00000000" w:rsidP="00000000" w:rsidRDefault="00000000" w:rsidRPr="00000000" w14:paraId="00000078">
            <w:pPr>
              <w:jc w:val="left"/>
              <w:rPr/>
            </w:pPr>
            <w:r>
              <w:rPr>
                <w:b w:val="0"/>
                <w:bCs w:val="0"/>
                <w:color w:val="000000"/>
                <w:sz w:val="19"/>
                <w:szCs w:val="19"/>
                <w:rtl w:val="0"/>
              </w:rPr>
              <w:t xml:space="preserve">Contrôle qualité des données</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79">
            <w:pPr>
              <w:jc w:val="left"/>
              <w:rPr/>
            </w:pPr>
            <w:r>
              <w:rPr>
                <w:b w:val="0"/>
                <w:bCs w:val="0"/>
                <w:color w:val="000000"/>
                <w:sz w:val="19"/>
                <w:szCs w:val="19"/>
                <w:rtl w:val="0"/>
              </w:rPr>
              <w:t xml:space="preserve">I</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7A">
            <w:pPr>
              <w:jc w:val="left"/>
              <w:rPr/>
            </w:pPr>
            <w:r>
              <w:rPr>
                <w:b w:val="0"/>
                <w:bCs w:val="0"/>
                <w:color w:val="000000"/>
                <w:sz w:val="19"/>
                <w:szCs w:val="19"/>
                <w:rtl w:val="0"/>
              </w:rPr>
              <w:t xml:space="preserve">I</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7B">
            <w:pPr>
              <w:jc w:val="left"/>
              <w:rPr/>
            </w:pPr>
            <w:r>
              <w:rPr>
                <w:b w:val="0"/>
                <w:bCs w:val="0"/>
                <w:color w:val="000000"/>
                <w:sz w:val="19"/>
                <w:szCs w:val="19"/>
                <w:rtl w:val="0"/>
              </w:rPr>
              <w:t xml:space="preserve">I</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7C">
            <w:pPr>
              <w:jc w:val="left"/>
              <w:rPr/>
            </w:pPr>
            <w:r>
              <w:rPr>
                <w:b w:val="0"/>
                <w:bCs w:val="0"/>
                <w:color w:val="000000"/>
                <w:sz w:val="19"/>
                <w:szCs w:val="19"/>
                <w:rtl w:val="0"/>
              </w:rPr>
              <w:t xml:space="preserve">C</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7D">
            <w:pPr>
              <w:jc w:val="left"/>
              <w:rPr/>
            </w:pPr>
            <w:r>
              <w:rPr>
                <w:b w:val="0"/>
                <w:bCs w:val="0"/>
                <w:color w:val="000000"/>
                <w:sz w:val="19"/>
                <w:szCs w:val="19"/>
                <w:rtl w:val="0"/>
              </w:rPr>
              <w:t xml:space="preserve">R</w:t>
            </w:r>
            <w:r>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7E">
            <w:pPr>
              <w:jc w:val="left"/>
              <w:rPr/>
            </w:pPr>
            <w:r>
              <w:rPr>
                <w:b w:val="0"/>
                <w:bCs w:val="0"/>
                <w:color w:val="000000"/>
                <w:sz w:val="19"/>
                <w:szCs w:val="19"/>
                <w:rtl w:val="0"/>
              </w:rPr>
              <w:t xml:space="preserve">Gestion d'une violation</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7F">
            <w:pPr>
              <w:jc w:val="left"/>
              <w:rPr/>
            </w:pPr>
            <w:r>
              <w:rPr>
                <w:b w:val="0"/>
                <w:bCs w:val="0"/>
                <w:color w:val="000000"/>
                <w:sz w:val="19"/>
                <w:szCs w:val="19"/>
                <w:rtl w:val="0"/>
              </w:rPr>
              <w:t xml:space="preserve">A</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80">
            <w:pPr>
              <w:jc w:val="left"/>
              <w:rPr/>
            </w:pPr>
            <w:r>
              <w:rPr>
                <w:b w:val="0"/>
                <w:bCs w:val="0"/>
                <w:color w:val="000000"/>
                <w:sz w:val="19"/>
                <w:szCs w:val="19"/>
                <w:rtl w:val="0"/>
              </w:rPr>
              <w:t xml:space="preserve">R</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81">
            <w:pPr>
              <w:jc w:val="left"/>
              <w:rPr/>
            </w:pPr>
            <w:r>
              <w:rPr>
                <w:b w:val="0"/>
                <w:bCs w:val="0"/>
                <w:color w:val="000000"/>
                <w:sz w:val="19"/>
                <w:szCs w:val="19"/>
                <w:rtl w:val="0"/>
              </w:rPr>
              <w:t xml:space="preserve">R</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82">
            <w:pPr>
              <w:jc w:val="left"/>
              <w:rPr/>
            </w:pPr>
            <w:r>
              <w:rPr>
                <w:b w:val="0"/>
                <w:bCs w:val="0"/>
                <w:color w:val="000000"/>
                <w:sz w:val="19"/>
                <w:szCs w:val="19"/>
                <w:rtl w:val="0"/>
              </w:rPr>
              <w:t xml:space="preserve">C</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83">
            <w:pPr>
              <w:jc w:val="left"/>
              <w:rPr/>
            </w:pPr>
            <w:r>
              <w:rPr>
                <w:b w:val="0"/>
                <w:bCs w:val="0"/>
                <w:color w:val="000000"/>
                <w:sz w:val="19"/>
                <w:szCs w:val="19"/>
                <w:rtl w:val="0"/>
              </w:rPr>
              <w:t xml:space="preserve">I</w:t>
            </w:r>
            <w:r>
              <w:rPr>
                <w:rtl w:val="0"/>
              </w:rPr>
            </w:r>
          </w:p>
        </w:tc>
      </w:tr>
      <w:tr>
        <w:trPr>
          <w:cantSplit w:val="0"/>
          <w:tblHeader w:val="0"/>
        </w:trPr>
        <w:tc>
          <w:tcPr>
            <w:shd w:fill="f3f4f6" w:val="clear"/>
            <w:tcMar>
              <w:top w:w="80.0" w:type="dxa"/>
              <w:left w:w="110.0" w:type="dxa"/>
              <w:bottom w:w="80.0" w:type="dxa"/>
              <w:right w:w="110.0" w:type="dxa"/>
            </w:tcMar>
            <w:vAlign w:val="center"/>
          </w:tcPr>
          <w:p w:rsidR="00000000" w:rsidDel="00000000" w:rsidP="00000000" w:rsidRDefault="00000000" w:rsidRPr="00000000" w14:paraId="00000084">
            <w:pPr>
              <w:jc w:val="left"/>
              <w:rPr/>
            </w:pPr>
            <w:r>
              <w:rPr>
                <w:b w:val="0"/>
                <w:bCs w:val="0"/>
                <w:color w:val="000000"/>
                <w:sz w:val="19"/>
                <w:szCs w:val="19"/>
                <w:rtl w:val="0"/>
              </w:rPr>
              <w:t xml:space="preserve">Audits réguliers</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85">
            <w:pPr>
              <w:jc w:val="left"/>
              <w:rPr/>
            </w:pPr>
            <w:r>
              <w:rPr>
                <w:b w:val="0"/>
                <w:bCs w:val="0"/>
                <w:color w:val="000000"/>
                <w:sz w:val="19"/>
                <w:szCs w:val="19"/>
                <w:rtl w:val="0"/>
              </w:rPr>
              <w:t xml:space="preserve">A</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86">
            <w:pPr>
              <w:jc w:val="left"/>
              <w:rPr/>
            </w:pPr>
            <w:r>
              <w:rPr>
                <w:b w:val="0"/>
                <w:bCs w:val="0"/>
                <w:color w:val="000000"/>
                <w:sz w:val="19"/>
                <w:szCs w:val="19"/>
                <w:rtl w:val="0"/>
              </w:rPr>
              <w:t xml:space="preserve">R</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87">
            <w:pPr>
              <w:jc w:val="left"/>
              <w:rPr/>
            </w:pPr>
            <w:r>
              <w:rPr>
                <w:b w:val="0"/>
                <w:bCs w:val="0"/>
                <w:color w:val="000000"/>
                <w:sz w:val="19"/>
                <w:szCs w:val="19"/>
                <w:rtl w:val="0"/>
              </w:rPr>
              <w:t xml:space="preserve">R</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88">
            <w:pPr>
              <w:jc w:val="left"/>
              <w:rPr/>
            </w:pPr>
            <w:r>
              <w:rPr>
                <w:b w:val="0"/>
                <w:bCs w:val="0"/>
                <w:color w:val="000000"/>
                <w:sz w:val="19"/>
                <w:szCs w:val="19"/>
                <w:rtl w:val="0"/>
              </w:rPr>
              <w:t xml:space="preserve">C</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89">
            <w:pPr>
              <w:jc w:val="left"/>
              <w:rPr/>
            </w:pPr>
            <w:r>
              <w:rPr>
                <w:b w:val="0"/>
                <w:bCs w:val="0"/>
                <w:color w:val="000000"/>
                <w:sz w:val="19"/>
                <w:szCs w:val="19"/>
                <w:rtl w:val="0"/>
              </w:rPr>
              <w:t xml:space="preserve">C</w:t>
            </w:r>
            <w:r>
              <w:rPr>
                <w:rtl w:val="0"/>
              </w:rPr>
            </w:r>
          </w:p>
        </w:tc>
      </w:tr>
    </w:tbl>
    <w:p w:rsidR="00000000" w:rsidDel="00000000" w:rsidP="00000000" w:rsidRDefault="00000000" w:rsidRPr="00000000" w14:paraId="0000008A">
      <w:pPr>
        <w:spacing w:after="80" w:lineRule="auto"/>
        <w:rPr/>
      </w:pPr>
      <w:r>
        <w:rPr>
          <w:rtl w:val="0"/>
        </w:rPr>
      </w:r>
    </w:p>
    <w:p w:rsidR="00000000" w:rsidDel="00000000" w:rsidP="00000000" w:rsidRDefault="00000000" w:rsidRPr="00000000" w14:paraId="0000008B">
      <w:pPr>
        <w:spacing w:after="160" w:lineRule="auto"/>
        <w:rPr/>
      </w:pPr>
      <w:r>
        <w:rPr>
          <w:i w:val="1"/>
          <w:iCs w:val="1"/>
          <w:color w:val="595959"/>
          <w:sz w:val="19"/>
          <w:szCs w:val="19"/>
          <w:rtl w:val="0"/>
        </w:rPr>
        <w:t xml:space="preserve">R = Réalise, A = Approuve, C = Consulté, I = Informé</w:t>
      </w:r>
      <w:r>
        <w:rPr>
          <w:rtl w:val="0"/>
        </w:rPr>
      </w:r>
    </w:p>
    <w:p w:rsidR="00000000" w:rsidDel="00000000" w:rsidP="00000000" w:rsidRDefault="00000000" w:rsidRPr="00000000" w14:paraId="0000008C">
      <w:pPr>
        <w:pStyle w:val="Heading1"/>
        <w:rPr/>
      </w:pPr>
      <w:r>
        <w:rPr>
          <w:rtl w:val="0"/>
        </w:rPr>
        <w:t xml:space="preserve">6. Politique de qualité des données</w:t>
      </w:r>
    </w:p>
    <w:tbl>
      <w:tblPr>
        <w:tblStyle w:val="Table6"/>
        <w:tblW w:w="9638.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800"/>
        <w:gridCol w:w="4200"/>
        <w:gridCol w:w="3638"/>
        <w:tblGridChange w:id="0">
          <w:tblGrid>
            <w:gridCol w:w="1800"/>
            <w:gridCol w:w="4200"/>
            <w:gridCol w:w="3638"/>
          </w:tblGrid>
        </w:tblGridChange>
      </w:tblGrid>
      <w:tr>
        <w:trPr>
          <w:cantSplit w:val="0"/>
          <w:tblHeader w:val="1"/>
        </w:trPr>
        <w:tc>
          <w:tcPr>
            <w:shd w:fill="1f2937" w:val="clear"/>
            <w:tcMar>
              <w:top w:w="80.0" w:type="dxa"/>
              <w:left w:w="110.0" w:type="dxa"/>
              <w:bottom w:w="80.0" w:type="dxa"/>
              <w:right w:w="110.0" w:type="dxa"/>
            </w:tcMar>
            <w:vAlign w:val="center"/>
          </w:tcPr>
          <w:p w:rsidR="00000000" w:rsidDel="00000000" w:rsidP="00000000" w:rsidRDefault="00000000" w:rsidRPr="00000000" w14:paraId="0000008D">
            <w:pPr>
              <w:jc w:val="left"/>
              <w:rPr/>
            </w:pPr>
            <w:r>
              <w:rPr>
                <w:b w:val="1"/>
                <w:bCs w:val="1"/>
                <w:color w:val="ffffff"/>
                <w:sz w:val="19"/>
                <w:szCs w:val="19"/>
                <w:rtl w:val="0"/>
              </w:rPr>
              <w:t xml:space="preserve">Dimension</w:t>
            </w:r>
            <w:r>
              <w:rPr>
                <w:rtl w:val="0"/>
              </w:rPr>
            </w:r>
          </w:p>
        </w:tc>
        <w:tc>
          <w:tcPr>
            <w:shd w:fill="1f2937" w:val="clear"/>
            <w:tcMar>
              <w:top w:w="80.0" w:type="dxa"/>
              <w:left w:w="110.0" w:type="dxa"/>
              <w:bottom w:w="80.0" w:type="dxa"/>
              <w:right w:w="110.0" w:type="dxa"/>
            </w:tcMar>
            <w:vAlign w:val="center"/>
          </w:tcPr>
          <w:p w:rsidR="00000000" w:rsidDel="00000000" w:rsidP="00000000" w:rsidRDefault="00000000" w:rsidRPr="00000000" w14:paraId="0000008E">
            <w:pPr>
              <w:jc w:val="left"/>
              <w:rPr/>
            </w:pPr>
            <w:r>
              <w:rPr>
                <w:b w:val="1"/>
                <w:bCs w:val="1"/>
                <w:color w:val="ffffff"/>
                <w:sz w:val="19"/>
                <w:szCs w:val="19"/>
                <w:rtl w:val="0"/>
              </w:rPr>
              <w:t xml:space="preserve">Règle</w:t>
            </w:r>
            <w:r>
              <w:rPr>
                <w:rtl w:val="0"/>
              </w:rPr>
            </w:r>
          </w:p>
        </w:tc>
        <w:tc>
          <w:tcPr>
            <w:shd w:fill="1f2937" w:val="clear"/>
            <w:tcMar>
              <w:top w:w="80.0" w:type="dxa"/>
              <w:left w:w="110.0" w:type="dxa"/>
              <w:bottom w:w="80.0" w:type="dxa"/>
              <w:right w:w="110.0" w:type="dxa"/>
            </w:tcMar>
            <w:vAlign w:val="center"/>
          </w:tcPr>
          <w:p w:rsidR="00000000" w:rsidDel="00000000" w:rsidP="00000000" w:rsidRDefault="00000000" w:rsidRPr="00000000" w14:paraId="0000008F">
            <w:pPr>
              <w:jc w:val="left"/>
              <w:rPr/>
            </w:pPr>
            <w:r>
              <w:rPr>
                <w:b w:val="1"/>
                <w:bCs w:val="1"/>
                <w:color w:val="ffffff"/>
                <w:sz w:val="19"/>
                <w:szCs w:val="19"/>
                <w:rtl w:val="0"/>
              </w:rPr>
              <w:t xml:space="preserve">Contrôle</w:t>
            </w:r>
            <w:r>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90">
            <w:pPr>
              <w:jc w:val="left"/>
              <w:rPr/>
            </w:pPr>
            <w:r>
              <w:rPr>
                <w:b w:val="0"/>
                <w:bCs w:val="0"/>
                <w:color w:val="000000"/>
                <w:sz w:val="19"/>
                <w:szCs w:val="19"/>
                <w:rtl w:val="0"/>
              </w:rPr>
              <w:t xml:space="preserve">Exactitude</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91">
            <w:pPr>
              <w:jc w:val="left"/>
              <w:rPr/>
            </w:pPr>
            <w:r>
              <w:rPr>
                <w:b w:val="0"/>
                <w:bCs w:val="0"/>
                <w:color w:val="000000"/>
                <w:sz w:val="19"/>
                <w:szCs w:val="19"/>
                <w:rtl w:val="0"/>
              </w:rPr>
              <w:t xml:space="preserve">Valeurs conformes aux nomenclatures BAAC</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92">
            <w:pPr>
              <w:jc w:val="left"/>
              <w:rPr/>
            </w:pPr>
            <w:r>
              <w:rPr>
                <w:b w:val="0"/>
                <w:bCs w:val="0"/>
                <w:color w:val="000000"/>
                <w:sz w:val="19"/>
                <w:szCs w:val="19"/>
                <w:rtl w:val="0"/>
              </w:rPr>
              <w:t xml:space="preserve">Great Expectations (gravité ∈ {-1,1..4})</w:t>
            </w:r>
            <w:r>
              <w:rPr>
                <w:rtl w:val="0"/>
              </w:rPr>
            </w:r>
          </w:p>
        </w:tc>
      </w:tr>
      <w:tr>
        <w:trPr>
          <w:cantSplit w:val="0"/>
          <w:tblHeader w:val="0"/>
        </w:trPr>
        <w:tc>
          <w:tcPr>
            <w:shd w:fill="f3f4f6" w:val="clear"/>
            <w:tcMar>
              <w:top w:w="80.0" w:type="dxa"/>
              <w:left w:w="110.0" w:type="dxa"/>
              <w:bottom w:w="80.0" w:type="dxa"/>
              <w:right w:w="110.0" w:type="dxa"/>
            </w:tcMar>
            <w:vAlign w:val="center"/>
          </w:tcPr>
          <w:p w:rsidR="00000000" w:rsidDel="00000000" w:rsidP="00000000" w:rsidRDefault="00000000" w:rsidRPr="00000000" w14:paraId="00000093">
            <w:pPr>
              <w:jc w:val="left"/>
              <w:rPr/>
            </w:pPr>
            <w:r>
              <w:rPr>
                <w:b w:val="0"/>
                <w:bCs w:val="0"/>
                <w:color w:val="000000"/>
                <w:sz w:val="19"/>
                <w:szCs w:val="19"/>
                <w:rtl w:val="0"/>
              </w:rPr>
              <w:t xml:space="preserve">Complétude</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94">
            <w:pPr>
              <w:jc w:val="left"/>
              <w:rPr/>
            </w:pPr>
            <w:r>
              <w:rPr>
                <w:b w:val="0"/>
                <w:bCs w:val="0"/>
                <w:color w:val="000000"/>
                <w:sz w:val="19"/>
                <w:szCs w:val="19"/>
                <w:rtl w:val="0"/>
              </w:rPr>
              <w:t xml:space="preserve">Champs clés non nuls (identifiant, date, lieu)</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95">
            <w:pPr>
              <w:jc w:val="left"/>
              <w:rPr/>
            </w:pPr>
            <w:r>
              <w:rPr>
                <w:b w:val="0"/>
                <w:bCs w:val="0"/>
                <w:color w:val="000000"/>
                <w:sz w:val="19"/>
                <w:szCs w:val="19"/>
                <w:rtl w:val="0"/>
              </w:rPr>
              <w:t xml:space="preserve">Tests de complétude par millésime</w:t>
            </w:r>
            <w:r>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96">
            <w:pPr>
              <w:jc w:val="left"/>
              <w:rPr/>
            </w:pPr>
            <w:r>
              <w:rPr>
                <w:b w:val="0"/>
                <w:bCs w:val="0"/>
                <w:color w:val="000000"/>
                <w:sz w:val="19"/>
                <w:szCs w:val="19"/>
                <w:rtl w:val="0"/>
              </w:rPr>
              <w:t xml:space="preserve">Cohérence</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97">
            <w:pPr>
              <w:jc w:val="left"/>
              <w:rPr/>
            </w:pPr>
            <w:r>
              <w:rPr>
                <w:b w:val="0"/>
                <w:bCs w:val="0"/>
                <w:color w:val="000000"/>
                <w:sz w:val="19"/>
                <w:szCs w:val="19"/>
                <w:rtl w:val="0"/>
              </w:rPr>
              <w:t xml:space="preserve">Plausibilité (âge ≤ 110 ans, bornes vitesse/voies)</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98">
            <w:pPr>
              <w:jc w:val="left"/>
              <w:rPr/>
            </w:pPr>
            <w:r>
              <w:rPr>
                <w:b w:val="0"/>
                <w:bCs w:val="0"/>
                <w:color w:val="000000"/>
                <w:sz w:val="19"/>
                <w:szCs w:val="19"/>
                <w:rtl w:val="0"/>
              </w:rPr>
              <w:t xml:space="preserve">Règles de validation en Silver/Great Expectations</w:t>
            </w:r>
            <w:r>
              <w:rPr>
                <w:rtl w:val="0"/>
              </w:rPr>
            </w:r>
          </w:p>
        </w:tc>
      </w:tr>
      <w:tr>
        <w:trPr>
          <w:cantSplit w:val="0"/>
          <w:tblHeader w:val="0"/>
        </w:trPr>
        <w:tc>
          <w:tcPr>
            <w:shd w:fill="f3f4f6" w:val="clear"/>
            <w:tcMar>
              <w:top w:w="80.0" w:type="dxa"/>
              <w:left w:w="110.0" w:type="dxa"/>
              <w:bottom w:w="80.0" w:type="dxa"/>
              <w:right w:w="110.0" w:type="dxa"/>
            </w:tcMar>
            <w:vAlign w:val="center"/>
          </w:tcPr>
          <w:p w:rsidR="00000000" w:rsidDel="00000000" w:rsidP="00000000" w:rsidRDefault="00000000" w:rsidRPr="00000000" w14:paraId="00000099">
            <w:pPr>
              <w:jc w:val="left"/>
              <w:rPr/>
            </w:pPr>
            <w:r>
              <w:rPr>
                <w:b w:val="0"/>
                <w:bCs w:val="0"/>
                <w:color w:val="000000"/>
                <w:sz w:val="19"/>
                <w:szCs w:val="19"/>
                <w:rtl w:val="0"/>
              </w:rPr>
              <w:t xml:space="preserve">Unicité</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9A">
            <w:pPr>
              <w:jc w:val="left"/>
              <w:rPr/>
            </w:pPr>
            <w:r>
              <w:rPr>
                <w:b w:val="0"/>
                <w:bCs w:val="0"/>
                <w:color w:val="000000"/>
                <w:sz w:val="19"/>
                <w:szCs w:val="19"/>
                <w:rtl w:val="0"/>
              </w:rPr>
              <w:t xml:space="preserve">Pas de doublons d'accidents</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9B">
            <w:pPr>
              <w:jc w:val="left"/>
              <w:rPr/>
            </w:pPr>
            <w:r>
              <w:rPr>
                <w:b w:val="0"/>
                <w:bCs w:val="0"/>
                <w:color w:val="000000"/>
                <w:sz w:val="19"/>
                <w:szCs w:val="19"/>
                <w:rtl w:val="0"/>
              </w:rPr>
              <w:t xml:space="preserve">Déduplication en Silver</w:t>
            </w:r>
            <w:r>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9C">
            <w:pPr>
              <w:jc w:val="left"/>
              <w:rPr/>
            </w:pPr>
            <w:r>
              <w:rPr>
                <w:b w:val="0"/>
                <w:bCs w:val="0"/>
                <w:color w:val="000000"/>
                <w:sz w:val="19"/>
                <w:szCs w:val="19"/>
                <w:rtl w:val="0"/>
              </w:rPr>
              <w:t xml:space="preserve">Traçabilité</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9D">
            <w:pPr>
              <w:jc w:val="left"/>
              <w:rPr/>
            </w:pPr>
            <w:r>
              <w:rPr>
                <w:b w:val="0"/>
                <w:bCs w:val="0"/>
                <w:color w:val="000000"/>
                <w:sz w:val="19"/>
                <w:szCs w:val="19"/>
                <w:rtl w:val="0"/>
              </w:rPr>
              <w:t xml:space="preserve">Lineage des transformations Bronze→Silver→Gold</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9E">
            <w:pPr>
              <w:jc w:val="left"/>
              <w:rPr/>
            </w:pPr>
            <w:r>
              <w:rPr>
                <w:b w:val="0"/>
                <w:bCs w:val="0"/>
                <w:color w:val="000000"/>
                <w:sz w:val="19"/>
                <w:szCs w:val="19"/>
                <w:rtl w:val="0"/>
              </w:rPr>
              <w:t xml:space="preserve">Journalisation + métadonnées</w:t>
            </w:r>
            <w:r>
              <w:rPr>
                <w:rtl w:val="0"/>
              </w:rPr>
            </w:r>
          </w:p>
        </w:tc>
      </w:tr>
    </w:tbl>
    <w:p w:rsidR="00000000" w:rsidDel="00000000" w:rsidP="00000000" w:rsidRDefault="00000000" w:rsidRPr="00000000" w14:paraId="0000009F">
      <w:pPr>
        <w:spacing w:after="120" w:lineRule="auto"/>
        <w:rPr/>
      </w:pPr>
      <w:r>
        <w:rPr>
          <w:rtl w:val="0"/>
        </w:rPr>
      </w:r>
    </w:p>
    <w:p w:rsidR="00000000" w:rsidDel="00000000" w:rsidP="00000000" w:rsidRDefault="00000000" w:rsidRPr="00000000" w14:paraId="000000A0">
      <w:pPr>
        <w:spacing w:after="160" w:line="276" w:lineRule="auto"/>
        <w:rPr/>
      </w:pPr>
      <w:r>
        <w:rPr>
          <w:rtl w:val="0"/>
        </w:rPr>
        <w:t xml:space="preserve">Tout lot non conforme bloque la promotion vers Gold (échec de la tâche qualité du pipeline Airflow) ; le Parquet Silver déjà écrit n'est ni déplacé ni supprimé (pas de quarantaine physique) et aucune notification automatique n'est envoyée au data steward à ce jour — ces deux points restent des mesures cibles.</w:t>
      </w:r>
    </w:p>
    <w:p w:rsidR="00000000" w:rsidDel="00000000" w:rsidP="00000000" w:rsidRDefault="00000000" w:rsidRPr="00000000" w14:paraId="000000A1">
      <w:pPr>
        <w:pStyle w:val="Heading1"/>
        <w:rPr/>
      </w:pPr>
      <w:r>
        <w:rPr>
          <w:rtl w:val="0"/>
        </w:rPr>
        <w:t xml:space="preserve">7. Politique de sécurité et de confidentialité</w:t>
      </w:r>
    </w:p>
    <w:tbl>
      <w:tblPr>
        <w:tblStyle w:val="Table7"/>
        <w:tblW w:w="9638.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200"/>
        <w:gridCol w:w="3600"/>
        <w:gridCol w:w="3838"/>
        <w:tblGridChange w:id="0">
          <w:tblGrid>
            <w:gridCol w:w="2200"/>
            <w:gridCol w:w="3600"/>
            <w:gridCol w:w="3838"/>
          </w:tblGrid>
        </w:tblGridChange>
      </w:tblGrid>
      <w:tr>
        <w:trPr>
          <w:cantSplit w:val="0"/>
          <w:tblHeader w:val="1"/>
        </w:trPr>
        <w:tc>
          <w:tcPr>
            <w:shd w:fill="1f2937" w:val="clear"/>
            <w:tcMar>
              <w:top w:w="80.0" w:type="dxa"/>
              <w:left w:w="110.0" w:type="dxa"/>
              <w:bottom w:w="80.0" w:type="dxa"/>
              <w:right w:w="110.0" w:type="dxa"/>
            </w:tcMar>
            <w:vAlign w:val="center"/>
          </w:tcPr>
          <w:p w:rsidR="00000000" w:rsidDel="00000000" w:rsidP="00000000" w:rsidRDefault="00000000" w:rsidRPr="00000000" w14:paraId="000000A2">
            <w:pPr>
              <w:jc w:val="left"/>
              <w:rPr/>
            </w:pPr>
            <w:r>
              <w:rPr>
                <w:b w:val="1"/>
                <w:bCs w:val="1"/>
                <w:color w:val="ffffff"/>
                <w:sz w:val="19"/>
                <w:szCs w:val="19"/>
                <w:rtl w:val="0"/>
              </w:rPr>
              <w:t xml:space="preserve">Mesure</w:t>
            </w:r>
            <w:r>
              <w:rPr>
                <w:rtl w:val="0"/>
              </w:rPr>
            </w:r>
          </w:p>
        </w:tc>
        <w:tc>
          <w:tcPr>
            <w:shd w:fill="1f2937" w:val="clear"/>
            <w:tcMar>
              <w:top w:w="80.0" w:type="dxa"/>
              <w:left w:w="110.0" w:type="dxa"/>
              <w:bottom w:w="80.0" w:type="dxa"/>
              <w:right w:w="110.0" w:type="dxa"/>
            </w:tcMar>
            <w:vAlign w:val="center"/>
          </w:tcPr>
          <w:p w:rsidR="00000000" w:rsidDel="00000000" w:rsidP="00000000" w:rsidRDefault="00000000" w:rsidRPr="00000000" w14:paraId="000000A3">
            <w:pPr>
              <w:jc w:val="left"/>
              <w:rPr/>
            </w:pPr>
            <w:r>
              <w:rPr>
                <w:b w:val="1"/>
                <w:bCs w:val="1"/>
                <w:color w:val="ffffff"/>
                <w:sz w:val="19"/>
                <w:szCs w:val="19"/>
                <w:rtl w:val="0"/>
              </w:rPr>
              <w:t xml:space="preserve">Mise en œuvre</w:t>
            </w:r>
            <w:r>
              <w:rPr>
                <w:rtl w:val="0"/>
              </w:rPr>
            </w:r>
          </w:p>
        </w:tc>
        <w:tc>
          <w:tcPr>
            <w:shd w:fill="1f2937" w:val="clear"/>
            <w:tcMar>
              <w:top w:w="80.0" w:type="dxa"/>
              <w:left w:w="110.0" w:type="dxa"/>
              <w:bottom w:w="80.0" w:type="dxa"/>
              <w:right w:w="110.0" w:type="dxa"/>
            </w:tcMar>
            <w:vAlign w:val="center"/>
          </w:tcPr>
          <w:p w:rsidR="00000000" w:rsidDel="00000000" w:rsidP="00000000" w:rsidRDefault="00000000" w:rsidRPr="00000000" w14:paraId="000000A4">
            <w:pPr>
              <w:jc w:val="left"/>
              <w:rPr/>
            </w:pPr>
            <w:r>
              <w:rPr>
                <w:b w:val="1"/>
                <w:bCs w:val="1"/>
                <w:color w:val="ffffff"/>
                <w:sz w:val="19"/>
                <w:szCs w:val="19"/>
                <w:rtl w:val="0"/>
              </w:rPr>
              <w:t xml:space="preserve">Statut</w:t>
            </w:r>
            <w:r>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A5">
            <w:pPr>
              <w:jc w:val="left"/>
              <w:rPr/>
            </w:pPr>
            <w:r>
              <w:rPr>
                <w:b w:val="0"/>
                <w:bCs w:val="0"/>
                <w:color w:val="000000"/>
                <w:sz w:val="19"/>
                <w:szCs w:val="19"/>
                <w:rtl w:val="0"/>
              </w:rPr>
              <w:t xml:space="preserve">Chiffrement au repos</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A6">
            <w:pPr>
              <w:jc w:val="left"/>
              <w:rPr/>
            </w:pPr>
            <w:r>
              <w:rPr>
                <w:b w:val="0"/>
                <w:bCs w:val="0"/>
                <w:color w:val="000000"/>
                <w:sz w:val="19"/>
                <w:szCs w:val="19"/>
                <w:rtl w:val="0"/>
              </w:rPr>
              <w:t xml:space="preserve">S3/RDS chiffrés</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A7">
            <w:pPr>
              <w:jc w:val="left"/>
              <w:rPr/>
            </w:pPr>
            <w:r>
              <w:rPr>
                <w:b w:val="0"/>
                <w:bCs w:val="0"/>
                <w:color w:val="000000"/>
                <w:sz w:val="19"/>
                <w:szCs w:val="19"/>
                <w:rtl w:val="0"/>
              </w:rPr>
              <w:t xml:space="preserve">À implémenter (cible prod)</w:t>
            </w:r>
            <w:r>
              <w:rPr>
                <w:rtl w:val="0"/>
              </w:rPr>
            </w:r>
          </w:p>
        </w:tc>
      </w:tr>
      <w:tr>
        <w:trPr>
          <w:cantSplit w:val="0"/>
          <w:tblHeader w:val="0"/>
        </w:trPr>
        <w:tc>
          <w:tcPr>
            <w:shd w:fill="f3f4f6" w:val="clear"/>
            <w:tcMar>
              <w:top w:w="80.0" w:type="dxa"/>
              <w:left w:w="110.0" w:type="dxa"/>
              <w:bottom w:w="80.0" w:type="dxa"/>
              <w:right w:w="110.0" w:type="dxa"/>
            </w:tcMar>
            <w:vAlign w:val="center"/>
          </w:tcPr>
          <w:p w:rsidR="00000000" w:rsidDel="00000000" w:rsidP="00000000" w:rsidRDefault="00000000" w:rsidRPr="00000000" w14:paraId="000000A8">
            <w:pPr>
              <w:jc w:val="left"/>
              <w:rPr/>
            </w:pPr>
            <w:r>
              <w:rPr>
                <w:b w:val="0"/>
                <w:bCs w:val="0"/>
                <w:color w:val="000000"/>
                <w:sz w:val="19"/>
                <w:szCs w:val="19"/>
                <w:rtl w:val="0"/>
              </w:rPr>
              <w:t xml:space="preserve">Chiffrement en transit</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A9">
            <w:pPr>
              <w:jc w:val="left"/>
              <w:rPr/>
            </w:pPr>
            <w:r>
              <w:rPr>
                <w:b w:val="0"/>
                <w:bCs w:val="0"/>
                <w:color w:val="000000"/>
                <w:sz w:val="19"/>
                <w:szCs w:val="19"/>
                <w:rtl w:val="0"/>
              </w:rPr>
              <w:t xml:space="preserve">TLS systématique</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AA">
            <w:pPr>
              <w:jc w:val="left"/>
              <w:rPr/>
            </w:pPr>
            <w:r>
              <w:rPr>
                <w:b w:val="0"/>
                <w:bCs w:val="0"/>
                <w:color w:val="000000"/>
                <w:sz w:val="19"/>
                <w:szCs w:val="19"/>
                <w:rtl w:val="0"/>
              </w:rPr>
              <w:t xml:space="preserve">À implémenter (stack dev en HTTP local)</w:t>
            </w:r>
            <w:r>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AB">
            <w:pPr>
              <w:jc w:val="left"/>
              <w:rPr/>
            </w:pPr>
            <w:r>
              <w:rPr>
                <w:b w:val="0"/>
                <w:bCs w:val="0"/>
                <w:color w:val="000000"/>
                <w:sz w:val="19"/>
                <w:szCs w:val="19"/>
                <w:rtl w:val="0"/>
              </w:rPr>
              <w:t xml:space="preserve">Pseudonymisation</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AC">
            <w:pPr>
              <w:jc w:val="left"/>
              <w:rPr/>
            </w:pPr>
            <w:r>
              <w:rPr>
                <w:b w:val="0"/>
                <w:bCs w:val="0"/>
                <w:color w:val="000000"/>
                <w:sz w:val="19"/>
                <w:szCs w:val="19"/>
                <w:rtl w:val="0"/>
              </w:rPr>
              <w:t xml:space="preserve">Dès la couche Silver</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AD">
            <w:pPr>
              <w:jc w:val="left"/>
              <w:rPr/>
            </w:pPr>
            <w:r>
              <w:rPr>
                <w:b w:val="0"/>
                <w:bCs w:val="0"/>
                <w:color w:val="000000"/>
                <w:sz w:val="19"/>
                <w:szCs w:val="19"/>
                <w:rtl w:val="0"/>
              </w:rPr>
              <w:t xml:space="preserve">Fait — vérifié sur les 5 millésimes réels</w:t>
            </w:r>
            <w:r>
              <w:rPr>
                <w:rtl w:val="0"/>
              </w:rPr>
            </w:r>
          </w:p>
        </w:tc>
      </w:tr>
      <w:tr>
        <w:trPr>
          <w:cantSplit w:val="0"/>
          <w:tblHeader w:val="0"/>
        </w:trPr>
        <w:tc>
          <w:tcPr>
            <w:shd w:fill="f3f4f6" w:val="clear"/>
            <w:tcMar>
              <w:top w:w="80.0" w:type="dxa"/>
              <w:left w:w="110.0" w:type="dxa"/>
              <w:bottom w:w="80.0" w:type="dxa"/>
              <w:right w:w="110.0" w:type="dxa"/>
            </w:tcMar>
            <w:vAlign w:val="center"/>
          </w:tcPr>
          <w:p w:rsidR="00000000" w:rsidDel="00000000" w:rsidP="00000000" w:rsidRDefault="00000000" w:rsidRPr="00000000" w14:paraId="000000AE">
            <w:pPr>
              <w:jc w:val="left"/>
              <w:rPr/>
            </w:pPr>
            <w:r>
              <w:rPr>
                <w:b w:val="0"/>
                <w:bCs w:val="0"/>
                <w:color w:val="000000"/>
                <w:sz w:val="19"/>
                <w:szCs w:val="19"/>
                <w:rtl w:val="0"/>
              </w:rPr>
              <w:t xml:space="preserve">Contrôle d'accès</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AF">
            <w:pPr>
              <w:jc w:val="left"/>
              <w:rPr/>
            </w:pPr>
            <w:r>
              <w:rPr>
                <w:b w:val="0"/>
                <w:bCs w:val="0"/>
                <w:color w:val="000000"/>
                <w:sz w:val="19"/>
                <w:szCs w:val="19"/>
                <w:rtl w:val="0"/>
              </w:rPr>
              <w:t xml:space="preserve">Moindre privilège (IAM, rôles PostgreSQL), authentification forte</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B0">
            <w:pPr>
              <w:jc w:val="left"/>
              <w:rPr/>
            </w:pPr>
            <w:r>
              <w:rPr>
                <w:b w:val="0"/>
                <w:bCs w:val="0"/>
                <w:color w:val="000000"/>
                <w:sz w:val="19"/>
                <w:szCs w:val="19"/>
                <w:rtl w:val="0"/>
              </w:rPr>
              <w:t xml:space="preserve">À implémenter (cible prod)</w:t>
            </w:r>
            <w:r>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B1">
            <w:pPr>
              <w:jc w:val="left"/>
              <w:rPr/>
            </w:pPr>
            <w:r>
              <w:rPr>
                <w:b w:val="0"/>
                <w:bCs w:val="0"/>
                <w:color w:val="000000"/>
                <w:sz w:val="19"/>
                <w:szCs w:val="19"/>
                <w:rtl w:val="0"/>
              </w:rPr>
              <w:t xml:space="preserve">Gestion des secrets</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B2">
            <w:pPr>
              <w:jc w:val="left"/>
              <w:rPr/>
            </w:pPr>
            <w:r>
              <w:rPr>
                <w:b w:val="0"/>
                <w:bCs w:val="0"/>
                <w:color w:val="000000"/>
                <w:sz w:val="19"/>
                <w:szCs w:val="19"/>
                <w:rtl w:val="0"/>
              </w:rPr>
              <w:t xml:space="preserve">.env (dev) / Secrets Manager (prod), jamais dans Git</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B3">
            <w:pPr>
              <w:jc w:val="left"/>
              <w:rPr/>
            </w:pPr>
            <w:r>
              <w:rPr>
                <w:b w:val="0"/>
                <w:bCs w:val="0"/>
                <w:color w:val="000000"/>
                <w:sz w:val="19"/>
                <w:szCs w:val="19"/>
                <w:rtl w:val="0"/>
              </w:rPr>
              <w:t xml:space="preserve">Fait en dev</w:t>
            </w:r>
            <w:r>
              <w:rPr>
                <w:rtl w:val="0"/>
              </w:rPr>
            </w:r>
          </w:p>
        </w:tc>
      </w:tr>
      <w:tr>
        <w:trPr>
          <w:cantSplit w:val="0"/>
          <w:tblHeader w:val="0"/>
        </w:trPr>
        <w:tc>
          <w:tcPr>
            <w:shd w:fill="f3f4f6" w:val="clear"/>
            <w:tcMar>
              <w:top w:w="80.0" w:type="dxa"/>
              <w:left w:w="110.0" w:type="dxa"/>
              <w:bottom w:w="80.0" w:type="dxa"/>
              <w:right w:w="110.0" w:type="dxa"/>
            </w:tcMar>
            <w:vAlign w:val="center"/>
          </w:tcPr>
          <w:p w:rsidR="00000000" w:rsidDel="00000000" w:rsidP="00000000" w:rsidRDefault="00000000" w:rsidRPr="00000000" w14:paraId="000000B4">
            <w:pPr>
              <w:jc w:val="left"/>
              <w:rPr/>
            </w:pPr>
            <w:r>
              <w:rPr>
                <w:b w:val="0"/>
                <w:bCs w:val="0"/>
                <w:color w:val="000000"/>
                <w:sz w:val="19"/>
                <w:szCs w:val="19"/>
                <w:rtl w:val="0"/>
              </w:rPr>
              <w:t xml:space="preserve">Cloisonnement</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B5">
            <w:pPr>
              <w:jc w:val="left"/>
              <w:rPr/>
            </w:pPr>
            <w:r>
              <w:rPr>
                <w:b w:val="0"/>
                <w:bCs w:val="0"/>
                <w:color w:val="000000"/>
                <w:sz w:val="19"/>
                <w:szCs w:val="19"/>
                <w:rtl w:val="0"/>
              </w:rPr>
              <w:t xml:space="preserve">Séparation des environnements dev / prod</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B6">
            <w:pPr>
              <w:jc w:val="left"/>
              <w:rPr/>
            </w:pPr>
            <w:r>
              <w:rPr>
                <w:b w:val="0"/>
                <w:bCs w:val="0"/>
                <w:color w:val="000000"/>
                <w:sz w:val="19"/>
                <w:szCs w:val="19"/>
                <w:rtl w:val="0"/>
              </w:rPr>
              <w:t xml:space="preserve">Fait — Docker Compose (dev) / Terraform-LocalStack (cible prod)</w:t>
            </w:r>
            <w:r>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B7">
            <w:pPr>
              <w:jc w:val="left"/>
              <w:rPr/>
            </w:pPr>
            <w:r>
              <w:rPr>
                <w:b w:val="0"/>
                <w:bCs w:val="0"/>
                <w:color w:val="000000"/>
                <w:sz w:val="19"/>
                <w:szCs w:val="19"/>
                <w:rtl w:val="0"/>
              </w:rPr>
              <w:t xml:space="preserve">Journalisation</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B8">
            <w:pPr>
              <w:jc w:val="left"/>
              <w:rPr/>
            </w:pPr>
            <w:r>
              <w:rPr>
                <w:b w:val="0"/>
                <w:bCs w:val="0"/>
                <w:color w:val="000000"/>
                <w:sz w:val="19"/>
                <w:szCs w:val="19"/>
                <w:rtl w:val="0"/>
              </w:rPr>
              <w:t xml:space="preserve">Logs d'accès et de prédictions horodatés</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B9">
            <w:pPr>
              <w:jc w:val="left"/>
              <w:rPr/>
            </w:pPr>
            <w:r>
              <w:rPr>
                <w:b w:val="0"/>
                <w:bCs w:val="0"/>
                <w:color w:val="000000"/>
                <w:sz w:val="19"/>
                <w:szCs w:val="19"/>
                <w:rtl w:val="0"/>
              </w:rPr>
              <w:t xml:space="preserve">Partiel — pas encore de registre interrogeable 12 mois</w:t>
            </w:r>
            <w:r>
              <w:rPr>
                <w:rtl w:val="0"/>
              </w:rPr>
            </w:r>
          </w:p>
        </w:tc>
      </w:tr>
    </w:tbl>
    <w:p w:rsidR="00000000" w:rsidDel="00000000" w:rsidP="00000000" w:rsidRDefault="00000000" w:rsidRPr="00000000" w14:paraId="000000BA">
      <w:pPr>
        <w:spacing w:after="120" w:lineRule="auto"/>
        <w:rPr/>
      </w:pPr>
      <w:r>
        <w:rPr>
          <w:rtl w:val="0"/>
        </w:rPr>
      </w:r>
    </w:p>
    <w:p w:rsidR="00000000" w:rsidDel="00000000" w:rsidP="00000000" w:rsidRDefault="00000000" w:rsidRPr="00000000" w14:paraId="000000BB">
      <w:pPr>
        <w:spacing w:after="160" w:line="276" w:lineRule="auto"/>
        <w:rPr/>
      </w:pPr>
      <w:r>
        <w:rPr>
          <w:b w:val="1"/>
          <w:bCs w:val="1"/>
          <w:rtl w:val="0"/>
        </w:rPr>
        <w:t xml:space="preserve">Portée de « authentification forte » : </w:t>
      </w:r>
      <w:r>
        <w:rPr>
          <w:rtl w:val="0"/>
        </w:rPr>
        <w:t xml:space="preserve">cette politique vise la surface exposée (API de prédiction, accès aux données réelles en production). Elle ne s'applique pas à l'outillage interne de la stack dev (Airflow, MLflow, Grafana), qui tourne sur le réseau Docker local, n'est jamais exposé publiquement et simplifie volontairement son authentification pour la vélocité. Écart assumé et documenté, cohérent avec la séparation dev/prod déjà posée — pas une dérogation silencieuse à la politique de sécurité de production.</w:t>
      </w:r>
    </w:p>
    <w:p w:rsidR="00000000" w:rsidDel="00000000" w:rsidP="00000000" w:rsidRDefault="00000000" w:rsidRPr="00000000" w14:paraId="000000BC">
      <w:pPr>
        <w:pStyle w:val="Heading1"/>
        <w:rPr/>
      </w:pPr>
      <w:r>
        <w:rPr>
          <w:rtl w:val="0"/>
        </w:rPr>
        <w:t xml:space="preserve">8. Disponibilité et continuité</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Objectif de disponibilité de l'API : ≥ 99,5 % / mois.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Fait : retries des tâches Airflow, redémarrage automatique des conteneurs de la stack dev et des pods Kubernetes (vérifié sur cluster kind réel).</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À implémenter : redondance du stockage (S3/RDS) et sauvegardes testées — politique cible pour la production, non déployée à ce jour.</w:t>
      </w:r>
    </w:p>
    <w:p w:rsidR="00000000" w:rsidDel="00000000" w:rsidP="00000000" w:rsidRDefault="00000000" w:rsidRPr="00000000" w14:paraId="000000C0">
      <w:pPr>
        <w:pStyle w:val="Heading1"/>
        <w:rPr/>
      </w:pPr>
      <w:r>
        <w:rPr>
          <w:rtl w:val="0"/>
        </w:rPr>
        <w:t xml:space="preserve">9. Cycle de vie et conservation des données</w:t>
      </w:r>
    </w:p>
    <w:tbl>
      <w:tblPr>
        <w:tblStyle w:val="Table8"/>
        <w:tblW w:w="9638.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3200"/>
        <w:gridCol w:w="4038"/>
        <w:gridCol w:w="2400"/>
        <w:tblGridChange w:id="0">
          <w:tblGrid>
            <w:gridCol w:w="3200"/>
            <w:gridCol w:w="4038"/>
            <w:gridCol w:w="2400"/>
          </w:tblGrid>
        </w:tblGridChange>
      </w:tblGrid>
      <w:tr>
        <w:trPr>
          <w:cantSplit w:val="0"/>
          <w:tblHeader w:val="1"/>
        </w:trPr>
        <w:tc>
          <w:tcPr>
            <w:shd w:fill="1f2937" w:val="clear"/>
            <w:tcMar>
              <w:top w:w="80.0" w:type="dxa"/>
              <w:left w:w="110.0" w:type="dxa"/>
              <w:bottom w:w="80.0" w:type="dxa"/>
              <w:right w:w="110.0" w:type="dxa"/>
            </w:tcMar>
            <w:vAlign w:val="center"/>
          </w:tcPr>
          <w:p w:rsidR="00000000" w:rsidDel="00000000" w:rsidP="00000000" w:rsidRDefault="00000000" w:rsidRPr="00000000" w14:paraId="000000C1">
            <w:pPr>
              <w:jc w:val="left"/>
              <w:rPr/>
            </w:pPr>
            <w:r>
              <w:rPr>
                <w:b w:val="1"/>
                <w:bCs w:val="1"/>
                <w:color w:val="ffffff"/>
                <w:sz w:val="19"/>
                <w:szCs w:val="19"/>
                <w:rtl w:val="0"/>
              </w:rPr>
              <w:t xml:space="preserve">Donnée</w:t>
            </w:r>
            <w:r>
              <w:rPr>
                <w:rtl w:val="0"/>
              </w:rPr>
            </w:r>
          </w:p>
        </w:tc>
        <w:tc>
          <w:tcPr>
            <w:shd w:fill="1f2937" w:val="clear"/>
            <w:tcMar>
              <w:top w:w="80.0" w:type="dxa"/>
              <w:left w:w="110.0" w:type="dxa"/>
              <w:bottom w:w="80.0" w:type="dxa"/>
              <w:right w:w="110.0" w:type="dxa"/>
            </w:tcMar>
            <w:vAlign w:val="center"/>
          </w:tcPr>
          <w:p w:rsidR="00000000" w:rsidDel="00000000" w:rsidP="00000000" w:rsidRDefault="00000000" w:rsidRPr="00000000" w14:paraId="000000C2">
            <w:pPr>
              <w:jc w:val="left"/>
              <w:rPr/>
            </w:pPr>
            <w:r>
              <w:rPr>
                <w:b w:val="1"/>
                <w:bCs w:val="1"/>
                <w:color w:val="ffffff"/>
                <w:sz w:val="19"/>
                <w:szCs w:val="19"/>
                <w:rtl w:val="0"/>
              </w:rPr>
              <w:t xml:space="preserve">Durée de conservation</w:t>
            </w:r>
            <w:r>
              <w:rPr>
                <w:rtl w:val="0"/>
              </w:rPr>
            </w:r>
          </w:p>
        </w:tc>
        <w:tc>
          <w:tcPr>
            <w:shd w:fill="1f2937" w:val="clear"/>
            <w:tcMar>
              <w:top w:w="80.0" w:type="dxa"/>
              <w:left w:w="110.0" w:type="dxa"/>
              <w:bottom w:w="80.0" w:type="dxa"/>
              <w:right w:w="110.0" w:type="dxa"/>
            </w:tcMar>
            <w:vAlign w:val="center"/>
          </w:tcPr>
          <w:p w:rsidR="00000000" w:rsidDel="00000000" w:rsidP="00000000" w:rsidRDefault="00000000" w:rsidRPr="00000000" w14:paraId="000000C3">
            <w:pPr>
              <w:jc w:val="left"/>
              <w:rPr/>
            </w:pPr>
            <w:r>
              <w:rPr>
                <w:b w:val="1"/>
                <w:bCs w:val="1"/>
                <w:color w:val="ffffff"/>
                <w:sz w:val="19"/>
                <w:szCs w:val="19"/>
                <w:rtl w:val="0"/>
              </w:rPr>
              <w:t xml:space="preserve">Sort final</w:t>
            </w:r>
            <w:r>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C4">
            <w:pPr>
              <w:jc w:val="left"/>
              <w:rPr/>
            </w:pPr>
            <w:r>
              <w:rPr>
                <w:b w:val="0"/>
                <w:bCs w:val="0"/>
                <w:color w:val="000000"/>
                <w:sz w:val="19"/>
                <w:szCs w:val="19"/>
                <w:rtl w:val="0"/>
              </w:rPr>
              <w:t xml:space="preserve">BAAC (open data)</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C5">
            <w:pPr>
              <w:jc w:val="left"/>
              <w:rPr/>
            </w:pPr>
            <w:r>
              <w:rPr>
                <w:b w:val="0"/>
                <w:bCs w:val="0"/>
                <w:color w:val="000000"/>
                <w:sz w:val="19"/>
                <w:szCs w:val="19"/>
                <w:rtl w:val="0"/>
              </w:rPr>
              <w:t xml:space="preserve">Durée du projet</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C6">
            <w:pPr>
              <w:jc w:val="left"/>
              <w:rPr/>
            </w:pPr>
            <w:r>
              <w:rPr>
                <w:b w:val="0"/>
                <w:bCs w:val="0"/>
                <w:color w:val="000000"/>
                <w:sz w:val="19"/>
                <w:szCs w:val="19"/>
                <w:rtl w:val="0"/>
              </w:rPr>
              <w:t xml:space="preserve">Archivage</w:t>
            </w:r>
            <w:r>
              <w:rPr>
                <w:rtl w:val="0"/>
              </w:rPr>
            </w:r>
          </w:p>
        </w:tc>
      </w:tr>
      <w:tr>
        <w:trPr>
          <w:cantSplit w:val="0"/>
          <w:tblHeader w:val="0"/>
        </w:trPr>
        <w:tc>
          <w:tcPr>
            <w:shd w:fill="f3f4f6" w:val="clear"/>
            <w:tcMar>
              <w:top w:w="80.0" w:type="dxa"/>
              <w:left w:w="110.0" w:type="dxa"/>
              <w:bottom w:w="80.0" w:type="dxa"/>
              <w:right w:w="110.0" w:type="dxa"/>
            </w:tcMar>
            <w:vAlign w:val="center"/>
          </w:tcPr>
          <w:p w:rsidR="00000000" w:rsidDel="00000000" w:rsidP="00000000" w:rsidRDefault="00000000" w:rsidRPr="00000000" w14:paraId="000000C7">
            <w:pPr>
              <w:jc w:val="left"/>
              <w:rPr/>
            </w:pPr>
            <w:r>
              <w:rPr>
                <w:b w:val="0"/>
                <w:bCs w:val="0"/>
                <w:color w:val="000000"/>
                <w:sz w:val="19"/>
                <w:szCs w:val="19"/>
                <w:rtl w:val="0"/>
              </w:rPr>
              <w:t xml:space="preserve">Données opérationnelles temps réel</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C8">
            <w:pPr>
              <w:jc w:val="left"/>
              <w:rPr/>
            </w:pPr>
            <w:r>
              <w:rPr>
                <w:b w:val="0"/>
                <w:bCs w:val="0"/>
                <w:color w:val="000000"/>
                <w:sz w:val="19"/>
                <w:szCs w:val="19"/>
                <w:rtl w:val="0"/>
              </w:rPr>
              <w:t xml:space="preserve">Conservées le temps de l'intervention, puis anonymisées sous 30 jours</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C9">
            <w:pPr>
              <w:jc w:val="left"/>
              <w:rPr/>
            </w:pPr>
            <w:r>
              <w:rPr>
                <w:b w:val="0"/>
                <w:bCs w:val="0"/>
                <w:color w:val="000000"/>
                <w:sz w:val="19"/>
                <w:szCs w:val="19"/>
                <w:rtl w:val="0"/>
              </w:rPr>
              <w:t xml:space="preserve">Anonymisation</w:t>
            </w:r>
            <w:r>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CA">
            <w:pPr>
              <w:jc w:val="left"/>
              <w:rPr/>
            </w:pPr>
            <w:r>
              <w:rPr>
                <w:b w:val="0"/>
                <w:bCs w:val="0"/>
                <w:color w:val="000000"/>
                <w:sz w:val="19"/>
                <w:szCs w:val="19"/>
                <w:rtl w:val="0"/>
              </w:rPr>
              <w:t xml:space="preserve">Journaux de prédiction</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CB">
            <w:pPr>
              <w:jc w:val="left"/>
              <w:rPr/>
            </w:pPr>
            <w:r>
              <w:rPr>
                <w:b w:val="0"/>
                <w:bCs w:val="0"/>
                <w:color w:val="000000"/>
                <w:sz w:val="19"/>
                <w:szCs w:val="19"/>
                <w:rtl w:val="0"/>
              </w:rPr>
              <w:t xml:space="preserve">12 mois (audit / traçabilité)</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CC">
            <w:pPr>
              <w:jc w:val="left"/>
              <w:rPr/>
            </w:pPr>
            <w:r>
              <w:rPr>
                <w:b w:val="0"/>
                <w:bCs w:val="0"/>
                <w:color w:val="000000"/>
                <w:sz w:val="19"/>
                <w:szCs w:val="19"/>
                <w:rtl w:val="0"/>
              </w:rPr>
              <w:t xml:space="preserve">Suppression</w:t>
            </w:r>
            <w:r>
              <w:rPr>
                <w:rtl w:val="0"/>
              </w:rPr>
            </w:r>
          </w:p>
        </w:tc>
      </w:tr>
      <w:tr>
        <w:trPr>
          <w:cantSplit w:val="0"/>
          <w:tblHeader w:val="0"/>
        </w:trPr>
        <w:tc>
          <w:tcPr>
            <w:shd w:fill="f3f4f6" w:val="clear"/>
            <w:tcMar>
              <w:top w:w="80.0" w:type="dxa"/>
              <w:left w:w="110.0" w:type="dxa"/>
              <w:bottom w:w="80.0" w:type="dxa"/>
              <w:right w:w="110.0" w:type="dxa"/>
            </w:tcMar>
            <w:vAlign w:val="center"/>
          </w:tcPr>
          <w:p w:rsidR="00000000" w:rsidDel="00000000" w:rsidP="00000000" w:rsidRDefault="00000000" w:rsidRPr="00000000" w14:paraId="000000CD">
            <w:pPr>
              <w:jc w:val="left"/>
              <w:rPr/>
            </w:pPr>
            <w:r>
              <w:rPr>
                <w:b w:val="0"/>
                <w:bCs w:val="0"/>
                <w:color w:val="000000"/>
                <w:sz w:val="19"/>
                <w:szCs w:val="19"/>
                <w:rtl w:val="0"/>
              </w:rPr>
              <w:t xml:space="preserve">Modèles entraînés</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CE">
            <w:pPr>
              <w:jc w:val="left"/>
              <w:rPr/>
            </w:pPr>
            <w:r>
              <w:rPr>
                <w:b w:val="0"/>
                <w:bCs w:val="0"/>
                <w:color w:val="000000"/>
                <w:sz w:val="19"/>
                <w:szCs w:val="19"/>
                <w:rtl w:val="0"/>
              </w:rPr>
              <w:t xml:space="preserve">Versionnés (MLflow), conservés tant qu'actifs ou de référence</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CF">
            <w:pPr>
              <w:jc w:val="left"/>
              <w:rPr/>
            </w:pPr>
            <w:r>
              <w:rPr>
                <w:b w:val="0"/>
                <w:bCs w:val="0"/>
                <w:color w:val="000000"/>
                <w:sz w:val="19"/>
                <w:szCs w:val="19"/>
                <w:rtl w:val="0"/>
              </w:rPr>
              <w:t xml:space="preserve">Archivage</w:t>
            </w:r>
            <w:r>
              <w:rPr>
                <w:rtl w:val="0"/>
              </w:rPr>
            </w:r>
          </w:p>
        </w:tc>
      </w:tr>
    </w:tbl>
    <w:p w:rsidR="00000000" w:rsidDel="00000000" w:rsidP="00000000" w:rsidRDefault="00000000" w:rsidRPr="00000000" w14:paraId="000000D0">
      <w:pPr>
        <w:spacing w:after="80" w:lineRule="auto"/>
        <w:rPr/>
      </w:pPr>
      <w:r>
        <w:rPr>
          <w:rtl w:val="0"/>
        </w:rPr>
      </w:r>
    </w:p>
    <w:p w:rsidR="00000000" w:rsidDel="00000000" w:rsidP="00000000" w:rsidRDefault="00000000" w:rsidRPr="00000000" w14:paraId="000000D1">
      <w:pPr>
        <w:spacing w:after="160" w:lineRule="auto"/>
        <w:rPr/>
      </w:pPr>
      <w:r>
        <w:rPr>
          <w:i w:val="1"/>
          <w:iCs w:val="1"/>
          <w:color w:val="595959"/>
          <w:sz w:val="19"/>
          <w:szCs w:val="19"/>
          <w:rtl w:val="0"/>
        </w:rPr>
        <w:t xml:space="preserve">Durées définies avec le DPO ; révisées à chaque évolution du traitement.</w:t>
      </w:r>
      <w:r>
        <w:rPr>
          <w:rtl w:val="0"/>
        </w:rPr>
      </w:r>
    </w:p>
    <w:p w:rsidR="00000000" w:rsidDel="00000000" w:rsidP="00000000" w:rsidRDefault="00000000" w:rsidRPr="00000000" w14:paraId="000000D2">
      <w:pPr>
        <w:pStyle w:val="Heading2"/>
        <w:rPr/>
      </w:pPr>
      <w:r>
        <w:rPr>
          <w:rtl w:val="0"/>
        </w:rPr>
        <w:t xml:space="preserve">Registre des traitements</w:t>
      </w:r>
    </w:p>
    <w:p w:rsidR="00000000" w:rsidDel="00000000" w:rsidP="00000000" w:rsidRDefault="00000000" w:rsidRPr="00000000" w14:paraId="000000D3">
      <w:pPr>
        <w:spacing w:after="160" w:line="276" w:lineRule="auto"/>
        <w:rPr/>
      </w:pPr>
      <w:r>
        <w:rPr>
          <w:rtl w:val="0"/>
        </w:rPr>
        <w:t xml:space="preserve">Le traitement « scoring de gravité d'accident » est inscrit au registre des traitements (art. 30 RGPD), précisant : la finalité (aide à la priorisation des secours), la base légale (art. 6.1.e et 9.2.i), les catégories de données (personnelles + santé), les destinataires (opérateurs habilités), les durées de conservation (ci-dessus) et les mesures de sécurité (§7). Le registre est tenu à jour par le DPO et révisé à chaque évolution du traitement.</w:t>
      </w:r>
    </w:p>
    <w:p w:rsidR="00000000" w:rsidDel="00000000" w:rsidP="00000000" w:rsidRDefault="00000000" w:rsidRPr="00000000" w14:paraId="000000D4">
      <w:pPr>
        <w:pStyle w:val="Heading1"/>
        <w:rPr/>
      </w:pPr>
      <w:r>
        <w:rPr>
          <w:rtl w:val="0"/>
        </w:rPr>
        <w:t xml:space="preserve">10. Droits des personnes concernées</w:t>
      </w:r>
    </w:p>
    <w:p w:rsidR="00000000" w:rsidDel="00000000" w:rsidP="00000000" w:rsidRDefault="00000000" w:rsidRPr="00000000" w14:paraId="000000D5">
      <w:pPr>
        <w:spacing w:after="160" w:line="276" w:lineRule="auto"/>
        <w:rPr/>
      </w:pPr>
      <w:r>
        <w:rPr>
          <w:rtl w:val="0"/>
        </w:rPr>
        <w:t xml:space="preserve">Procédures pour répondre aux demandes d'accès, rectification, suppression, opposition et limitation :</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point de contact DPO publié ;</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délai de réponse d'un mois (RGPD) ;</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registre des demandes ;</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vérification d'identité du demandeur.</w:t>
      </w:r>
    </w:p>
    <w:p w:rsidR="00000000" w:rsidDel="00000000" w:rsidP="00000000" w:rsidRDefault="00000000" w:rsidRPr="00000000" w14:paraId="000000DA">
      <w:pPr>
        <w:spacing w:after="160" w:line="276" w:lineRule="auto"/>
        <w:rPr>
          <w:i w:val="1"/>
          <w:iCs w:val="1"/>
          <w:color w:val="595959"/>
        </w:rPr>
      </w:pPr>
      <w:r>
        <w:rPr>
          <w:i w:val="1"/>
          <w:iCs w:val="1"/>
          <w:color w:val="595959"/>
          <w:rtl w:val="0"/>
        </w:rPr>
        <w:t xml:space="preserve">Le système GRAVIA repose sur une décision humaine finale (art. 22 RGPD) : pas de décision entièrement automatisée à effet juridique sur la personne.</w:t>
      </w:r>
      <w:r>
        <w:br w:type="page"/>
      </w:r>
      <w:r>
        <w:rPr>
          <w:rtl w:val="0"/>
        </w:rPr>
      </w:r>
    </w:p>
    <w:p w:rsidR="00000000" w:rsidDel="00000000" w:rsidP="00000000" w:rsidRDefault="00000000" w:rsidRPr="00000000" w14:paraId="000000DB">
      <w:pPr>
        <w:spacing w:after="160" w:line="276" w:lineRule="auto"/>
        <w:rPr>
          <w:i w:val="1"/>
          <w:iCs w:val="1"/>
          <w:color w:val="595959"/>
        </w:rPr>
      </w:pPr>
      <w:r>
        <w:rPr>
          <w:rtl w:val="0"/>
        </w:rPr>
      </w:r>
    </w:p>
    <w:p w:rsidR="00000000" w:rsidDel="00000000" w:rsidP="00000000" w:rsidRDefault="00000000" w:rsidRPr="00000000" w14:paraId="000000DC">
      <w:pPr>
        <w:pStyle w:val="Heading1"/>
        <w:rPr/>
      </w:pPr>
      <w:r>
        <w:rPr>
          <w:rtl w:val="0"/>
        </w:rPr>
        <w:t xml:space="preserve">11. Gestion des violations de données</w:t>
      </w:r>
    </w:p>
    <w:p w:rsidR="00000000" w:rsidDel="00000000" w:rsidP="00000000" w:rsidRDefault="00000000" w:rsidRPr="00000000" w14:paraId="000000DD">
      <w:pPr>
        <w:spacing w:after="160" w:line="276" w:lineRule="auto"/>
        <w:rPr/>
      </w:pPr>
      <w:r>
        <w:rPr>
          <w:rtl w:val="0"/>
        </w:rPr>
        <w:t xml:space="preserve">Procédure en cas de violation :</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Détection (monitoring, alerte) et qualification de la gravité.</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Confinement et mesures correctives immédiates (RSSI).</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Notification CNIL sous </w:t>
      </w:r>
      <w:r>
        <w:rPr>
          <w:rtl w:val="0"/>
        </w:rPr>
        <w:t xml:space="preserve">72h</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si risque pour les droits et libertés (DPO).</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Information des personnes concernées si risque élevé.</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Journalisation dans le registre des violations et retour d'expérience.</w:t>
      </w:r>
    </w:p>
    <w:p w:rsidR="00000000" w:rsidDel="00000000" w:rsidP="00000000" w:rsidRDefault="00000000" w:rsidRPr="00000000" w14:paraId="000000E3">
      <w:pPr>
        <w:pStyle w:val="Heading1"/>
        <w:rPr/>
      </w:pPr>
      <w:r>
        <w:rPr>
          <w:rtl w:val="0"/>
        </w:rPr>
        <w:t xml:space="preserve">12. Audits et contrôles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 interne annuel des pratiques de gestion des données (DPO + RSSI).</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Revue de conformité à chaque évolution majeure du traitement.</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Contrôles automatisés continus (qualité des données, dérive, sécurité).</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Plan d'action correctif suivi jusqu'à clôture.</w:t>
      </w:r>
    </w:p>
    <w:p w:rsidR="00000000" w:rsidDel="00000000" w:rsidP="00000000" w:rsidRDefault="00000000" w:rsidRPr="00000000" w14:paraId="000000E8">
      <w:pPr>
        <w:pStyle w:val="Heading1"/>
        <w:rPr/>
      </w:pPr>
      <w:r>
        <w:rPr>
          <w:rtl w:val="0"/>
        </w:rPr>
        <w:t xml:space="preserve">13. Formation, sensibilisation et accessibilité</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Sensibilisation de tous les collaborateurs aux principes RGPD et sécurité (à l'arrivée puis annuellement).</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Formation ciblée des équipes techniques (pseudonymisation, gestion des secrets, anti-leakage).</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Accessibilité (RGAA) : supports de formation et documentation fournis en formats accessibles (contrastes, structure de titres, alternatives textuelles), conditions adaptées aux personnes en situation de handicap.</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Conduite du changement : implication des opérateurs de secours en amont, communication sur le rôle d'aide (et non de remplacement) du système.</w:t>
      </w:r>
    </w:p>
    <w:p w:rsidR="00000000" w:rsidDel="00000000" w:rsidP="00000000" w:rsidRDefault="00000000" w:rsidRPr="00000000" w14:paraId="000000ED">
      <w:pPr>
        <w:pStyle w:val="Heading1"/>
        <w:rPr/>
      </w:pPr>
      <w:r>
        <w:rPr>
          <w:rtl w:val="0"/>
        </w:rPr>
        <w:t xml:space="preserve">14. Gestion des risques et plans de contingence</w:t>
      </w:r>
    </w:p>
    <w:tbl>
      <w:tblPr>
        <w:tblStyle w:val="Table9"/>
        <w:tblW w:w="9638.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400"/>
        <w:gridCol w:w="1200"/>
        <w:gridCol w:w="2800"/>
        <w:gridCol w:w="3238"/>
        <w:tblGridChange w:id="0">
          <w:tblGrid>
            <w:gridCol w:w="2400"/>
            <w:gridCol w:w="1200"/>
            <w:gridCol w:w="2800"/>
            <w:gridCol w:w="3238"/>
          </w:tblGrid>
        </w:tblGridChange>
      </w:tblGrid>
      <w:tr>
        <w:trPr>
          <w:cantSplit w:val="0"/>
          <w:tblHeader w:val="1"/>
        </w:trPr>
        <w:tc>
          <w:tcPr>
            <w:shd w:fill="1f2937" w:val="clear"/>
            <w:tcMar>
              <w:top w:w="80.0" w:type="dxa"/>
              <w:left w:w="110.0" w:type="dxa"/>
              <w:bottom w:w="80.0" w:type="dxa"/>
              <w:right w:w="110.0" w:type="dxa"/>
            </w:tcMar>
            <w:vAlign w:val="center"/>
          </w:tcPr>
          <w:p w:rsidR="00000000" w:rsidDel="00000000" w:rsidP="00000000" w:rsidRDefault="00000000" w:rsidRPr="00000000" w14:paraId="000000EE">
            <w:pPr>
              <w:jc w:val="left"/>
              <w:rPr/>
            </w:pPr>
            <w:r>
              <w:rPr>
                <w:b w:val="1"/>
                <w:bCs w:val="1"/>
                <w:color w:val="ffffff"/>
                <w:sz w:val="19"/>
                <w:szCs w:val="19"/>
                <w:rtl w:val="0"/>
              </w:rPr>
              <w:t xml:space="preserve">Risque</w:t>
            </w:r>
            <w:r>
              <w:rPr>
                <w:rtl w:val="0"/>
              </w:rPr>
            </w:r>
          </w:p>
        </w:tc>
        <w:tc>
          <w:tcPr>
            <w:shd w:fill="1f2937" w:val="clear"/>
            <w:tcMar>
              <w:top w:w="80.0" w:type="dxa"/>
              <w:left w:w="110.0" w:type="dxa"/>
              <w:bottom w:w="80.0" w:type="dxa"/>
              <w:right w:w="110.0" w:type="dxa"/>
            </w:tcMar>
            <w:vAlign w:val="center"/>
          </w:tcPr>
          <w:p w:rsidR="00000000" w:rsidDel="00000000" w:rsidP="00000000" w:rsidRDefault="00000000" w:rsidRPr="00000000" w14:paraId="000000EF">
            <w:pPr>
              <w:jc w:val="left"/>
              <w:rPr/>
            </w:pPr>
            <w:r>
              <w:rPr>
                <w:b w:val="1"/>
                <w:bCs w:val="1"/>
                <w:color w:val="ffffff"/>
                <w:sz w:val="19"/>
                <w:szCs w:val="19"/>
                <w:rtl w:val="0"/>
              </w:rPr>
              <w:t xml:space="preserve">Gravité</w:t>
            </w:r>
            <w:r>
              <w:rPr>
                <w:rtl w:val="0"/>
              </w:rPr>
            </w:r>
          </w:p>
        </w:tc>
        <w:tc>
          <w:tcPr>
            <w:shd w:fill="1f2937" w:val="clear"/>
            <w:tcMar>
              <w:top w:w="80.0" w:type="dxa"/>
              <w:left w:w="110.0" w:type="dxa"/>
              <w:bottom w:w="80.0" w:type="dxa"/>
              <w:right w:w="110.0" w:type="dxa"/>
            </w:tcMar>
            <w:vAlign w:val="center"/>
          </w:tcPr>
          <w:p w:rsidR="00000000" w:rsidDel="00000000" w:rsidP="00000000" w:rsidRDefault="00000000" w:rsidRPr="00000000" w14:paraId="000000F0">
            <w:pPr>
              <w:jc w:val="left"/>
              <w:rPr/>
            </w:pPr>
            <w:r>
              <w:rPr>
                <w:b w:val="1"/>
                <w:bCs w:val="1"/>
                <w:color w:val="ffffff"/>
                <w:sz w:val="19"/>
                <w:szCs w:val="19"/>
                <w:rtl w:val="0"/>
              </w:rPr>
              <w:t xml:space="preserve">Stratégie de gestion</w:t>
            </w:r>
            <w:r>
              <w:rPr>
                <w:rtl w:val="0"/>
              </w:rPr>
            </w:r>
          </w:p>
        </w:tc>
        <w:tc>
          <w:tcPr>
            <w:shd w:fill="1f2937" w:val="clear"/>
            <w:tcMar>
              <w:top w:w="80.0" w:type="dxa"/>
              <w:left w:w="110.0" w:type="dxa"/>
              <w:bottom w:w="80.0" w:type="dxa"/>
              <w:right w:w="110.0" w:type="dxa"/>
            </w:tcMar>
            <w:vAlign w:val="center"/>
          </w:tcPr>
          <w:p w:rsidR="00000000" w:rsidDel="00000000" w:rsidP="00000000" w:rsidRDefault="00000000" w:rsidRPr="00000000" w14:paraId="000000F1">
            <w:pPr>
              <w:jc w:val="left"/>
              <w:rPr/>
            </w:pPr>
            <w:r>
              <w:rPr>
                <w:b w:val="1"/>
                <w:bCs w:val="1"/>
                <w:color w:val="ffffff"/>
                <w:sz w:val="19"/>
                <w:szCs w:val="19"/>
                <w:rtl w:val="0"/>
              </w:rPr>
              <w:t xml:space="preserve">Plan de contingence</w:t>
            </w:r>
            <w:r>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F2">
            <w:pPr>
              <w:jc w:val="left"/>
              <w:rPr/>
            </w:pPr>
            <w:r>
              <w:rPr>
                <w:b w:val="0"/>
                <w:bCs w:val="0"/>
                <w:color w:val="000000"/>
                <w:sz w:val="19"/>
                <w:szCs w:val="19"/>
                <w:rtl w:val="0"/>
              </w:rPr>
              <w:t xml:space="preserve">Ré-identification d'une victime</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F3">
            <w:pPr>
              <w:jc w:val="left"/>
              <w:rPr/>
            </w:pPr>
            <w:r>
              <w:rPr>
                <w:b w:val="0"/>
                <w:bCs w:val="0"/>
                <w:color w:val="000000"/>
                <w:sz w:val="19"/>
                <w:szCs w:val="19"/>
                <w:rtl w:val="0"/>
              </w:rPr>
              <w:t xml:space="preserve">Élevée</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F4">
            <w:pPr>
              <w:jc w:val="left"/>
              <w:rPr/>
            </w:pPr>
            <w:r>
              <w:rPr>
                <w:b w:val="0"/>
                <w:bCs w:val="0"/>
                <w:color w:val="000000"/>
                <w:sz w:val="19"/>
                <w:szCs w:val="19"/>
                <w:rtl w:val="0"/>
              </w:rPr>
              <w:t xml:space="preserve">Pseudonymisation, agrégation géo</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F5">
            <w:pPr>
              <w:jc w:val="left"/>
              <w:rPr/>
            </w:pPr>
            <w:r>
              <w:rPr>
                <w:b w:val="0"/>
                <w:bCs w:val="0"/>
                <w:color w:val="000000"/>
                <w:sz w:val="19"/>
                <w:szCs w:val="19"/>
                <w:rtl w:val="0"/>
              </w:rPr>
              <w:t xml:space="preserve">Notification, retrait des données concernées</w:t>
            </w:r>
            <w:r>
              <w:rPr>
                <w:rtl w:val="0"/>
              </w:rPr>
            </w:r>
          </w:p>
        </w:tc>
      </w:tr>
      <w:tr>
        <w:trPr>
          <w:cantSplit w:val="0"/>
          <w:tblHeader w:val="0"/>
        </w:trPr>
        <w:tc>
          <w:tcPr>
            <w:shd w:fill="f3f4f6" w:val="clear"/>
            <w:tcMar>
              <w:top w:w="80.0" w:type="dxa"/>
              <w:left w:w="110.0" w:type="dxa"/>
              <w:bottom w:w="80.0" w:type="dxa"/>
              <w:right w:w="110.0" w:type="dxa"/>
            </w:tcMar>
            <w:vAlign w:val="center"/>
          </w:tcPr>
          <w:p w:rsidR="00000000" w:rsidDel="00000000" w:rsidP="00000000" w:rsidRDefault="00000000" w:rsidRPr="00000000" w14:paraId="000000F6">
            <w:pPr>
              <w:jc w:val="left"/>
              <w:rPr/>
            </w:pPr>
            <w:r>
              <w:rPr>
                <w:b w:val="0"/>
                <w:bCs w:val="0"/>
                <w:color w:val="000000"/>
                <w:sz w:val="19"/>
                <w:szCs w:val="19"/>
                <w:rtl w:val="0"/>
              </w:rPr>
              <w:t xml:space="preserve">Violation de données (fuite)</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F7">
            <w:pPr>
              <w:jc w:val="left"/>
              <w:rPr/>
            </w:pPr>
            <w:r>
              <w:rPr>
                <w:b w:val="0"/>
                <w:bCs w:val="0"/>
                <w:color w:val="000000"/>
                <w:sz w:val="19"/>
                <w:szCs w:val="19"/>
                <w:rtl w:val="0"/>
              </w:rPr>
              <w:t xml:space="preserve">Élevée</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F8">
            <w:pPr>
              <w:jc w:val="left"/>
              <w:rPr/>
            </w:pPr>
            <w:r>
              <w:rPr>
                <w:b w:val="0"/>
                <w:bCs w:val="0"/>
                <w:color w:val="000000"/>
                <w:sz w:val="19"/>
                <w:szCs w:val="19"/>
                <w:rtl w:val="0"/>
              </w:rPr>
              <w:t xml:space="preserve">Chiffrement, accès restreint</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F9">
            <w:pPr>
              <w:jc w:val="left"/>
              <w:rPr/>
            </w:pPr>
            <w:r>
              <w:rPr>
                <w:b w:val="0"/>
                <w:bCs w:val="0"/>
                <w:color w:val="000000"/>
                <w:sz w:val="19"/>
                <w:szCs w:val="19"/>
                <w:rtl w:val="0"/>
              </w:rPr>
              <w:t xml:space="preserve">Procédure §11, notification CNIL</w:t>
            </w:r>
            <w:r>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FA">
            <w:pPr>
              <w:jc w:val="left"/>
              <w:rPr/>
            </w:pPr>
            <w:r>
              <w:rPr>
                <w:b w:val="0"/>
                <w:bCs w:val="0"/>
                <w:color w:val="000000"/>
                <w:sz w:val="19"/>
                <w:szCs w:val="19"/>
                <w:rtl w:val="0"/>
              </w:rPr>
              <w:t xml:space="preserve">Biais discriminatoire du modèle</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FB">
            <w:pPr>
              <w:jc w:val="left"/>
              <w:rPr/>
            </w:pPr>
            <w:r>
              <w:rPr>
                <w:b w:val="0"/>
                <w:bCs w:val="0"/>
                <w:color w:val="000000"/>
                <w:sz w:val="19"/>
                <w:szCs w:val="19"/>
                <w:rtl w:val="0"/>
              </w:rPr>
              <w:t xml:space="preserve">Élevée</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FC">
            <w:pPr>
              <w:jc w:val="left"/>
              <w:rPr/>
            </w:pPr>
            <w:r>
              <w:rPr>
                <w:b w:val="0"/>
                <w:bCs w:val="0"/>
                <w:color w:val="000000"/>
                <w:sz w:val="19"/>
                <w:szCs w:val="19"/>
                <w:rtl w:val="0"/>
              </w:rPr>
              <w:t xml:space="preserve">Tests d'équité, atténuation, human-in-the-loop</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0FD">
            <w:pPr>
              <w:jc w:val="left"/>
              <w:rPr/>
            </w:pPr>
            <w:r>
              <w:rPr>
                <w:b w:val="0"/>
                <w:bCs w:val="0"/>
                <w:color w:val="000000"/>
                <w:sz w:val="19"/>
                <w:szCs w:val="19"/>
                <w:rtl w:val="0"/>
              </w:rPr>
              <w:t xml:space="preserve">Suspension du scoring, réentraînement</w:t>
            </w:r>
            <w:r>
              <w:rPr>
                <w:rtl w:val="0"/>
              </w:rPr>
            </w:r>
          </w:p>
        </w:tc>
      </w:tr>
      <w:tr>
        <w:trPr>
          <w:cantSplit w:val="0"/>
          <w:tblHeader w:val="0"/>
        </w:trPr>
        <w:tc>
          <w:tcPr>
            <w:shd w:fill="f3f4f6" w:val="clear"/>
            <w:tcMar>
              <w:top w:w="80.0" w:type="dxa"/>
              <w:left w:w="110.0" w:type="dxa"/>
              <w:bottom w:w="80.0" w:type="dxa"/>
              <w:right w:w="110.0" w:type="dxa"/>
            </w:tcMar>
            <w:vAlign w:val="center"/>
          </w:tcPr>
          <w:p w:rsidR="00000000" w:rsidDel="00000000" w:rsidP="00000000" w:rsidRDefault="00000000" w:rsidRPr="00000000" w14:paraId="000000FE">
            <w:pPr>
              <w:jc w:val="left"/>
              <w:rPr/>
            </w:pPr>
            <w:r>
              <w:rPr>
                <w:b w:val="0"/>
                <w:bCs w:val="0"/>
                <w:color w:val="000000"/>
                <w:sz w:val="19"/>
                <w:szCs w:val="19"/>
                <w:rtl w:val="0"/>
              </w:rPr>
              <w:t xml:space="preserve">Dérive des données</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0FF">
            <w:pPr>
              <w:jc w:val="left"/>
              <w:rPr/>
            </w:pPr>
            <w:r>
              <w:rPr>
                <w:b w:val="0"/>
                <w:bCs w:val="0"/>
                <w:color w:val="000000"/>
                <w:sz w:val="19"/>
                <w:szCs w:val="19"/>
                <w:rtl w:val="0"/>
              </w:rPr>
              <w:t xml:space="preserve">Moyenne</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100">
            <w:pPr>
              <w:jc w:val="left"/>
              <w:rPr/>
            </w:pPr>
            <w:r>
              <w:rPr>
                <w:b w:val="0"/>
                <w:bCs w:val="0"/>
                <w:color w:val="000000"/>
                <w:sz w:val="19"/>
                <w:szCs w:val="19"/>
                <w:rtl w:val="0"/>
              </w:rPr>
              <w:t xml:space="preserve">Monitoring Evidently (lancé à la main)</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101">
            <w:pPr>
              <w:jc w:val="left"/>
              <w:rPr/>
            </w:pPr>
            <w:r>
              <w:rPr>
                <w:b w:val="0"/>
                <w:bCs w:val="0"/>
                <w:color w:val="000000"/>
                <w:sz w:val="19"/>
                <w:szCs w:val="19"/>
                <w:rtl w:val="0"/>
              </w:rPr>
              <w:t xml:space="preserve">Réentraînement manuel/calendaire (trimestriel)</w:t>
            </w:r>
            <w:r>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02">
            <w:pPr>
              <w:jc w:val="left"/>
              <w:rPr/>
            </w:pPr>
            <w:r>
              <w:rPr>
                <w:b w:val="0"/>
                <w:bCs w:val="0"/>
                <w:color w:val="000000"/>
                <w:sz w:val="19"/>
                <w:szCs w:val="19"/>
                <w:rtl w:val="0"/>
              </w:rPr>
              <w:t xml:space="preserve">Indisponibilité de l'API</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103">
            <w:pPr>
              <w:jc w:val="left"/>
              <w:rPr/>
            </w:pPr>
            <w:r>
              <w:rPr>
                <w:b w:val="0"/>
                <w:bCs w:val="0"/>
                <w:color w:val="000000"/>
                <w:sz w:val="19"/>
                <w:szCs w:val="19"/>
                <w:rtl w:val="0"/>
              </w:rPr>
              <w:t xml:space="preserve">Moyenne</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104">
            <w:pPr>
              <w:jc w:val="left"/>
              <w:rPr/>
            </w:pPr>
            <w:r>
              <w:rPr>
                <w:b w:val="0"/>
                <w:bCs w:val="0"/>
                <w:color w:val="000000"/>
                <w:sz w:val="19"/>
                <w:szCs w:val="19"/>
                <w:rtl w:val="0"/>
              </w:rPr>
              <w:t xml:space="preserve">Redondance, supervision</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105">
            <w:pPr>
              <w:jc w:val="left"/>
              <w:rPr/>
            </w:pPr>
            <w:r>
              <w:rPr>
                <w:b w:val="0"/>
                <w:bCs w:val="0"/>
                <w:color w:val="000000"/>
                <w:sz w:val="19"/>
                <w:szCs w:val="19"/>
                <w:rtl w:val="0"/>
              </w:rPr>
              <w:t xml:space="preserve">Bascule mode dégradé (décision humaine seule)</w:t>
            </w:r>
            <w:r>
              <w:rPr>
                <w:rtl w:val="0"/>
              </w:rPr>
            </w:r>
          </w:p>
        </w:tc>
      </w:tr>
      <w:tr>
        <w:trPr>
          <w:cantSplit w:val="0"/>
          <w:tblHeader w:val="0"/>
        </w:trPr>
        <w:tc>
          <w:tcPr>
            <w:shd w:fill="f3f4f6" w:val="clear"/>
            <w:tcMar>
              <w:top w:w="80.0" w:type="dxa"/>
              <w:left w:w="110.0" w:type="dxa"/>
              <w:bottom w:w="80.0" w:type="dxa"/>
              <w:right w:w="110.0" w:type="dxa"/>
            </w:tcMar>
            <w:vAlign w:val="center"/>
          </w:tcPr>
          <w:p w:rsidR="00000000" w:rsidDel="00000000" w:rsidP="00000000" w:rsidRDefault="00000000" w:rsidRPr="00000000" w14:paraId="00000106">
            <w:pPr>
              <w:jc w:val="left"/>
              <w:rPr/>
            </w:pPr>
            <w:r>
              <w:rPr>
                <w:b w:val="0"/>
                <w:bCs w:val="0"/>
                <w:color w:val="000000"/>
                <w:sz w:val="19"/>
                <w:szCs w:val="19"/>
                <w:rtl w:val="0"/>
              </w:rPr>
              <w:t xml:space="preserve">Erreur humaine de manipulation</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107">
            <w:pPr>
              <w:jc w:val="left"/>
              <w:rPr/>
            </w:pPr>
            <w:r>
              <w:rPr>
                <w:b w:val="0"/>
                <w:bCs w:val="0"/>
                <w:color w:val="000000"/>
                <w:sz w:val="19"/>
                <w:szCs w:val="19"/>
                <w:rtl w:val="0"/>
              </w:rPr>
              <w:t xml:space="preserve">Moyenne</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108">
            <w:pPr>
              <w:jc w:val="left"/>
              <w:rPr/>
            </w:pPr>
            <w:r>
              <w:rPr>
                <w:b w:val="0"/>
                <w:bCs w:val="0"/>
                <w:color w:val="000000"/>
                <w:sz w:val="19"/>
                <w:szCs w:val="19"/>
                <w:rtl w:val="0"/>
              </w:rPr>
              <w:t xml:space="preserve">Formation, moindre privilège</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109">
            <w:pPr>
              <w:jc w:val="left"/>
              <w:rPr/>
            </w:pPr>
            <w:r>
              <w:rPr>
                <w:b w:val="0"/>
                <w:bCs w:val="0"/>
                <w:color w:val="000000"/>
                <w:sz w:val="19"/>
                <w:szCs w:val="19"/>
                <w:rtl w:val="0"/>
              </w:rPr>
              <w:t xml:space="preserve">Restauration depuis sauvegarde</w:t>
            </w:r>
            <w:r>
              <w:rPr>
                <w:rtl w:val="0"/>
              </w:rPr>
            </w:r>
          </w:p>
        </w:tc>
      </w:tr>
    </w:tbl>
    <w:p w:rsidR="00000000" w:rsidDel="00000000" w:rsidP="00000000" w:rsidRDefault="00000000" w:rsidRPr="00000000" w14:paraId="0000010A">
      <w:pPr>
        <w:pStyle w:val="Heading1"/>
        <w:rPr/>
      </w:pPr>
      <w:r>
        <w:br w:type="page"/>
      </w:r>
      <w:r>
        <w:rPr>
          <w:rtl w:val="0"/>
        </w:rPr>
      </w:r>
    </w:p>
    <w:p w:rsidR="00000000" w:rsidDel="00000000" w:rsidP="00000000" w:rsidRDefault="00000000" w:rsidRPr="00000000" w14:paraId="0000010B">
      <w:pPr>
        <w:pStyle w:val="Heading1"/>
        <w:rPr/>
      </w:pPr>
      <w:r>
        <w:rPr>
          <w:rtl w:val="0"/>
        </w:rPr>
        <w:t xml:space="preserve">15. Amélioration continue</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Révision annuelle de la politique et après toute évolution réglementaire (RGPD, AI Act).</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Veille réglementaire portée par le DPO.</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Indicateurs de gouvernance suivis (taux de conformité qualité, délais de réponse aux demandes, incidents).</w:t>
      </w:r>
    </w:p>
    <w:p w:rsidR="00000000" w:rsidDel="00000000" w:rsidP="00000000" w:rsidRDefault="00000000" w:rsidRPr="00000000" w14:paraId="0000010F">
      <w:pPr>
        <w:pStyle w:val="Heading1"/>
        <w:rPr/>
      </w:pPr>
      <w:r>
        <w:rPr>
          <w:rtl w:val="0"/>
        </w:rPr>
        <w:t xml:space="preserve">16. Références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Cahier des charges GRAVIA · Architecture GRAVIA · AIPD GRAVIA</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RGPD, Règlement (UE) 2016/679 (art. 6, 9, 22, 33, 34, 35)</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Loi n° 78-17 Informatique et Libertés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ISO/IEC 27001 · Recommandations ANSSI · RGAA</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Méthodologie AIPD (CNIL)</w:t>
      </w:r>
      <w:r>
        <w:rPr>
          <w:rtl w:val="0"/>
        </w:rPr>
      </w:r>
    </w:p>
    <w:p w:rsidR="00000000" w:rsidDel="00000000" w:rsidP="00000000" w:rsidRDefault="00000000" w:rsidRPr="00000000" w14:paraId="00000115">
      <w:pPr>
        <w:pStyle w:val="Heading1"/>
        <w:rPr/>
      </w:pPr>
      <w:r>
        <w:rPr>
          <w:rtl w:val="0"/>
        </w:rPr>
        <w:t xml:space="preserve">Annexe — Correspondance avec le référentiel (Bloc 1)</w:t>
      </w:r>
    </w:p>
    <w:tbl>
      <w:tblPr>
        <w:tblStyle w:val="Table10"/>
        <w:tblW w:w="9638.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4200"/>
        <w:gridCol w:w="5438"/>
        <w:tblGridChange w:id="0">
          <w:tblGrid>
            <w:gridCol w:w="4200"/>
            <w:gridCol w:w="5438"/>
          </w:tblGrid>
        </w:tblGridChange>
      </w:tblGrid>
      <w:tr>
        <w:trPr>
          <w:cantSplit w:val="0"/>
          <w:tblHeader w:val="1"/>
        </w:trPr>
        <w:tc>
          <w:tcPr>
            <w:shd w:fill="1f2937" w:val="clear"/>
            <w:tcMar>
              <w:top w:w="80.0" w:type="dxa"/>
              <w:left w:w="110.0" w:type="dxa"/>
              <w:bottom w:w="80.0" w:type="dxa"/>
              <w:right w:w="110.0" w:type="dxa"/>
            </w:tcMar>
            <w:vAlign w:val="center"/>
          </w:tcPr>
          <w:p w:rsidR="00000000" w:rsidDel="00000000" w:rsidP="00000000" w:rsidRDefault="00000000" w:rsidRPr="00000000" w14:paraId="00000116">
            <w:pPr>
              <w:jc w:val="left"/>
              <w:rPr/>
            </w:pPr>
            <w:r>
              <w:rPr>
                <w:b w:val="1"/>
                <w:bCs w:val="1"/>
                <w:color w:val="ffffff"/>
                <w:sz w:val="19"/>
                <w:szCs w:val="19"/>
                <w:rtl w:val="0"/>
              </w:rPr>
              <w:t xml:space="preserve">Compétence</w:t>
            </w:r>
            <w:r>
              <w:rPr>
                <w:rtl w:val="0"/>
              </w:rPr>
            </w:r>
          </w:p>
        </w:tc>
        <w:tc>
          <w:tcPr>
            <w:shd w:fill="1f2937" w:val="clear"/>
            <w:tcMar>
              <w:top w:w="80.0" w:type="dxa"/>
              <w:left w:w="110.0" w:type="dxa"/>
              <w:bottom w:w="80.0" w:type="dxa"/>
              <w:right w:w="110.0" w:type="dxa"/>
            </w:tcMar>
            <w:vAlign w:val="center"/>
          </w:tcPr>
          <w:p w:rsidR="00000000" w:rsidDel="00000000" w:rsidP="00000000" w:rsidRDefault="00000000" w:rsidRPr="00000000" w14:paraId="00000117">
            <w:pPr>
              <w:jc w:val="left"/>
              <w:rPr/>
            </w:pPr>
            <w:r>
              <w:rPr>
                <w:b w:val="1"/>
                <w:bCs w:val="1"/>
                <w:color w:val="ffffff"/>
                <w:sz w:val="19"/>
                <w:szCs w:val="19"/>
                <w:rtl w:val="0"/>
              </w:rPr>
              <w:t xml:space="preserve">Couverture dans ce document</w:t>
            </w:r>
            <w:r>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18">
            <w:pPr>
              <w:jc w:val="left"/>
              <w:rPr/>
            </w:pPr>
            <w:r>
              <w:rPr>
                <w:b w:val="0"/>
                <w:bCs w:val="0"/>
                <w:color w:val="000000"/>
                <w:sz w:val="19"/>
                <w:szCs w:val="19"/>
                <w:rtl w:val="0"/>
              </w:rPr>
              <w:t xml:space="preserve">C1.1 — Concevoir une politique de Data Gouvernance avec les parties prenantes</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119">
            <w:pPr>
              <w:jc w:val="left"/>
              <w:rPr/>
            </w:pPr>
            <w:r>
              <w:rPr>
                <w:b w:val="0"/>
                <w:bCs w:val="0"/>
                <w:color w:val="000000"/>
                <w:sz w:val="19"/>
                <w:szCs w:val="19"/>
                <w:rtl w:val="0"/>
              </w:rPr>
              <w:t xml:space="preserve">Ce document dans son ensemble ; parties prenantes impliquées §5</w:t>
            </w:r>
            <w:r>
              <w:rPr>
                <w:rtl w:val="0"/>
              </w:rPr>
            </w:r>
          </w:p>
        </w:tc>
      </w:tr>
      <w:tr>
        <w:trPr>
          <w:cantSplit w:val="0"/>
          <w:tblHeader w:val="0"/>
        </w:trPr>
        <w:tc>
          <w:tcPr>
            <w:shd w:fill="f3f4f6" w:val="clear"/>
            <w:tcMar>
              <w:top w:w="80.0" w:type="dxa"/>
              <w:left w:w="110.0" w:type="dxa"/>
              <w:bottom w:w="80.0" w:type="dxa"/>
              <w:right w:w="110.0" w:type="dxa"/>
            </w:tcMar>
            <w:vAlign w:val="center"/>
          </w:tcPr>
          <w:p w:rsidR="00000000" w:rsidDel="00000000" w:rsidP="00000000" w:rsidRDefault="00000000" w:rsidRPr="00000000" w14:paraId="0000011A">
            <w:pPr>
              <w:jc w:val="left"/>
              <w:rPr/>
            </w:pPr>
            <w:r>
              <w:rPr>
                <w:b w:val="0"/>
                <w:bCs w:val="0"/>
                <w:color w:val="000000"/>
                <w:sz w:val="19"/>
                <w:szCs w:val="19"/>
                <w:rtl w:val="0"/>
              </w:rPr>
              <w:t xml:space="preserve">C1.2 — Collaborer avec les parties prenantes pour intégrer la politique</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11B">
            <w:pPr>
              <w:jc w:val="left"/>
              <w:rPr/>
            </w:pPr>
            <w:r>
              <w:rPr>
                <w:b w:val="0"/>
                <w:bCs w:val="0"/>
                <w:color w:val="000000"/>
                <w:sz w:val="19"/>
                <w:szCs w:val="19"/>
                <w:rtl w:val="0"/>
              </w:rPr>
              <w:t xml:space="preserve">§5 (rôles, matrice RACI)</w:t>
            </w:r>
            <w:r>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1C">
            <w:pPr>
              <w:jc w:val="left"/>
              <w:rPr/>
            </w:pPr>
            <w:r>
              <w:rPr>
                <w:b w:val="0"/>
                <w:bCs w:val="0"/>
                <w:color w:val="000000"/>
                <w:sz w:val="19"/>
                <w:szCs w:val="19"/>
                <w:rtl w:val="0"/>
              </w:rPr>
              <w:t xml:space="preserve">C1.3 — Former et sensibiliser les collaborateurs, y compris en situation de handicap</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11D">
            <w:pPr>
              <w:jc w:val="left"/>
              <w:rPr/>
            </w:pPr>
            <w:r>
              <w:rPr>
                <w:b w:val="0"/>
                <w:bCs w:val="0"/>
                <w:color w:val="000000"/>
                <w:sz w:val="19"/>
                <w:szCs w:val="19"/>
                <w:rtl w:val="0"/>
              </w:rPr>
              <w:t xml:space="preserve">§13</w:t>
            </w:r>
            <w:r>
              <w:rPr>
                <w:rtl w:val="0"/>
              </w:rPr>
            </w:r>
          </w:p>
        </w:tc>
      </w:tr>
      <w:tr>
        <w:trPr>
          <w:cantSplit w:val="0"/>
          <w:tblHeader w:val="0"/>
        </w:trPr>
        <w:tc>
          <w:tcPr>
            <w:shd w:fill="f3f4f6" w:val="clear"/>
            <w:tcMar>
              <w:top w:w="80.0" w:type="dxa"/>
              <w:left w:w="110.0" w:type="dxa"/>
              <w:bottom w:w="80.0" w:type="dxa"/>
              <w:right w:w="110.0" w:type="dxa"/>
            </w:tcMar>
            <w:vAlign w:val="center"/>
          </w:tcPr>
          <w:p w:rsidR="00000000" w:rsidDel="00000000" w:rsidP="00000000" w:rsidRDefault="00000000" w:rsidRPr="00000000" w14:paraId="0000011E">
            <w:pPr>
              <w:jc w:val="left"/>
              <w:rPr/>
            </w:pPr>
            <w:r>
              <w:rPr>
                <w:b w:val="0"/>
                <w:bCs w:val="0"/>
                <w:color w:val="000000"/>
                <w:sz w:val="19"/>
                <w:szCs w:val="19"/>
                <w:rtl w:val="0"/>
              </w:rPr>
              <w:t xml:space="preserve">C1.4 — Réaliser des audits réguliers de conformité</w:t>
            </w:r>
            <w:r>
              <w:rPr>
                <w:rtl w:val="0"/>
              </w:rPr>
            </w:r>
          </w:p>
        </w:tc>
        <w:tc>
          <w:tcPr>
            <w:shd w:fill="f3f4f6" w:val="clear"/>
            <w:tcMar>
              <w:top w:w="80.0" w:type="dxa"/>
              <w:left w:w="110.0" w:type="dxa"/>
              <w:bottom w:w="80.0" w:type="dxa"/>
              <w:right w:w="110.0" w:type="dxa"/>
            </w:tcMar>
            <w:vAlign w:val="center"/>
          </w:tcPr>
          <w:p w:rsidR="00000000" w:rsidDel="00000000" w:rsidP="00000000" w:rsidRDefault="00000000" w:rsidRPr="00000000" w14:paraId="0000011F">
            <w:pPr>
              <w:jc w:val="left"/>
              <w:rPr/>
            </w:pPr>
            <w:r>
              <w:rPr>
                <w:b w:val="0"/>
                <w:bCs w:val="0"/>
                <w:color w:val="000000"/>
                <w:sz w:val="19"/>
                <w:szCs w:val="19"/>
                <w:rtl w:val="0"/>
              </w:rPr>
              <w:t xml:space="preserve">§12</w:t>
            </w:r>
            <w:r>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20">
            <w:pPr>
              <w:jc w:val="left"/>
              <w:rPr/>
            </w:pPr>
            <w:r>
              <w:rPr>
                <w:b w:val="0"/>
                <w:bCs w:val="0"/>
                <w:color w:val="000000"/>
                <w:sz w:val="19"/>
                <w:szCs w:val="19"/>
                <w:rtl w:val="0"/>
              </w:rPr>
              <w:t xml:space="preserve">C1.5 — Évaluer les risques (qualité, sécurité)</w:t>
            </w:r>
            <w:r>
              <w:rPr>
                <w:rtl w:val="0"/>
              </w:rPr>
            </w:r>
          </w:p>
        </w:tc>
        <w:tc>
          <w:tcPr>
            <w:tcMar>
              <w:top w:w="80.0" w:type="dxa"/>
              <w:left w:w="110.0" w:type="dxa"/>
              <w:bottom w:w="80.0" w:type="dxa"/>
              <w:right w:w="110.0" w:type="dxa"/>
            </w:tcMar>
            <w:vAlign w:val="center"/>
          </w:tcPr>
          <w:p w:rsidR="00000000" w:rsidDel="00000000" w:rsidP="00000000" w:rsidRDefault="00000000" w:rsidRPr="00000000" w14:paraId="00000121">
            <w:pPr>
              <w:jc w:val="left"/>
              <w:rPr/>
            </w:pPr>
            <w:r>
              <w:rPr>
                <w:b w:val="0"/>
                <w:bCs w:val="0"/>
                <w:color w:val="000000"/>
                <w:sz w:val="19"/>
                <w:szCs w:val="19"/>
                <w:rtl w:val="0"/>
              </w:rPr>
              <w:t xml:space="preserve">§14 ; risques spécifiques aux données de santé et à l'IA détaillés dans l'AIPD §4</w:t>
            </w:r>
            <w:r>
              <w:rPr>
                <w:rtl w:val="0"/>
              </w:rPr>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sectPr>
      <w:headerReference r:id="rId6" w:type="default"/>
      <w:footerReference r:id="rId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jc w:val="center"/>
      <w:rPr/>
    </w:pPr>
    <w:r w:rsidDel="00000000" w:rsidR="00000000" w:rsidRPr="00000000">
      <w:rPr>
        <w:color w:val="595959"/>
        <w:sz w:val="16"/>
        <w:szCs w:val="16"/>
        <w:rtl w:val="0"/>
      </w:rPr>
      <w:t xml:space="preserve">VigiRoute — Confidentiel — Page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jc w:val="right"/>
      <w:rPr/>
    </w:pPr>
    <w:r w:rsidDel="00000000" w:rsidR="00000000" w:rsidRPr="00000000">
      <w:rPr>
        <w:color w:val="595959"/>
        <w:sz w:val="16"/>
        <w:szCs w:val="16"/>
        <w:rtl w:val="0"/>
      </w:rPr>
      <w:t xml:space="preserve">GRAVIA — Plan de gouvernance des données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66534" w:space="4" w:sz="6" w:val="single"/>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1182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2937"/>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