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aps/>
          <w:color w:val="1C7293"/>
          <w:sz w:val="22"/>
          <w:szCs w:val="22"/>
        </w:rPr>
        <w:t xml:space="preserve">Exemple de référence — niveau Mastère 2</w:t>
      </w:r>
    </w:p>
    <w:p>
      <w:pPr>
        <w:pStyle w:val="Title"/>
      </w:pPr>
      <w:r>
        <w:t xml:space="preserve">NovaBank — Réduction de l'attrition client par scoring IA</w:t>
      </w:r>
    </w:p>
    <w:p>
      <w:pPr>
        <w:spacing w:after="240"/>
      </w:pPr>
      <w:r>
        <w:rPr>
          <w:color w:val="5B6B7B"/>
          <w:sz w:val="24"/>
          <w:szCs w:val="24"/>
        </w:rPr>
        <w:t xml:space="preserve">Document de présentation de projet de certification (exemple complet rédigé)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F3E6" w:sz="1"/>
              <w:left w:val="single" w:color="C9701A" w:sz="18"/>
              <w:bottom w:val="single" w:color="FCF3E6" w:sz="1"/>
              <w:right w:val="single" w:color="FCF3E6" w:sz="1"/>
            </w:tcBorders>
            <w:shd w:fill="FCF3E6" w:val="clear"/>
            <w:tcMar>
              <w:top w:type="dxa" w:w="120"/>
              <w:left w:type="dxa" w:w="160"/>
              <w:bottom w:type="dxa" w:w="120"/>
              <w:right w:type="dxa" w:w="160"/>
            </w:tcMar>
          </w:tcPr>
          <w:p>
            <w:pPr>
              <w:spacing w:after="60"/>
            </w:pPr>
            <w:r>
              <w:rPr>
                <w:b/>
                <w:bCs/>
                <w:color w:val="C9701A"/>
                <w:sz w:val="21"/>
                <w:szCs w:val="21"/>
              </w:rPr>
              <w:t xml:space="preserve">Comment utiliser cet exemple</w:t>
            </w:r>
          </w:p>
          <w:p>
            <w:pPr>
              <w:spacing w:after="120" w:line="276"/>
            </w:pPr>
            <w:r>
              <w:t xml:space="preserve">Ce projet fictif mais réaliste illustre le niveau de détail et de justification attendu par Jedha. Ne le copiez pas : inspirez-vous-en pour structurer et argumenter votre propre projet, dans un secteur que vous maîtrisez.</w:t>
            </w:r>
          </w:p>
        </w:tc>
      </w:tr>
    </w:tbl>
    <w:p>
      <w:r>
        <w:br w:type="page"/>
      </w:r>
    </w:p>
    <w:p>
      <w:pPr>
        <w:pStyle w:val="Heading1"/>
      </w:pPr>
      <w:r>
        <w:t xml:space="preserve">1. Présentation générale du projet</w:t>
      </w:r>
    </w:p>
    <w:p>
      <w:pPr>
        <w:pStyle w:val="Heading2"/>
      </w:pPr>
      <w:r>
        <w:t xml:space="preserve">1.1 Secteur et organisation</w:t>
      </w:r>
    </w:p>
    <w:p>
      <w:pPr>
        <w:spacing w:after="120" w:line="276"/>
      </w:pPr>
      <w:r>
        <w:t xml:space="preserve">NovaBank est une banque de détail en ligne (néobanque) française comptant environ 800 000 clients particuliers. Dans un marché très concurrentiel où l'acquisition coûte cher, la rétention est un enjeu stratégique : un point d'attrition annuelle représente plusieurs millions d'euros de revenus récurrents perdus. La direction marketing souhaite passer d'une approche réactive à une approche prédictive de la rétention.</w:t>
      </w:r>
    </w:p>
    <w:p>
      <w:pPr>
        <w:pStyle w:val="Heading2"/>
      </w:pPr>
      <w:r>
        <w:t xml:space="preserve">1.2 Problématique métier</w:t>
      </w:r>
    </w:p>
    <w:p>
      <w:pPr>
        <w:spacing w:after="120" w:line="276"/>
      </w:pPr>
      <w:r>
        <w:t xml:space="preserve">L'organisation veut prédire le risque de résiliation (churn) de chaque client particulier afin de déclencher des actions de rétention ciblées et économiquement rentables. Le projet est soumis à des contraintes fortes qui imposent des arbitrages :</w:t>
      </w:r>
    </w:p>
    <w:p>
      <w:pPr>
        <w:pStyle w:val="ListParagraph"/>
        <w:numPr>
          <w:ilvl w:val="0"/>
          <w:numId w:val="2"/>
        </w:numPr>
        <w:spacing w:after="60" w:line="264"/>
      </w:pPr>
      <w:r>
        <w:t xml:space="preserve">Un score doit être disponible quotidiennement pour l'ensemble du portefeuille, et en quasi temps réel après un événement critique (réclamation, baisse d'usage).</w:t>
      </w:r>
    </w:p>
    <w:p>
      <w:pPr>
        <w:pStyle w:val="ListParagraph"/>
        <w:numPr>
          <w:ilvl w:val="0"/>
          <w:numId w:val="2"/>
        </w:numPr>
        <w:spacing w:after="60" w:line="264"/>
      </w:pPr>
      <w:r>
        <w:t xml:space="preserve">Le secteur bancaire étant régulé, toute décision impactant le client doit être explicable et non discriminante.</w:t>
      </w:r>
    </w:p>
    <w:p>
      <w:pPr>
        <w:pStyle w:val="ListParagraph"/>
        <w:numPr>
          <w:ilvl w:val="0"/>
          <w:numId w:val="2"/>
        </w:numPr>
        <w:spacing w:after="60" w:line="264"/>
      </w:pPr>
      <w:r>
        <w:t xml:space="preserve">Le budget d'actions de rétention est limité : le modèle doit prioriser les clients à la fois à risque et à forte valeur.</w:t>
      </w:r>
    </w:p>
    <w:p>
      <w:pPr>
        <w:pStyle w:val="ListParagraph"/>
        <w:numPr>
          <w:ilvl w:val="0"/>
          <w:numId w:val="2"/>
        </w:numPr>
        <w:spacing w:after="60" w:line="264"/>
      </w:pPr>
      <w:r>
        <w:t xml:space="preserve">Les données mobilisées (transactions, profil) sont des données personnelles sensibles soumises au RGPD.</w:t>
      </w:r>
    </w:p>
    <w:p>
      <w:pPr>
        <w:pStyle w:val="Heading2"/>
      </w:pPr>
      <w:r>
        <w:t xml:space="preserve">1.3 Parties prenantes</w:t>
      </w:r>
    </w:p>
    <w:p>
      <w:pPr>
        <w:pStyle w:val="ListParagraph"/>
        <w:numPr>
          <w:ilvl w:val="0"/>
          <w:numId w:val="3"/>
        </w:numPr>
        <w:spacing w:after="60" w:line="264"/>
      </w:pPr>
      <w:r>
        <w:t xml:space="preserve">Direction marketing (sponsor métier) : définit les actions de rétention et le ROI attendu.</w:t>
      </w:r>
    </w:p>
    <w:p>
      <w:pPr>
        <w:pStyle w:val="ListParagraph"/>
        <w:numPr>
          <w:ilvl w:val="0"/>
          <w:numId w:val="3"/>
        </w:numPr>
        <w:spacing w:after="60" w:line="264"/>
      </w:pPr>
      <w:r>
        <w:t xml:space="preserve">Délégué à la protection des données (DPO) : valide la conformité RGPD et le registre des traitements.</w:t>
      </w:r>
    </w:p>
    <w:p>
      <w:pPr>
        <w:pStyle w:val="ListParagraph"/>
        <w:numPr>
          <w:ilvl w:val="0"/>
          <w:numId w:val="3"/>
        </w:numPr>
        <w:spacing w:after="60" w:line="264"/>
      </w:pPr>
      <w:r>
        <w:t xml:space="preserve">Équipe Data/ML (maîtrise d'œuvre) : conçoit, déploie et surveille la solution.</w:t>
      </w:r>
    </w:p>
    <w:p>
      <w:pPr>
        <w:pStyle w:val="ListParagraph"/>
        <w:numPr>
          <w:ilvl w:val="0"/>
          <w:numId w:val="3"/>
        </w:numPr>
        <w:spacing w:after="60" w:line="264"/>
      </w:pPr>
      <w:r>
        <w:t xml:space="preserve">Direction des risques et conformité : valide l'explicabilité et l'absence de biais discriminant.</w:t>
      </w:r>
    </w:p>
    <w:p>
      <w:pPr>
        <w:pStyle w:val="ListParagraph"/>
        <w:numPr>
          <w:ilvl w:val="0"/>
          <w:numId w:val="3"/>
        </w:numPr>
        <w:spacing w:after="60" w:line="264"/>
      </w:pPr>
      <w:r>
        <w:t xml:space="preserve">Conseillers clientèle (utilisateurs opérationnels) : reçoivent les scores et mènent les actions.</w:t>
      </w:r>
    </w:p>
    <w:p>
      <w:pPr>
        <w:pStyle w:val="Heading1"/>
      </w:pPr>
      <w:r>
        <w:t xml:space="preserve">2. Environnement technique existant</w:t>
      </w:r>
    </w:p>
    <w:p>
      <w:pPr>
        <w:spacing w:after="120" w:line="276"/>
      </w:pPr>
      <w:r>
        <w:t xml:space="preserve">Le système d'information de NovaBank repose sur un cœur bancaire transactionnel (core banking) alimentant un data lake sur stockage objet (S3) et un entrepôt analytique PostgreSQL. Les principales sources et volumétries :</w:t>
      </w:r>
    </w:p>
    <w:p>
      <w:pPr>
        <w:pStyle w:val="ListParagraph"/>
        <w:numPr>
          <w:ilvl w:val="0"/>
          <w:numId w:val="4"/>
        </w:numPr>
        <w:spacing w:after="60" w:line="264"/>
      </w:pPr>
      <w:r>
        <w:t xml:space="preserve">Transactions de paiement : ~5 millions d'événements par jour, diffusés sur un bus Apache Kafka (vélocité).</w:t>
      </w:r>
    </w:p>
    <w:p>
      <w:pPr>
        <w:pStyle w:val="ListParagraph"/>
        <w:numPr>
          <w:ilvl w:val="0"/>
          <w:numId w:val="4"/>
        </w:numPr>
        <w:spacing w:after="60" w:line="264"/>
      </w:pPr>
      <w:r>
        <w:t xml:space="preserve">Données clients et produits (CRM) : ~800 000 profils, mis à jour quotidiennement (variété).</w:t>
      </w:r>
    </w:p>
    <w:p>
      <w:pPr>
        <w:pStyle w:val="ListParagraph"/>
        <w:numPr>
          <w:ilvl w:val="0"/>
          <w:numId w:val="4"/>
        </w:numPr>
        <w:spacing w:after="60" w:line="264"/>
      </w:pPr>
      <w:r>
        <w:t xml:space="preserve">Logs d'usage de l'application mobile : plusieurs dizaines de Go par mois (volume).</w:t>
      </w:r>
    </w:p>
    <w:p>
      <w:pPr>
        <w:pStyle w:val="ListParagraph"/>
        <w:numPr>
          <w:ilvl w:val="0"/>
          <w:numId w:val="4"/>
        </w:numPr>
        <w:spacing w:after="60" w:line="264"/>
      </w:pPr>
      <w:r>
        <w:t xml:space="preserve">Historique analytique : ~3 To dans l'entrepôt, utilisé pour l'entraînement des modèles.</w:t>
      </w:r>
    </w:p>
    <w:p>
      <w:pPr>
        <w:spacing w:after="120" w:line="276"/>
      </w:pPr>
      <w:r>
        <w:t xml:space="preserve">Les trois dimensions des 3V sont donc présentes : volume (historique multi-To), vélocité (flux Kafka temps réel) et variété (transactionnel, CRM, logs semi-structurés).</w:t>
      </w:r>
    </w:p>
    <w:p>
      <w:pPr>
        <w:pStyle w:val="Heading1"/>
      </w:pPr>
      <w:r>
        <w:t xml:space="preserve">3. Contraintes réglementaires</w:t>
      </w:r>
    </w:p>
    <w:p>
      <w:pPr>
        <w:pStyle w:val="ListParagraph"/>
        <w:numPr>
          <w:ilvl w:val="0"/>
          <w:numId w:val="2"/>
        </w:numPr>
        <w:spacing w:after="60" w:line="264"/>
      </w:pPr>
      <w:r>
        <w:t xml:space="preserve">RGPD et loi Informatique et Libertés : base légale (intérêt légitime) à documenter, minimisation des données, information des clients, droit d'opposition au profilage.</w:t>
      </w:r>
    </w:p>
    <w:p>
      <w:pPr>
        <w:pStyle w:val="ListParagraph"/>
        <w:numPr>
          <w:ilvl w:val="0"/>
          <w:numId w:val="2"/>
        </w:numPr>
        <w:spacing w:after="60" w:line="264"/>
      </w:pPr>
      <w:r>
        <w:t xml:space="preserve">Recommandations sectorielles (ACPR) sur l'usage de modèles et la maîtrise des risques.</w:t>
      </w:r>
    </w:p>
    <w:p>
      <w:pPr>
        <w:pStyle w:val="ListParagraph"/>
        <w:numPr>
          <w:ilvl w:val="0"/>
          <w:numId w:val="2"/>
        </w:numPr>
        <w:spacing w:after="60" w:line="264"/>
      </w:pPr>
      <w:r>
        <w:t xml:space="preserve">ISO 27001 : politique de sécurité de l'information appliquée aux données bancaires.</w:t>
      </w:r>
    </w:p>
    <w:p>
      <w:pPr>
        <w:pStyle w:val="ListParagraph"/>
        <w:numPr>
          <w:ilvl w:val="0"/>
          <w:numId w:val="2"/>
        </w:numPr>
        <w:spacing w:after="60" w:line="264"/>
      </w:pPr>
      <w:r>
        <w:t xml:space="preserve">IA éthique : explicabilité des scores, tests de non-discrimination (âge, genre, origine géographique), respect de la vie privée.</w:t>
      </w:r>
    </w:p>
    <w:p>
      <w:r>
        <w:br w:type="page"/>
      </w:r>
    </w:p>
    <w:p>
      <w:pPr>
        <w:pStyle w:val="Heading1"/>
      </w:pPr>
      <w:r>
        <w:t xml:space="preserve">4. Bloc 1 — Gouvernance des données</w:t>
      </w:r>
    </w:p>
    <w:p>
      <w:pPr>
        <w:spacing w:after="120" w:line="276"/>
      </w:pPr>
      <w:r>
        <w:t xml:space="preserve">Un plan de gouvernance encadre l'ensemble du cycle de vie des données du projet :</w:t>
      </w:r>
    </w:p>
    <w:p>
      <w:pPr>
        <w:pStyle w:val="ListParagraph"/>
        <w:numPr>
          <w:ilvl w:val="0"/>
          <w:numId w:val="2"/>
        </w:numPr>
        <w:spacing w:after="60" w:line="264"/>
      </w:pPr>
      <w:r>
        <w:t xml:space="preserve">Politiques : classification des données (publiques, internes, personnelles, sensibles) et règles d'usage associées.</w:t>
      </w:r>
    </w:p>
    <w:p>
      <w:pPr>
        <w:pStyle w:val="ListParagraph"/>
        <w:numPr>
          <w:ilvl w:val="0"/>
          <w:numId w:val="2"/>
        </w:numPr>
        <w:spacing w:after="60" w:line="264"/>
      </w:pPr>
      <w:r>
        <w:t xml:space="preserve">Rôles et responsabilités : un Data Owner (direction marketing) responsable de l'usage, des Data Stewards (équipe Data) garants de la qualité, le DPO garant de la conformité.</w:t>
      </w:r>
    </w:p>
    <w:p>
      <w:pPr>
        <w:pStyle w:val="ListParagraph"/>
        <w:numPr>
          <w:ilvl w:val="0"/>
          <w:numId w:val="2"/>
        </w:numPr>
        <w:spacing w:after="60" w:line="264"/>
      </w:pPr>
      <w:r>
        <w:t xml:space="preserve">Registre des traitements : le traitement « scoring d'attrition » est inscrit au registre, avec finalité, base légale, durée de conservation et destinataires.</w:t>
      </w:r>
    </w:p>
    <w:p>
      <w:pPr>
        <w:pStyle w:val="ListParagraph"/>
        <w:numPr>
          <w:ilvl w:val="0"/>
          <w:numId w:val="2"/>
        </w:numPr>
        <w:spacing w:after="60" w:line="264"/>
      </w:pPr>
      <w:r>
        <w:t xml:space="preserve">Gestion des risques : matrice identifiant les violations de données, erreurs humaines, pannes techniques et risques de non-conformité, avec mesures de mitigation (pseudonymisation, contrôle d'accès, journalisation).</w:t>
      </w:r>
    </w:p>
    <w:p>
      <w:pPr>
        <w:pStyle w:val="ListParagraph"/>
        <w:numPr>
          <w:ilvl w:val="0"/>
          <w:numId w:val="2"/>
        </w:numPr>
        <w:spacing w:after="60" w:line="264"/>
      </w:pPr>
      <w:r>
        <w:t xml:space="preserve">Audits : revue trimestrielle de conformité et mise à jour du registre à chaque évolution du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EF" w:sz="1"/>
              <w:left w:val="single" w:color="1C7293" w:sz="18"/>
              <w:bottom w:val="single" w:color="EAF6EF" w:sz="1"/>
              <w:right w:val="single" w:color="EAF6EF" w:sz="1"/>
            </w:tcBorders>
            <w:shd w:fill="EAF6EF" w:val="clear"/>
            <w:tcMar>
              <w:top w:type="dxa" w:w="120"/>
              <w:left w:type="dxa" w:w="160"/>
              <w:bottom w:type="dxa" w:w="120"/>
              <w:right w:type="dxa" w:w="160"/>
            </w:tcMar>
          </w:tcPr>
          <w:p>
            <w:pPr>
              <w:spacing w:after="60"/>
            </w:pPr>
            <w:r>
              <w:rPr>
                <w:b/>
                <w:bCs/>
                <w:color w:val="1C7293"/>
                <w:sz w:val="21"/>
                <w:szCs w:val="21"/>
              </w:rPr>
              <w:t xml:space="preserve">Justification du choix</w:t>
            </w:r>
          </w:p>
          <w:p>
            <w:pPr>
              <w:spacing w:after="120" w:line="276"/>
            </w:pPr>
            <w:r>
              <w:t xml:space="preserve">La pseudonymisation des identifiants clients dès l'ingestion (plutôt qu'un simple contrôle d'accès) a été retenue pour limiter l'impact d'une éventuelle violation : les jeux d'entraînement ne contiennent aucune donnée directement identifiante.</w:t>
            </w:r>
          </w:p>
        </w:tc>
      </w:tr>
    </w:tbl>
    <w:p>
      <w:pPr>
        <w:pStyle w:val="Heading1"/>
      </w:pPr>
      <w:r>
        <w:t xml:space="preserve">5. Bloc 2 — Architecture de données pour l'IA</w:t>
      </w:r>
    </w:p>
    <w:p>
      <w:pPr>
        <w:spacing w:after="120" w:line="276"/>
      </w:pPr>
      <w:r>
        <w:t xml:space="preserve">L'architecture distingue une couche d'ingestion, une couche de stockage et une couche d'entraînement :</w:t>
      </w:r>
    </w:p>
    <w:p>
      <w:pPr>
        <w:pStyle w:val="ListParagraph"/>
        <w:numPr>
          <w:ilvl w:val="0"/>
          <w:numId w:val="3"/>
        </w:numPr>
        <w:spacing w:after="60" w:line="264"/>
      </w:pPr>
      <w:r>
        <w:t xml:space="preserve">Modélisation : un modèle en étoile dans l'entrepôt (table de faits « événements client », dimensions client/produit/temps) optimise les agrégations nécessaires au calcul des variables prédictives.</w:t>
      </w:r>
    </w:p>
    <w:p>
      <w:pPr>
        <w:pStyle w:val="ListParagraph"/>
        <w:numPr>
          <w:ilvl w:val="0"/>
          <w:numId w:val="3"/>
        </w:numPr>
        <w:spacing w:after="60" w:line="264"/>
      </w:pPr>
      <w:r>
        <w:t xml:space="preserve">Infrastructure : entraînement sur un cluster de calcul Cloud à la demande (instances GPU éphémères) pour maîtriser les coûts ; inférence batch quotidienne sur instances CPU.</w:t>
      </w:r>
    </w:p>
    <w:p>
      <w:pPr>
        <w:pStyle w:val="ListParagraph"/>
        <w:numPr>
          <w:ilvl w:val="0"/>
          <w:numId w:val="3"/>
        </w:numPr>
        <w:spacing w:after="60" w:line="264"/>
      </w:pPr>
      <w:r>
        <w:t xml:space="preserve">3V : volume (entrepôt multi-To), vélocité (consommation du flux Kafka pour le scoring temps réel), variété (jointure transactionnel + CRM + logs).</w:t>
      </w:r>
    </w:p>
    <w:p>
      <w:pPr>
        <w:pStyle w:val="ListParagraph"/>
        <w:numPr>
          <w:ilvl w:val="0"/>
          <w:numId w:val="3"/>
        </w:numPr>
        <w:spacing w:after="60" w:line="264"/>
      </w:pPr>
      <w:r>
        <w:t xml:space="preserve">Sécurisation : chiffrement au repos et en transit, gestion des accès par rôles (IAM), cloisonnement réseau des environnements.</w:t>
      </w:r>
    </w:p>
    <w:p>
      <w:pPr>
        <w:pStyle w:val="ListParagraph"/>
        <w:numPr>
          <w:ilvl w:val="0"/>
          <w:numId w:val="3"/>
        </w:numPr>
        <w:spacing w:after="60" w:line="264"/>
      </w:pPr>
      <w:r>
        <w:t xml:space="preserve">Surveillance : métriques d'infrastructure (CPU, mémoire, latence, coûts) collectées par Prometheus et visualisées dans Grafana, avec alertes sur seuils.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EF" w:sz="1"/>
              <w:left w:val="single" w:color="1C7293" w:sz="18"/>
              <w:bottom w:val="single" w:color="EAF6EF" w:sz="1"/>
              <w:right w:val="single" w:color="EAF6EF" w:sz="1"/>
            </w:tcBorders>
            <w:shd w:fill="EAF6EF" w:val="clear"/>
            <w:tcMar>
              <w:top w:type="dxa" w:w="120"/>
              <w:left w:type="dxa" w:w="160"/>
              <w:bottom w:type="dxa" w:w="120"/>
              <w:right w:type="dxa" w:w="160"/>
            </w:tcMar>
          </w:tcPr>
          <w:p>
            <w:pPr>
              <w:spacing w:after="60"/>
            </w:pPr>
            <w:r>
              <w:rPr>
                <w:b/>
                <w:bCs/>
                <w:color w:val="1C7293"/>
                <w:sz w:val="21"/>
                <w:szCs w:val="21"/>
              </w:rPr>
              <w:t xml:space="preserve">Justification du choix</w:t>
            </w:r>
          </w:p>
          <w:p>
            <w:pPr>
              <w:spacing w:after="120" w:line="276"/>
            </w:pPr>
            <w:r>
              <w:t xml:space="preserve">Le cluster d'entraînement Cloud à la demande a été préféré à un serveur permanent on-premise : la charge d'entraînement est périodique (hebdomadaire), un dimensionnement permanent serait sous-utilisé et coûteux. L'inférence, elle, reste sur des ressources modestes car le scoring batch est peu intensif.</w:t>
            </w:r>
          </w:p>
        </w:tc>
      </w:tr>
    </w:tbl>
    <w:p>
      <w:pPr>
        <w:pStyle w:val="Heading1"/>
      </w:pPr>
      <w:r>
        <w:t xml:space="preserve">6. Bloc 3 — Pipelines de données pour l'IA</w:t>
      </w:r>
    </w:p>
    <w:p>
      <w:pPr>
        <w:pStyle w:val="ListParagraph"/>
        <w:numPr>
          <w:ilvl w:val="0"/>
          <w:numId w:val="4"/>
        </w:numPr>
        <w:spacing w:after="60" w:line="264"/>
      </w:pPr>
      <w:r>
        <w:t xml:space="preserve">Ingestion : les transactions sont consommées depuis Kafka ; les sources CRM et logs sont synchronisées via des connecteurs d'ingestion (type Airbyte) vers l'entrepôt.</w:t>
      </w:r>
    </w:p>
    <w:p>
      <w:pPr>
        <w:pStyle w:val="ListParagraph"/>
        <w:numPr>
          <w:ilvl w:val="0"/>
          <w:numId w:val="4"/>
        </w:numPr>
        <w:spacing w:after="60" w:line="264"/>
      </w:pPr>
      <w:r>
        <w:t xml:space="preserve">Transformation : un pipeline ETL orchestré par Apache Airflow construit quotidiennement les variables prédictives (ancienneté, évolution d'usage, incidents récents).</w:t>
      </w:r>
    </w:p>
    <w:p>
      <w:pPr>
        <w:pStyle w:val="ListParagraph"/>
        <w:numPr>
          <w:ilvl w:val="0"/>
          <w:numId w:val="4"/>
        </w:numPr>
        <w:spacing w:after="60" w:line="264"/>
      </w:pPr>
      <w:r>
        <w:t xml:space="preserve">Automatisation : collecte, transformation, calcul des scores, alertes et reprise sur erreur s'enchaînent sans intervention manuelle ; chaque tâche est idempotente et relançable.</w:t>
      </w:r>
    </w:p>
    <w:p>
      <w:pPr>
        <w:pStyle w:val="ListParagraph"/>
        <w:numPr>
          <w:ilvl w:val="0"/>
          <w:numId w:val="4"/>
        </w:numPr>
        <w:spacing w:after="60" w:line="264"/>
      </w:pPr>
      <w:r>
        <w:t xml:space="preserve">Contrôle qualité : des tests de validation (complétude, plages de valeurs, fraîcheur) s'exécutent avant entraînement ; un échec bloque la mise à jour du modèle.</w:t>
      </w:r>
    </w:p>
    <w:p>
      <w:pPr>
        <w:pStyle w:val="ListParagraph"/>
        <w:numPr>
          <w:ilvl w:val="0"/>
          <w:numId w:val="4"/>
        </w:numPr>
        <w:spacing w:after="60" w:line="264"/>
      </w:pPr>
      <w:r>
        <w:t xml:space="preserve">Monitoring : métriques du pipeline (durée, taux d'erreur, volumétrie traitée) et alertes proactives.</w:t>
      </w:r>
    </w:p>
    <w:p>
      <w:pPr>
        <w:pStyle w:val="ListParagraph"/>
        <w:numPr>
          <w:ilvl w:val="0"/>
          <w:numId w:val="4"/>
        </w:numPr>
        <w:spacing w:after="60" w:line="264"/>
      </w:pPr>
      <w:r>
        <w:t xml:space="preserve">Conformité RGPD : minimisation (seules les variables utiles sont conservées), pseudonymisation, traçabilité des traitements dans les logs d'orchestration.</w:t>
      </w:r>
    </w:p>
    <w:p>
      <w:pPr>
        <w:pStyle w:val="Heading1"/>
      </w:pPr>
      <w:r>
        <w:t xml:space="preserve">7. Bloc 4 — Déploiement de la solution IA</w:t>
      </w:r>
    </w:p>
    <w:p>
      <w:pPr>
        <w:pStyle w:val="ListParagraph"/>
        <w:numPr>
          <w:ilvl w:val="0"/>
          <w:numId w:val="2"/>
        </w:numPr>
        <w:spacing w:after="60" w:line="264"/>
      </w:pPr>
      <w:r>
        <w:t xml:space="preserve">Algorithme : un modèle de gradient boosting prédit la probabilité d'attrition ; il est couplé à une méthode d'explicabilité (valeurs de Shapley / SHAP) fournissant, pour chaque score, les principaux facteurs de risque.</w:t>
      </w:r>
    </w:p>
    <w:p>
      <w:pPr>
        <w:pStyle w:val="ListParagraph"/>
        <w:numPr>
          <w:ilvl w:val="0"/>
          <w:numId w:val="2"/>
        </w:numPr>
        <w:spacing w:after="60" w:line="264"/>
      </w:pPr>
      <w:r>
        <w:t xml:space="preserve">Intégration : le modèle est exposé via une API conteneurisée, intégrée au SI ; les scores alimentent le CRM consulté par les conseillers, avec gestion des erreurs et sécurisation des accès.</w:t>
      </w:r>
    </w:p>
    <w:p>
      <w:pPr>
        <w:pStyle w:val="ListParagraph"/>
        <w:numPr>
          <w:ilvl w:val="0"/>
          <w:numId w:val="2"/>
        </w:numPr>
        <w:spacing w:after="60" w:line="264"/>
      </w:pPr>
      <w:r>
        <w:t xml:space="preserve">CI/CD : un pipeline (GitHub Actions) automatise les tests, la construction de l'image, le suivi des expériences (MLflow) et le déploiement, avec gestion des versions de modèle.</w:t>
      </w:r>
    </w:p>
    <w:p>
      <w:pPr>
        <w:pStyle w:val="ListParagraph"/>
        <w:numPr>
          <w:ilvl w:val="0"/>
          <w:numId w:val="2"/>
        </w:numPr>
        <w:spacing w:after="60" w:line="264"/>
      </w:pPr>
      <w:r>
        <w:t xml:space="preserve">Réentraînement et dérive : un suivi de data drift (type Evidently) compare les données de production à la référence d'entraînement ; au-delà d'un seuil, un réentraînement est déclenché automatiquement, de façon reproductible.</w:t>
      </w:r>
    </w:p>
    <w:p>
      <w:pPr>
        <w:pStyle w:val="ListParagraph"/>
        <w:numPr>
          <w:ilvl w:val="0"/>
          <w:numId w:val="2"/>
        </w:numPr>
        <w:spacing w:after="60" w:line="264"/>
      </w:pPr>
      <w:r>
        <w:t xml:space="preserve">Monitoring en production : suivi de la performance (AUC sur données récentes), de la latence et du respect des spécifications, avec alertes.</w:t>
      </w:r>
    </w:p>
    <w:p>
      <w:pPr>
        <w:pStyle w:val="ListParagraph"/>
        <w:numPr>
          <w:ilvl w:val="0"/>
          <w:numId w:val="2"/>
        </w:numPr>
        <w:spacing w:after="60" w:line="264"/>
      </w:pPr>
      <w:r>
        <w:t xml:space="preserve">Conformité et éthique : explicabilité par SHAP, tests d'équité écartant les variables discriminantes et vérifiant l'absence de biais par sous-population ; tableau de bord conforme aux règles d'accessibilité (RGAA).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F3E6" w:sz="1"/>
              <w:left w:val="single" w:color="C9701A" w:sz="18"/>
              <w:bottom w:val="single" w:color="FCF3E6" w:sz="1"/>
              <w:right w:val="single" w:color="FCF3E6" w:sz="1"/>
            </w:tcBorders>
            <w:shd w:fill="FCF3E6" w:val="clear"/>
            <w:tcMar>
              <w:top w:type="dxa" w:w="120"/>
              <w:left w:type="dxa" w:w="160"/>
              <w:bottom w:type="dxa" w:w="120"/>
              <w:right w:type="dxa" w:w="160"/>
            </w:tcMar>
          </w:tcPr>
          <w:p>
            <w:pPr>
              <w:spacing w:after="60"/>
            </w:pPr>
            <w:r>
              <w:rPr>
                <w:b/>
                <w:bCs/>
                <w:color w:val="C9701A"/>
                <w:sz w:val="21"/>
                <w:szCs w:val="21"/>
              </w:rPr>
              <w:t xml:space="preserve">Deux dépôts de code (attendu jury)</w:t>
            </w:r>
          </w:p>
          <w:p>
            <w:pPr>
              <w:pStyle w:val="ListParagraph"/>
              <w:numPr>
                <w:ilvl w:val="0"/>
                <w:numId w:val="3"/>
              </w:numPr>
              <w:spacing w:after="60" w:line="264"/>
            </w:pPr>
            <w:r>
              <w:t xml:space="preserve">Dépôt « solution IA » : préparation des données, entraînement, explicabilité, évaluation.</w:t>
            </w:r>
          </w:p>
          <w:p>
            <w:pPr>
              <w:pStyle w:val="ListParagraph"/>
              <w:numPr>
                <w:ilvl w:val="0"/>
                <w:numId w:val="3"/>
              </w:numPr>
              <w:spacing w:after="60" w:line="264"/>
            </w:pPr>
            <w:r>
              <w:t xml:space="preserve">Dépôt « CI/CD » : conteneurisation, tests automatisés, déploiement, configuration du monitoring et du réentraînement.</w:t>
            </w:r>
          </w:p>
        </w:tc>
      </w:tr>
    </w:tbl>
    <w:p>
      <w:pPr>
        <w:pStyle w:val="Heading1"/>
      </w:pPr>
      <w:r>
        <w:t xml:space="preserve">8. Synthèse des livrables prévus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tcPr>
          <w:p>
            <w:r>
              <w:rPr>
                <w:b/>
                <w:bCs/>
                <w:color w:val="FFFFFF"/>
                <w:sz w:val="20"/>
                <w:szCs w:val="20"/>
              </w:rPr>
              <w:t xml:space="preserve">Bloc</w:t>
            </w:r>
          </w:p>
        </w:tc>
        <w:tc>
          <w:tcPr>
            <w:tcW w:type="dxa" w:w="7226"/>
            <w:tcBorders>
              <w:top w:val="single" w:color="C9D4E0" w:sz="1"/>
              <w:left w:val="single" w:color="C9D4E0" w:sz="1"/>
              <w:bottom w:val="single" w:color="C9D4E0" w:sz="1"/>
              <w:right w:val="single" w:color="C9D4E0" w:sz="1"/>
            </w:tcBorders>
            <w:shd w:fill="1F3A5F" w:val="clear"/>
            <w:tcMar>
              <w:top w:type="dxa" w:w="80"/>
              <w:left w:type="dxa" w:w="120"/>
              <w:bottom w:type="dxa" w:w="80"/>
              <w:right w:type="dxa" w:w="120"/>
            </w:tcMar>
          </w:tcPr>
          <w:p>
            <w:r>
              <w:rPr>
                <w:b/>
                <w:bCs/>
                <w:color w:val="FFFFFF"/>
                <w:sz w:val="20"/>
                <w:szCs w:val="20"/>
              </w:rPr>
              <w:t xml:space="preserve">Livrables</w:t>
            </w:r>
          </w:p>
        </w:tc>
      </w:tr>
      <w:tr>
        <w:tc>
          <w:tcPr>
            <w:tcW w:type="dxa" w:w="18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tcPr>
          <w:p>
            <w:r>
              <w:rPr>
                <w:sz w:val="20"/>
                <w:szCs w:val="20"/>
              </w:rPr>
              <w:t xml:space="preserve">Bloc 1</w:t>
            </w:r>
          </w:p>
        </w:tc>
        <w:tc>
          <w:tcPr>
            <w:tcW w:type="dxa" w:w="7226"/>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tcPr>
          <w:p>
            <w:r>
              <w:rPr>
                <w:sz w:val="20"/>
                <w:szCs w:val="20"/>
              </w:rPr>
              <w:t xml:space="preserve">Plan de gouvernance des données + slides de synthèse</w:t>
            </w:r>
          </w:p>
        </w:tc>
      </w:tr>
      <w:tr>
        <w:tc>
          <w:tcPr>
            <w:tcW w:type="dxa" w:w="1800"/>
            <w:tcBorders>
              <w:top w:val="single" w:color="C9D4E0" w:sz="1"/>
              <w:left w:val="single" w:color="C9D4E0" w:sz="1"/>
              <w:bottom w:val="single" w:color="C9D4E0" w:sz="1"/>
              <w:right w:val="single" w:color="C9D4E0" w:sz="1"/>
            </w:tcBorders>
            <w:shd w:fill="F4F7FB" w:val="clear"/>
            <w:tcMar>
              <w:top w:type="dxa" w:w="70"/>
              <w:left w:type="dxa" w:w="120"/>
              <w:bottom w:type="dxa" w:w="70"/>
              <w:right w:type="dxa" w:w="120"/>
            </w:tcMar>
          </w:tcPr>
          <w:p>
            <w:r>
              <w:rPr>
                <w:sz w:val="20"/>
                <w:szCs w:val="20"/>
              </w:rPr>
              <w:t xml:space="preserve">Bloc 2</w:t>
            </w:r>
          </w:p>
        </w:tc>
        <w:tc>
          <w:tcPr>
            <w:tcW w:type="dxa" w:w="7226"/>
            <w:tcBorders>
              <w:top w:val="single" w:color="C9D4E0" w:sz="1"/>
              <w:left w:val="single" w:color="C9D4E0" w:sz="1"/>
              <w:bottom w:val="single" w:color="C9D4E0" w:sz="1"/>
              <w:right w:val="single" w:color="C9D4E0" w:sz="1"/>
            </w:tcBorders>
            <w:shd w:fill="F4F7FB" w:val="clear"/>
            <w:tcMar>
              <w:top w:type="dxa" w:w="70"/>
              <w:left w:type="dxa" w:w="120"/>
              <w:bottom w:type="dxa" w:w="70"/>
              <w:right w:type="dxa" w:w="120"/>
            </w:tcMar>
          </w:tcPr>
          <w:p>
            <w:r>
              <w:rPr>
                <w:sz w:val="20"/>
                <w:szCs w:val="20"/>
              </w:rPr>
              <w:t xml:space="preserve">Diagramme d'architecture + code de déploiement infra + vidéo</w:t>
            </w:r>
          </w:p>
        </w:tc>
      </w:tr>
      <w:tr>
        <w:tc>
          <w:tcPr>
            <w:tcW w:type="dxa" w:w="1800"/>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tcPr>
          <w:p>
            <w:r>
              <w:rPr>
                <w:sz w:val="20"/>
                <w:szCs w:val="20"/>
              </w:rPr>
              <w:t xml:space="preserve">Bloc 3</w:t>
            </w:r>
          </w:p>
        </w:tc>
        <w:tc>
          <w:tcPr>
            <w:tcW w:type="dxa" w:w="7226"/>
            <w:tcBorders>
              <w:top w:val="single" w:color="C9D4E0" w:sz="1"/>
              <w:left w:val="single" w:color="C9D4E0" w:sz="1"/>
              <w:bottom w:val="single" w:color="C9D4E0" w:sz="1"/>
              <w:right w:val="single" w:color="C9D4E0" w:sz="1"/>
            </w:tcBorders>
            <w:shd w:fill="FFFFFF" w:val="clear"/>
            <w:tcMar>
              <w:top w:type="dxa" w:w="70"/>
              <w:left w:type="dxa" w:w="120"/>
              <w:bottom w:type="dxa" w:w="70"/>
              <w:right w:type="dxa" w:w="120"/>
            </w:tcMar>
          </w:tcPr>
          <w:p>
            <w:r>
              <w:rPr>
                <w:sz w:val="20"/>
                <w:szCs w:val="20"/>
              </w:rPr>
              <w:t xml:space="preserve">Diagramme de pipeline + code + vidéo de fonctionnement</w:t>
            </w:r>
          </w:p>
        </w:tc>
      </w:tr>
      <w:tr>
        <w:tc>
          <w:tcPr>
            <w:tcW w:type="dxa" w:w="1800"/>
            <w:tcBorders>
              <w:top w:val="single" w:color="C9D4E0" w:sz="1"/>
              <w:left w:val="single" w:color="C9D4E0" w:sz="1"/>
              <w:bottom w:val="single" w:color="C9D4E0" w:sz="1"/>
              <w:right w:val="single" w:color="C9D4E0" w:sz="1"/>
            </w:tcBorders>
            <w:shd w:fill="F4F7FB" w:val="clear"/>
            <w:tcMar>
              <w:top w:type="dxa" w:w="70"/>
              <w:left w:type="dxa" w:w="120"/>
              <w:bottom w:type="dxa" w:w="70"/>
              <w:right w:type="dxa" w:w="120"/>
            </w:tcMar>
          </w:tcPr>
          <w:p>
            <w:r>
              <w:rPr>
                <w:sz w:val="20"/>
                <w:szCs w:val="20"/>
              </w:rPr>
              <w:t xml:space="preserve">Bloc 4</w:t>
            </w:r>
          </w:p>
        </w:tc>
        <w:tc>
          <w:tcPr>
            <w:tcW w:type="dxa" w:w="7226"/>
            <w:tcBorders>
              <w:top w:val="single" w:color="C9D4E0" w:sz="1"/>
              <w:left w:val="single" w:color="C9D4E0" w:sz="1"/>
              <w:bottom w:val="single" w:color="C9D4E0" w:sz="1"/>
              <w:right w:val="single" w:color="C9D4E0" w:sz="1"/>
            </w:tcBorders>
            <w:shd w:fill="F4F7FB" w:val="clear"/>
            <w:tcMar>
              <w:top w:type="dxa" w:w="70"/>
              <w:left w:type="dxa" w:w="120"/>
              <w:bottom w:type="dxa" w:w="70"/>
              <w:right w:type="dxa" w:w="120"/>
            </w:tcMar>
          </w:tcPr>
          <w:p>
            <w:r>
              <w:rPr>
                <w:sz w:val="20"/>
                <w:szCs w:val="20"/>
              </w:rPr>
              <w:t xml:space="preserve">Présentation de la solution + 2 dépôts (dev &amp; CI/CD) + vidéo</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B7B"/>
        <w:sz w:val="16"/>
        <w:szCs w:val="16"/>
      </w:rPr>
      <w:t xml:space="preserve">Exemple — NovaBank scoring d'attrition — Mastère 2 IA</w:t>
    </w:r>
    <w:r>
      <w:rPr>
        <w:sz w:val="16"/>
        <w:szCs w:val="16"/>
      </w:rPr>
      <w:t xml:space="preserve">	</w:t>
    </w:r>
    <w:r>
      <w:rPr>
        <w:color w:val="5B6B7B"/>
        <w:sz w:val="16"/>
        <w:szCs w:val="16"/>
      </w:rPr>
      <w:t xml:space="preserve">p. </w:t>
    </w:r>
    <w:r>
      <w:rPr>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bullet"/>
      <w:lvlText w:val="•"/>
      <w:lvlJc w:val="left"/>
      <w:pPr>
        <w:ind w:left="600" w:hanging="280"/>
      </w:pPr>
    </w:lvl>
  </w:abstractNum>
  <w:abstractNum w:abstractNumId="4" w15:restartNumberingAfterBreak="0">
    <w:multiLevelType w:val="hybridMultilevel"/>
    <w:lvl w:ilvl="0" w15:tentative="1">
      <w:start w:val="1"/>
      <w:numFmt w:val="bullet"/>
      <w:lvlText w:val="•"/>
      <w:lvlJc w:val="left"/>
      <w:pPr>
        <w:ind w:left="600" w:hanging="280"/>
      </w:pPr>
    </w:lvl>
  </w:abstractNum>
  <w:abstractNum w:abstractNumId="5" w15:restartNumberingAfterBreak="0">
    <w:multiLevelType w:val="hybridMultilevel"/>
    <w:lvl w:ilvl="0" w15:tentative="1">
      <w:start w:val="1"/>
      <w:numFmt w:val="decimal"/>
      <w:lvlText w:val="%1."/>
      <w:lvlJc w:val="left"/>
      <w:pPr>
        <w:ind w:left="600" w:hanging="280"/>
      </w:pPr>
    </w:lvl>
  </w:abstractNum>
  <w:abstractNum w:abstractNumId="6"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1F3A5F"/>
      <w:sz w:val="56"/>
      <w:szCs w:val="56"/>
    </w:rPr>
  </w:style>
  <w:style w:type="paragraph" w:styleId="Heading1">
    <w:name w:val="Heading 1"/>
    <w:basedOn w:val="Normal"/>
    <w:next w:val="Normal"/>
    <w:qFormat/>
    <w:pPr>
      <w:pBdr>
        <w:bottom w:val="single" w:color="2E6DA4" w:sz="6" w:space="4"/>
      </w:pBdr>
      <w:spacing w:after="140" w:before="300"/>
      <w:outlineLvl w:val="0"/>
    </w:pPr>
    <w:rPr>
      <w:rFonts w:ascii="Cambria" w:cs="Cambria" w:eastAsia="Cambria" w:hAnsi="Cambria"/>
      <w:b/>
      <w:bCs/>
      <w:color w:val="1F3A5F"/>
      <w:sz w:val="30"/>
      <w:szCs w:val="30"/>
    </w:rPr>
  </w:style>
  <w:style w:type="paragraph" w:styleId="Heading2">
    <w:name w:val="Heading 2"/>
    <w:basedOn w:val="Normal"/>
    <w:next w:val="Normal"/>
    <w:qFormat/>
    <w:pPr>
      <w:spacing w:after="100" w:before="220"/>
      <w:outlineLvl w:val="1"/>
    </w:pPr>
    <w:rPr>
      <w:rFonts w:ascii="Cambria" w:cs="Cambria" w:eastAsia="Cambria" w:hAnsi="Cambria"/>
      <w:b/>
      <w:bCs/>
      <w:color w:val="2E6DA4"/>
      <w:sz w:val="25"/>
      <w:szCs w:val="25"/>
    </w:rPr>
  </w:style>
  <w:style w:type="paragraph" w:styleId="Heading3">
    <w:name w:val="Heading 3"/>
    <w:basedOn w:val="Normal"/>
    <w:next w:val="Normal"/>
    <w:qFormat/>
    <w:pPr>
      <w:spacing w:after="80" w:before="160"/>
      <w:outlineLvl w:val="2"/>
    </w:pPr>
    <w:rPr>
      <w:b/>
      <w:bCs/>
      <w:color w:val="1C72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2026-06-26T09:22:49.969Z</dcterms:created>
  <dcterms:modified xsi:type="dcterms:W3CDTF">2026-06-26T09:22:49.969Z</dcterms:modified>
</cp:coreProperties>
</file>

<file path=docProps/custom.xml><?xml version="1.0" encoding="utf-8"?>
<Properties xmlns="http://schemas.openxmlformats.org/officeDocument/2006/custom-properties" xmlns:vt="http://schemas.openxmlformats.org/officeDocument/2006/docPropsVTypes"/>
</file>