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8350625e4c50c56bcb67d438d1007ba878b0bae"/>
    <w:p>
      <w:pPr>
        <w:pStyle w:val="Heading1"/>
      </w:pPr>
      <w:r>
        <w:t xml:space="preserve">PROJET DE CERTIFICATION — ARCHITECTE EN IA (MASTÈRE 2)</w:t>
      </w:r>
    </w:p>
    <w:bookmarkStart w:id="9" w:name="document-de-présentation-de-projet"/>
    <w:p>
      <w:pPr>
        <w:pStyle w:val="Heading2"/>
      </w:pPr>
      <w:r>
        <w:t xml:space="preserve">Document de présentation de projet</w:t>
      </w:r>
    </w:p>
    <w:p>
      <w:pPr>
        <w:pStyle w:val="FirstParagraph"/>
      </w:pPr>
      <w:r>
        <w:rPr>
          <w:b/>
          <w:bCs/>
        </w:rPr>
        <w:t xml:space="preserve">Nom et prénom :</w:t>
      </w:r>
      <w:r>
        <w:t xml:space="preserve"> </w:t>
      </w:r>
      <w:r>
        <w:t xml:space="preserve">Jack Lecomte</w:t>
      </w:r>
      <w:r>
        <w:t xml:space="preserve"> </w:t>
      </w:r>
      <w:r>
        <w:rPr>
          <w:b/>
          <w:bCs/>
        </w:rPr>
        <w:t xml:space="preserve">Titre du projet :</w:t>
      </w:r>
      <w:r>
        <w:t xml:space="preserve"> </w:t>
      </w:r>
      <w:r>
        <w:t xml:space="preserve">GRAVIA — Aide à la décision pour la priorisation des secours routiers</w:t>
      </w:r>
      <w:r>
        <w:t xml:space="preserve"> </w:t>
      </w:r>
      <w:r>
        <w:rPr>
          <w:b/>
          <w:bCs/>
        </w:rPr>
        <w:t xml:space="preserve">Date :</w:t>
      </w:r>
      <w:r>
        <w:t xml:space="preserve"> </w:t>
      </w:r>
      <w:r>
        <w:t xml:space="preserve">29 juin 2026</w:t>
      </w:r>
    </w:p>
    <w:p>
      <w:r>
        <w:pict>
          <v:rect style="width:0;height:1.5pt" o:hralign="center" o:hrstd="t" o:hr="t"/>
        </w:pict>
      </w:r>
    </w:p>
    <w:bookmarkEnd w:id="9"/>
    <w:bookmarkStart w:id="13" w:name="présentation-générale-du-projet"/>
    <w:p>
      <w:pPr>
        <w:pStyle w:val="Heading2"/>
      </w:pPr>
      <w:r>
        <w:t xml:space="preserve">1. Présentation générale du projet</w:t>
      </w:r>
    </w:p>
    <w:bookmarkStart w:id="10" w:name="secteur-et-organisation"/>
    <w:p>
      <w:pPr>
        <w:pStyle w:val="Heading3"/>
      </w:pPr>
      <w:r>
        <w:t xml:space="preserve">1.1 Secteur et organisation</w:t>
      </w:r>
    </w:p>
    <w:p>
      <w:pPr>
        <w:pStyle w:val="FirstParagraph"/>
      </w:pPr>
      <w:r>
        <w:t xml:space="preserve">GRAVIA s’inscrit dans le secteur de la</w:t>
      </w:r>
      <w:r>
        <w:t xml:space="preserve"> </w:t>
      </w:r>
      <w:r>
        <w:rPr>
          <w:b/>
          <w:bCs/>
        </w:rPr>
        <w:t xml:space="preserve">sécurité routière et des secours d’urgence</w:t>
      </w:r>
      <w:r>
        <w:t xml:space="preserve">, un domaine</w:t>
      </w:r>
      <w:r>
        <w:t xml:space="preserve"> </w:t>
      </w:r>
      <w:r>
        <w:rPr>
          <w:b/>
          <w:bCs/>
        </w:rPr>
        <w:t xml:space="preserve">réglementé</w:t>
      </w:r>
      <w:r>
        <w:t xml:space="preserve"> </w:t>
      </w:r>
      <w:r>
        <w:t xml:space="preserve">car il manipule des</w:t>
      </w:r>
      <w:r>
        <w:t xml:space="preserve"> </w:t>
      </w:r>
      <w:r>
        <w:rPr>
          <w:b/>
          <w:bCs/>
        </w:rPr>
        <w:t xml:space="preserve">données de santé</w:t>
      </w:r>
      <w:r>
        <w:t xml:space="preserve"> </w:t>
      </w:r>
      <w:r>
        <w:t xml:space="preserve">(la gravité des blessures) relatives à des personnes vulnérables (victimes d’accident).</w:t>
      </w:r>
    </w:p>
    <w:p>
      <w:pPr>
        <w:pStyle w:val="BodyText"/>
      </w:pPr>
      <w:r>
        <w:t xml:space="preserve">L’organisation porteuse,</w:t>
      </w:r>
      <w:r>
        <w:t xml:space="preserve"> </w:t>
      </w:r>
      <w:r>
        <w:rPr>
          <w:b/>
          <w:bCs/>
        </w:rPr>
        <w:t xml:space="preserve">VigiRoute</w:t>
      </w:r>
      <w:r>
        <w:t xml:space="preserve">, est un</w:t>
      </w:r>
      <w:r>
        <w:t xml:space="preserve"> </w:t>
      </w:r>
      <w:r>
        <w:rPr>
          <w:b/>
          <w:bCs/>
        </w:rPr>
        <w:t xml:space="preserve">opérateur d’intérêt public</w:t>
      </w:r>
      <w:r>
        <w:t xml:space="preserve"> </w:t>
      </w:r>
      <w:r>
        <w:t xml:space="preserve">(structure de type partenariat entre l’Observatoire national interministériel de la sécurité routière et les services de secours). De taille moyenne (quelques centaines d’agents), elle dispose d’une direction des systèmes d’information, d’un délégué à la protection des données (DPO) et d’un responsable de la sécurité (RSSI). Sa mission : améliorer l’efficacité de la réponse aux accidents corporels de la circulation.</w:t>
      </w:r>
    </w:p>
    <w:p>
      <w:pPr>
        <w:pStyle w:val="BodyText"/>
      </w:pPr>
      <w:r>
        <w:t xml:space="preserve">En France, la route fait</w:t>
      </w:r>
      <w:r>
        <w:t xml:space="preserve"> </w:t>
      </w:r>
      <w:r>
        <w:rPr>
          <w:b/>
          <w:bCs/>
        </w:rPr>
        <w:t xml:space="preserve">environ 3 400 morts et 235 000 blessés par an, dont près de 16 000 blessés graves</w:t>
      </w:r>
      <w:r>
        <w:t xml:space="preserve"> </w:t>
      </w:r>
      <w:r>
        <w:t xml:space="preserve">(ONISR, bilan définitif 2024), pour de l’ordre de</w:t>
      </w:r>
      <w:r>
        <w:t xml:space="preserve"> </w:t>
      </w:r>
      <w:r>
        <w:rPr>
          <w:b/>
          <w:bCs/>
        </w:rPr>
        <w:t xml:space="preserve">50 000 accidents corporels</w:t>
      </w:r>
      <w:r>
        <w:t xml:space="preserve"> </w:t>
      </w:r>
      <w:r>
        <w:t xml:space="preserve">enregistrés chaque année. Quelques minutes gagnées sur l’engagement des moyens adaptés peuvent changer le pronostic vital : l’enjeu se mesure en</w:t>
      </w:r>
      <w:r>
        <w:t xml:space="preserve"> </w:t>
      </w:r>
      <w:r>
        <w:rPr>
          <w:b/>
          <w:bCs/>
        </w:rPr>
        <w:t xml:space="preserve">vies humaines</w:t>
      </w:r>
      <w:r>
        <w:t xml:space="preserve"> </w:t>
      </w:r>
      <w:r>
        <w:t xml:space="preserve">et en</w:t>
      </w:r>
      <w:r>
        <w:t xml:space="preserve"> </w:t>
      </w:r>
      <w:r>
        <w:rPr>
          <w:b/>
          <w:bCs/>
        </w:rPr>
        <w:t xml:space="preserve">délai d’intervention</w:t>
      </w:r>
      <w:r>
        <w:t xml:space="preserve">, ce qui justifie l’investissement dans une aide à la décision prédictive.</w:t>
      </w:r>
    </w:p>
    <w:p>
      <w:pPr>
        <w:pStyle w:val="BodyText"/>
      </w:pPr>
      <w:r>
        <w:t xml:space="preserve">Le caractère réglementé du secteur (santé) et la présence d’une gouvernance structurée facilitent la couverture des compétences de conformité, de gouvernance et d’éthique attendues.</w:t>
      </w:r>
    </w:p>
    <w:bookmarkEnd w:id="10"/>
    <w:bookmarkStart w:id="11" w:name="problématique-métier"/>
    <w:p>
      <w:pPr>
        <w:pStyle w:val="Heading3"/>
      </w:pPr>
      <w:r>
        <w:t xml:space="preserve">1.2 Problématique métier</w:t>
      </w:r>
    </w:p>
    <w:p>
      <w:pPr>
        <w:pStyle w:val="FirstParagraph"/>
      </w:pPr>
      <w:r>
        <w:t xml:space="preserve">Lorsqu’un accident est signalé, l’opérateur de régulation des secours doit décider</w:t>
      </w:r>
      <w:r>
        <w:t xml:space="preserve"> </w:t>
      </w:r>
      <w:r>
        <w:rPr>
          <w:b/>
          <w:bCs/>
        </w:rPr>
        <w:t xml:space="preserve">rapidement</w:t>
      </w:r>
      <w:r>
        <w:t xml:space="preserve"> </w:t>
      </w:r>
      <w:r>
        <w:t xml:space="preserve">quels moyens engager (véhicule simple, équipe médicalisée, hélicoptère), à partir d’informations</w:t>
      </w:r>
      <w:r>
        <w:t xml:space="preserve"> </w:t>
      </w:r>
      <w:r>
        <w:rPr>
          <w:b/>
          <w:bCs/>
        </w:rPr>
        <w:t xml:space="preserve">incomplètes</w:t>
      </w:r>
      <w:r>
        <w:t xml:space="preserve">. Une mauvaise estimation de la gravité retarde la prise en charge des cas les plus critiques.</w:t>
      </w:r>
    </w:p>
    <w:p>
      <w:pPr>
        <w:pStyle w:val="BlockText"/>
      </w:pPr>
      <w:r>
        <w:rPr>
          <w:b/>
          <w:bCs/>
        </w:rPr>
        <w:t xml:space="preserve">Problème à résoudre :</w:t>
      </w:r>
      <w:r>
        <w:t xml:space="preserve"> </w:t>
      </w:r>
      <w:r>
        <w:t xml:space="preserve">estimer, dès le signalement, la</w:t>
      </w:r>
      <w:r>
        <w:t xml:space="preserve"> </w:t>
      </w:r>
      <w:r>
        <w:rPr>
          <w:b/>
          <w:bCs/>
        </w:rPr>
        <w:t xml:space="preserve">probabilité qu’un accident soit grave</w:t>
      </w:r>
      <w:r>
        <w:t xml:space="preserve"> </w:t>
      </w:r>
      <w:r>
        <w:t xml:space="preserve">(au moins une victime hospitalisée ou tuée), afin d’aider l’opérateur à prioriser et dimensionner les moyens.</w:t>
      </w:r>
    </w:p>
    <w:p>
      <w:pPr>
        <w:pStyle w:val="FirstParagraph"/>
      </w:pPr>
      <w:r>
        <w:t xml:space="preserve">Les contraintes imposent de réels arbitrages :</w:t>
      </w:r>
    </w:p>
    <w:p>
      <w:pPr>
        <w:pStyle w:val="Compact"/>
        <w:numPr>
          <w:ilvl w:val="0"/>
          <w:numId w:val="1001"/>
        </w:numPr>
      </w:pPr>
      <w:r>
        <w:rPr>
          <w:b/>
          <w:bCs/>
        </w:rPr>
        <w:t xml:space="preserve">Temps réel</w:t>
      </w:r>
      <w:r>
        <w:t xml:space="preserve"> </w:t>
      </w:r>
      <w:r>
        <w:t xml:space="preserve">: prédiction attendue en moins de 500 ms (p95) au moment de l’appel.</w:t>
      </w:r>
    </w:p>
    <w:p>
      <w:pPr>
        <w:pStyle w:val="Compact"/>
        <w:numPr>
          <w:ilvl w:val="0"/>
          <w:numId w:val="1001"/>
        </w:numPr>
      </w:pPr>
      <w:r>
        <w:rPr>
          <w:b/>
          <w:bCs/>
        </w:rPr>
        <w:t xml:space="preserve">Budget</w:t>
      </w:r>
      <w:r>
        <w:t xml:space="preserve"> </w:t>
      </w:r>
      <w:r>
        <w:t xml:space="preserve">: projet à coût maîtrisé → priorité aux solutions open source ; pas d’accès au free tier d’un cloud commercial.</w:t>
      </w:r>
    </w:p>
    <w:p>
      <w:pPr>
        <w:pStyle w:val="Compact"/>
        <w:numPr>
          <w:ilvl w:val="0"/>
          <w:numId w:val="1001"/>
        </w:numPr>
      </w:pPr>
      <w:r>
        <w:rPr>
          <w:b/>
          <w:bCs/>
        </w:rPr>
        <w:t xml:space="preserve">Volumétrie</w:t>
      </w:r>
      <w:r>
        <w:t xml:space="preserve"> </w:t>
      </w:r>
      <w:r>
        <w:t xml:space="preserve">: ~20 années d’historique, plusieurs millions d’enregistrements.</w:t>
      </w:r>
    </w:p>
    <w:p>
      <w:pPr>
        <w:pStyle w:val="Compact"/>
        <w:numPr>
          <w:ilvl w:val="0"/>
          <w:numId w:val="1001"/>
        </w:numPr>
      </w:pPr>
      <w:r>
        <w:rPr>
          <w:b/>
          <w:bCs/>
        </w:rPr>
        <w:t xml:space="preserve">Conformité</w:t>
      </w:r>
      <w:r>
        <w:t xml:space="preserve"> </w:t>
      </w:r>
      <w:r>
        <w:t xml:space="preserve">: données personnelles et de santé → RGPD, analyse d’impact (AIPD).</w:t>
      </w:r>
    </w:p>
    <w:p>
      <w:pPr>
        <w:pStyle w:val="Compact"/>
        <w:numPr>
          <w:ilvl w:val="0"/>
          <w:numId w:val="1001"/>
        </w:numPr>
      </w:pPr>
      <w:r>
        <w:rPr>
          <w:b/>
          <w:bCs/>
        </w:rPr>
        <w:t xml:space="preserve">Qualité / fiabilité</w:t>
      </w:r>
      <w:r>
        <w:t xml:space="preserve"> </w:t>
      </w:r>
      <w:r>
        <w:t xml:space="preserve">: fort déséquilibre des classes (les cas graves sont minoritaires) ; risque de</w:t>
      </w:r>
      <w:r>
        <w:t xml:space="preserve"> </w:t>
      </w:r>
      <w:r>
        <w:rPr>
          <w:b/>
          <w:bCs/>
        </w:rPr>
        <w:t xml:space="preserve">fuite de données</w:t>
      </w:r>
      <w:r>
        <w:t xml:space="preserve"> </w:t>
      </w:r>
      <w:r>
        <w:t xml:space="preserve">si l’on utilise des variables connues seulement après enquête.</w:t>
      </w:r>
    </w:p>
    <w:bookmarkEnd w:id="11"/>
    <w:bookmarkStart w:id="12" w:name="parties-prenantes"/>
    <w:p>
      <w:pPr>
        <w:pStyle w:val="Heading3"/>
      </w:pPr>
      <w:r>
        <w:t xml:space="preserve">1.3 Parties prenantes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Partie prenante</w:t>
            </w:r>
          </w:p>
        </w:tc>
        <w:tc>
          <w:tcPr/>
          <w:p>
            <w:pPr>
              <w:pStyle w:val="Compact"/>
            </w:pPr>
            <w:r>
              <w:t xml:space="preserve">Rôle</w:t>
            </w:r>
          </w:p>
        </w:tc>
      </w:tr>
      <w:tr>
        <w:tc>
          <w:tcPr/>
          <w:p>
            <w:pPr>
              <w:pStyle w:val="Compact"/>
            </w:pPr>
            <w:r>
              <w:t xml:space="preserve">Direction VigiRoute</w:t>
            </w:r>
          </w:p>
        </w:tc>
        <w:tc>
          <w:tcPr/>
          <w:p>
            <w:pPr>
              <w:pStyle w:val="Compact"/>
            </w:pPr>
            <w:r>
              <w:t xml:space="preserve">Sponsor, arbitrages, validation, ROI</w:t>
            </w:r>
          </w:p>
        </w:tc>
      </w:tr>
      <w:tr>
        <w:tc>
          <w:tcPr/>
          <w:p>
            <w:pPr>
              <w:pStyle w:val="Compact"/>
            </w:pPr>
            <w:r>
              <w:t xml:space="preserve">DPO</w:t>
            </w:r>
          </w:p>
        </w:tc>
        <w:tc>
          <w:tcPr/>
          <w:p>
            <w:pPr>
              <w:pStyle w:val="Compact"/>
            </w:pPr>
            <w:r>
              <w:t xml:space="preserve">Conformité RGPD, pilotage de l’AIPD, contact CNIL</w:t>
            </w:r>
          </w:p>
        </w:tc>
      </w:tr>
      <w:tr>
        <w:tc>
          <w:tcPr/>
          <w:p>
            <w:pPr>
              <w:pStyle w:val="Compact"/>
            </w:pPr>
            <w:r>
              <w:t xml:space="preserve">RSSI</w:t>
            </w:r>
          </w:p>
        </w:tc>
        <w:tc>
          <w:tcPr/>
          <w:p>
            <w:pPr>
              <w:pStyle w:val="Compact"/>
            </w:pPr>
            <w:r>
              <w:t xml:space="preserve">Sécurité (ISO 27001 / ANSSI), gestion des incidents</w:t>
            </w:r>
          </w:p>
        </w:tc>
      </w:tr>
      <w:tr>
        <w:tc>
          <w:tcPr/>
          <w:p>
            <w:pPr>
              <w:pStyle w:val="Compact"/>
            </w:pPr>
            <w:r>
              <w:t xml:space="preserve">Architecte IA / Data</w:t>
            </w:r>
          </w:p>
        </w:tc>
        <w:tc>
          <w:tcPr/>
          <w:p>
            <w:pPr>
              <w:pStyle w:val="Compact"/>
            </w:pPr>
            <w:r>
              <w:t xml:space="preserve">Conception et mise en œuvre technique</w:t>
            </w:r>
          </w:p>
        </w:tc>
      </w:tr>
      <w:tr>
        <w:tc>
          <w:tcPr/>
          <w:p>
            <w:pPr>
              <w:pStyle w:val="Compact"/>
            </w:pPr>
            <w:r>
              <w:t xml:space="preserve">Data stewards</w:t>
            </w:r>
          </w:p>
        </w:tc>
        <w:tc>
          <w:tcPr/>
          <w:p>
            <w:pPr>
              <w:pStyle w:val="Compact"/>
            </w:pPr>
            <w:r>
              <w:t xml:space="preserve">Qualité et documentation des données</w:t>
            </w:r>
          </w:p>
        </w:tc>
      </w:tr>
      <w:tr>
        <w:tc>
          <w:tcPr/>
          <w:p>
            <w:pPr>
              <w:pStyle w:val="Compact"/>
            </w:pPr>
            <w:r>
              <w:t xml:space="preserve">Opérateurs de secours</w:t>
            </w:r>
          </w:p>
        </w:tc>
        <w:tc>
          <w:tcPr/>
          <w:p>
            <w:pPr>
              <w:pStyle w:val="Compact"/>
            </w:pPr>
            <w:r>
              <w:t xml:space="preserve">Utilisateurs finaux ; décision humaine finale</w:t>
            </w:r>
          </w:p>
        </w:tc>
      </w:tr>
      <w:tr>
        <w:tc>
          <w:tcPr/>
          <w:p>
            <w:pPr>
              <w:pStyle w:val="Compact"/>
            </w:pPr>
            <w:r>
              <w:t xml:space="preserve">ONISR (fournisseur)</w:t>
            </w:r>
          </w:p>
        </w:tc>
        <w:tc>
          <w:tcPr/>
          <w:p>
            <w:pPr>
              <w:pStyle w:val="Compact"/>
            </w:pPr>
            <w:r>
              <w:t xml:space="preserve">Source des données (BAAC)</w:t>
            </w:r>
          </w:p>
        </w:tc>
      </w:tr>
      <w:tr>
        <w:tc>
          <w:tcPr/>
          <w:p>
            <w:pPr>
              <w:pStyle w:val="Compact"/>
            </w:pPr>
            <w:r>
              <w:t xml:space="preserve">CNIL</w:t>
            </w:r>
          </w:p>
        </w:tc>
        <w:tc>
          <w:tcPr/>
          <w:p>
            <w:pPr>
              <w:pStyle w:val="Compact"/>
            </w:pPr>
            <w:r>
              <w:t xml:space="preserve">Autorité de contrôle externe</w:t>
            </w:r>
          </w:p>
        </w:tc>
      </w:tr>
    </w:tbl>
    <w:p>
      <w:r>
        <w:pict>
          <v:rect style="width:0;height:1.5pt" o:hralign="center" o:hrstd="t" o:hr="t"/>
        </w:pict>
      </w:r>
    </w:p>
    <w:bookmarkEnd w:id="12"/>
    <w:bookmarkEnd w:id="13"/>
    <w:bookmarkStart w:id="14" w:name="environnement-technique-existant"/>
    <w:p>
      <w:pPr>
        <w:pStyle w:val="Heading2"/>
      </w:pPr>
      <w:r>
        <w:t xml:space="preserve">2. Environnement technique existant</w:t>
      </w:r>
    </w:p>
    <w:p>
      <w:pPr>
        <w:pStyle w:val="FirstParagraph"/>
      </w:pPr>
      <w:r>
        <w:t xml:space="preserve">VigiRoute exploite un système d’information sur lequel GRAVIA vient se greffer comme brique d’aide à la décision :</w:t>
      </w:r>
    </w:p>
    <w:p>
      <w:pPr>
        <w:pStyle w:val="Compact"/>
        <w:numPr>
          <w:ilvl w:val="0"/>
          <w:numId w:val="1002"/>
        </w:numPr>
      </w:pPr>
      <w:r>
        <w:t xml:space="preserve">un</w:t>
      </w:r>
      <w:r>
        <w:t xml:space="preserve"> </w:t>
      </w:r>
      <w:r>
        <w:rPr>
          <w:b/>
          <w:bCs/>
        </w:rPr>
        <w:t xml:space="preserve">centre de régulation</w:t>
      </w:r>
      <w:r>
        <w:t xml:space="preserve"> </w:t>
      </w:r>
      <w:r>
        <w:t xml:space="preserve">recevant les appels d’urgence (15 / 18 / 112) et les signalements d’accidents ;</w:t>
      </w:r>
    </w:p>
    <w:p>
      <w:pPr>
        <w:pStyle w:val="Compact"/>
        <w:numPr>
          <w:ilvl w:val="0"/>
          <w:numId w:val="1002"/>
        </w:numPr>
      </w:pPr>
      <w:r>
        <w:t xml:space="preserve">un</w:t>
      </w:r>
      <w:r>
        <w:t xml:space="preserve"> </w:t>
      </w:r>
      <w:r>
        <w:rPr>
          <w:b/>
          <w:bCs/>
        </w:rPr>
        <w:t xml:space="preserve">bus de messages</w:t>
      </w:r>
      <w:r>
        <w:t xml:space="preserve"> </w:t>
      </w:r>
      <w:r>
        <w:t xml:space="preserve">(type Kafka) diffusant les signalements en temps réel ;</w:t>
      </w:r>
    </w:p>
    <w:p>
      <w:pPr>
        <w:pStyle w:val="Compact"/>
        <w:numPr>
          <w:ilvl w:val="0"/>
          <w:numId w:val="1002"/>
        </w:numPr>
      </w:pPr>
      <w:r>
        <w:t xml:space="preserve">un</w:t>
      </w:r>
      <w:r>
        <w:t xml:space="preserve"> </w:t>
      </w:r>
      <w:r>
        <w:rPr>
          <w:b/>
          <w:bCs/>
        </w:rPr>
        <w:t xml:space="preserve">data lake</w:t>
      </w:r>
      <w:r>
        <w:t xml:space="preserve"> </w:t>
      </w:r>
      <w:r>
        <w:t xml:space="preserve">sur stockage objet (type S3) pour les données brutes et l’historique ;</w:t>
      </w:r>
    </w:p>
    <w:p>
      <w:pPr>
        <w:pStyle w:val="Compact"/>
        <w:numPr>
          <w:ilvl w:val="0"/>
          <w:numId w:val="1002"/>
        </w:numPr>
      </w:pPr>
      <w:r>
        <w:t xml:space="preserve">un</w:t>
      </w:r>
      <w:r>
        <w:t xml:space="preserve"> </w:t>
      </w:r>
      <w:r>
        <w:rPr>
          <w:b/>
          <w:bCs/>
        </w:rPr>
        <w:t xml:space="preserve">entrepôt analytique PostgreSQL</w:t>
      </w:r>
      <w:r>
        <w:t xml:space="preserve"> </w:t>
      </w:r>
      <w:r>
        <w:t xml:space="preserve">alimentant l’entraînement et les analyses ;</w:t>
      </w:r>
    </w:p>
    <w:p>
      <w:pPr>
        <w:pStyle w:val="Compact"/>
        <w:numPr>
          <w:ilvl w:val="0"/>
          <w:numId w:val="1002"/>
        </w:numPr>
      </w:pPr>
      <w:r>
        <w:t xml:space="preserve">des</w:t>
      </w:r>
      <w:r>
        <w:t xml:space="preserve"> </w:t>
      </w:r>
      <w:r>
        <w:rPr>
          <w:b/>
          <w:bCs/>
        </w:rPr>
        <w:t xml:space="preserve">connecteurs</w:t>
      </w:r>
      <w:r>
        <w:t xml:space="preserve"> </w:t>
      </w:r>
      <w:r>
        <w:t xml:space="preserve">vers des sources externes (météo, trafic).</w:t>
      </w:r>
    </w:p>
    <w:p>
      <w:pPr>
        <w:pStyle w:val="FirstParagraph"/>
      </w:pPr>
      <w:r>
        <w:t xml:space="preserve">Les données mobilisées couvrent les</w:t>
      </w:r>
      <w:r>
        <w:t xml:space="preserve"> </w:t>
      </w:r>
      <w:r>
        <w:rPr>
          <w:b/>
          <w:bCs/>
        </w:rPr>
        <w:t xml:space="preserve">trois dimensions des 3V</w:t>
      </w:r>
      <w:r>
        <w:t xml:space="preserve">, de manière non triviale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Réalité du projet</w:t>
            </w:r>
          </w:p>
        </w:tc>
        <w:tc>
          <w:tcPr/>
          <w:p>
            <w:pPr>
              <w:pStyle w:val="Compact"/>
            </w:pPr>
            <w:r>
              <w:t xml:space="preserve">Ordre de grandeur</w:t>
            </w:r>
          </w:p>
        </w:tc>
      </w:tr>
      <w:tr>
        <w:tc>
          <w:tcPr/>
          <w:p>
            <w:pPr>
              <w:pStyle w:val="Compact"/>
            </w:pPr>
            <w:r>
              <w:rPr>
                <w:b/>
                <w:bCs/>
              </w:rPr>
              <w:t xml:space="preserve">Volume</w:t>
            </w:r>
          </w:p>
        </w:tc>
        <w:tc>
          <w:tcPr/>
          <w:p>
            <w:pPr>
              <w:pStyle w:val="Compact"/>
            </w:pPr>
            <w:r>
              <w:t xml:space="preserve">Historique</w:t>
            </w:r>
            <w:r>
              <w:t xml:space="preserve"> </w:t>
            </w:r>
            <w:r>
              <w:rPr>
                <w:b/>
                <w:bCs/>
              </w:rPr>
              <w:t xml:space="preserve">BAAC</w:t>
            </w:r>
            <w:r>
              <w:t xml:space="preserve"> </w:t>
            </w:r>
            <w:r>
              <w:t xml:space="preserve">2005→2024 + données enrichies (météo, géo)</w:t>
            </w:r>
          </w:p>
        </w:tc>
        <w:tc>
          <w:tcPr/>
          <w:p>
            <w:pPr>
              <w:pStyle w:val="Compact"/>
            </w:pPr>
            <w:r>
              <w:t xml:space="preserve">Plusieurs millions de lignes</w:t>
            </w:r>
            <w:r>
              <w:t xml:space="preserve"> </w:t>
            </w:r>
            <w:r>
              <w:rPr>
                <w:rStyle w:val="VerbatimChar"/>
              </w:rPr>
              <w:t xml:space="preserve">usagers</w:t>
            </w:r>
            <w:r>
              <w:t xml:space="preserve"> </w:t>
            </w:r>
            <w:r>
              <w:t xml:space="preserve">(~50–60 000 accidents/an sur ~20 ans)</w:t>
            </w:r>
          </w:p>
        </w:tc>
      </w:tr>
      <w:tr>
        <w:tc>
          <w:tcPr/>
          <w:p>
            <w:pPr>
              <w:pStyle w:val="Compact"/>
            </w:pPr>
            <w:r>
              <w:rPr>
                <w:b/>
                <w:bCs/>
              </w:rPr>
              <w:t xml:space="preserve">Vélocité</w:t>
            </w:r>
          </w:p>
        </w:tc>
        <w:tc>
          <w:tcPr/>
          <w:p>
            <w:pPr>
              <w:pStyle w:val="Compact"/>
            </w:pPr>
            <w:r>
              <w:t xml:space="preserve">Flux temps réel des signalements + flux trafic, en plus du batch annuel</w:t>
            </w:r>
          </w:p>
        </w:tc>
        <w:tc>
          <w:tcPr/>
          <w:p>
            <w:pPr>
              <w:pStyle w:val="Compact"/>
            </w:pPr>
            <w:r>
              <w:t xml:space="preserve">De l’ordre de</w:t>
            </w:r>
            <w:r>
              <w:t xml:space="preserve"> </w:t>
            </w:r>
            <w:r>
              <w:rPr>
                <w:b/>
                <w:bCs/>
              </w:rPr>
              <w:t xml:space="preserve">150 accidents corporels/jour</w:t>
            </w:r>
            <w:r>
              <w:t xml:space="preserve"> </w:t>
            </w:r>
            <w:r>
              <w:t xml:space="preserve">en moyenne (~50 000/an), plusieurs centaines à milliers de signalements/jour en incluant les accidents matériels, avec de forts pics horaires ; flux trafic rafraîchi toutes les quelques minutes</w:t>
            </w:r>
          </w:p>
        </w:tc>
      </w:tr>
      <w:tr>
        <w:tc>
          <w:tcPr/>
          <w:p>
            <w:pPr>
              <w:pStyle w:val="Compact"/>
            </w:pPr>
            <w:r>
              <w:rPr>
                <w:b/>
                <w:bCs/>
              </w:rPr>
              <w:t xml:space="preserve">Variété</w:t>
            </w:r>
          </w:p>
        </w:tc>
        <w:tc>
          <w:tcPr/>
          <w:p>
            <w:pPr>
              <w:pStyle w:val="Compact"/>
            </w:pPr>
            <w:r>
              <w:t xml:space="preserve">Structuré + semi-structuré + flux événementiel</w:t>
            </w:r>
          </w:p>
        </w:tc>
        <w:tc>
          <w:tcPr/>
          <w:p>
            <w:pPr>
              <w:pStyle w:val="Compact"/>
            </w:pPr>
            <w:r>
              <w:t xml:space="preserve">BAAC (4 tables relationnelles), météo/géo (semi-structuré), signalements (flux JSON)</w:t>
            </w:r>
          </w:p>
        </w:tc>
      </w:tr>
    </w:tbl>
    <w:p>
      <w:pPr>
        <w:pStyle w:val="BodyText"/>
      </w:pPr>
      <w:r>
        <w:t xml:space="preserve">Le système combine ainsi une</w:t>
      </w:r>
      <w:r>
        <w:t xml:space="preserve"> </w:t>
      </w:r>
      <w:r>
        <w:rPr>
          <w:b/>
          <w:bCs/>
        </w:rPr>
        <w:t xml:space="preserve">ingestion batch</w:t>
      </w:r>
      <w:r>
        <w:t xml:space="preserve"> </w:t>
      </w:r>
      <w:r>
        <w:t xml:space="preserve">(chargement des millésimes, réentraînement périodique) et une</w:t>
      </w:r>
      <w:r>
        <w:t xml:space="preserve"> </w:t>
      </w:r>
      <w:r>
        <w:rPr>
          <w:b/>
          <w:bCs/>
        </w:rPr>
        <w:t xml:space="preserve">ingestion temps réel</w:t>
      </w:r>
      <w:r>
        <w:t xml:space="preserve"> </w:t>
      </w:r>
      <w:r>
        <w:t xml:space="preserve">(signalements à scorer à la volée), ce qui impose une architecture capable d’absorber les deux régimes.</w:t>
      </w:r>
    </w:p>
    <w:p>
      <w:pPr>
        <w:pStyle w:val="BlockText"/>
      </w:pPr>
      <w:r>
        <w:rPr>
          <w:i/>
          <w:iCs/>
        </w:rPr>
        <w:t xml:space="preserve">Les chiffres d’accidentalité (accidents corporels, tués, blessés) proviennent de l’ONISR (voir Sources). Les débits de signalements temps réel sont une</w:t>
      </w:r>
      <w:r>
        <w:rPr>
          <w:i/>
          <w:iCs/>
        </w:rPr>
        <w:t xml:space="preserve"> </w:t>
      </w:r>
      <w:r>
        <w:rPr>
          <w:b/>
          <w:bCs/>
          <w:i/>
          <w:iCs/>
        </w:rPr>
        <w:t xml:space="preserve">estimation du scénario</w:t>
      </w:r>
      <w:r>
        <w:rPr>
          <w:i/>
          <w:iCs/>
        </w:rPr>
        <w:t xml:space="preserve"> </w:t>
      </w:r>
      <w:r>
        <w:rPr>
          <w:i/>
          <w:iCs/>
        </w:rPr>
        <w:t xml:space="preserve">VigiRoute, dérivée de la volumétrie annuelle d’accidents.</w:t>
      </w:r>
    </w:p>
    <w:p>
      <w:r>
        <w:pict>
          <v:rect style="width:0;height:1.5pt" o:hralign="center" o:hrstd="t" o:hr="t"/>
        </w:pict>
      </w:r>
    </w:p>
    <w:bookmarkEnd w:id="14"/>
    <w:bookmarkStart w:id="15" w:name="contraintes-réglementaires"/>
    <w:p>
      <w:pPr>
        <w:pStyle w:val="Heading2"/>
      </w:pPr>
      <w:r>
        <w:t xml:space="preserve">3. Contraintes réglementaires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Réglementation</w:t>
            </w:r>
          </w:p>
        </w:tc>
        <w:tc>
          <w:tcPr/>
          <w:p>
            <w:pPr>
              <w:pStyle w:val="Compact"/>
            </w:pPr>
            <w:r>
              <w:t xml:space="preserve">Application justifiée à GRAVIA</w:t>
            </w:r>
          </w:p>
        </w:tc>
      </w:tr>
      <w:tr>
        <w:tc>
          <w:tcPr/>
          <w:p>
            <w:pPr>
              <w:pStyle w:val="Compact"/>
            </w:pPr>
            <w:r>
              <w:rPr>
                <w:b/>
                <w:bCs/>
              </w:rPr>
              <w:t xml:space="preserve">RGPD</w:t>
            </w:r>
          </w:p>
        </w:tc>
        <w:tc>
          <w:tcPr/>
          <w:p>
            <w:pPr>
              <w:pStyle w:val="Compact"/>
            </w:pPr>
            <w:r>
              <w:t xml:space="preserve">Traitement de données personnelles (âge, sexe, géolocalisation) et</w:t>
            </w:r>
            <w:r>
              <w:t xml:space="preserve"> </w:t>
            </w:r>
            <w:r>
              <w:rPr>
                <w:b/>
                <w:bCs/>
              </w:rPr>
              <w:t xml:space="preserve">sensibles</w:t>
            </w:r>
            <w:r>
              <w:t xml:space="preserve"> </w:t>
            </w:r>
            <w:r>
              <w:t xml:space="preserve">(gravité = donnée de santé, art. 9). Base légale : mission d’intérêt public (art. 6.1.e) et intérêt public en santé (art. 9.2.i).</w:t>
            </w:r>
            <w:r>
              <w:t xml:space="preserve"> </w:t>
            </w:r>
            <w:r>
              <w:rPr>
                <w:b/>
                <w:bCs/>
              </w:rPr>
              <w:t xml:space="preserve">AIPD obligatoire</w:t>
            </w:r>
            <w:r>
              <w:t xml:space="preserve"> </w:t>
            </w:r>
            <w:r>
              <w:t xml:space="preserve">(art. 35 : données sensibles + scoring + grande échelle).</w:t>
            </w:r>
            <w:r>
              <w:t xml:space="preserve"> </w:t>
            </w:r>
            <w:r>
              <w:rPr>
                <w:b/>
                <w:bCs/>
              </w:rPr>
              <w:t xml:space="preserve">Article 22</w:t>
            </w:r>
            <w:r>
              <w:t xml:space="preserve"> </w:t>
            </w:r>
            <w:r>
              <w:t xml:space="preserve">: pas de décision entièrement automatisée → human-in-the-loop.</w:t>
            </w:r>
          </w:p>
        </w:tc>
      </w:tr>
      <w:tr>
        <w:tc>
          <w:tcPr/>
          <w:p>
            <w:pPr>
              <w:pStyle w:val="Compact"/>
            </w:pPr>
            <w:r>
              <w:rPr>
                <w:b/>
                <w:bCs/>
              </w:rPr>
              <w:t xml:space="preserve">Loi Informatique et Libertés</w:t>
            </w:r>
          </w:p>
        </w:tc>
        <w:tc>
          <w:tcPr/>
          <w:p>
            <w:pPr>
              <w:pStyle w:val="Compact"/>
            </w:pPr>
            <w:r>
              <w:t xml:space="preserve">Exercice des droits (accès, rectification, suppression, opposition), registre des traitements.</w:t>
            </w:r>
          </w:p>
        </w:tc>
      </w:tr>
      <w:tr>
        <w:tc>
          <w:tcPr/>
          <w:p>
            <w:pPr>
              <w:pStyle w:val="Compact"/>
            </w:pPr>
            <w:r>
              <w:rPr>
                <w:b/>
                <w:bCs/>
              </w:rPr>
              <w:t xml:space="preserve">ISO/IEC 27001</w:t>
            </w:r>
          </w:p>
        </w:tc>
        <w:tc>
          <w:tcPr/>
          <w:p>
            <w:pPr>
              <w:pStyle w:val="Compact"/>
            </w:pPr>
            <w:r>
              <w:t xml:space="preserve">Système de management de la sécurité de l’information (chiffrement, gestion des accès, gestion des incidents).</w:t>
            </w:r>
          </w:p>
        </w:tc>
      </w:tr>
      <w:tr>
        <w:tc>
          <w:tcPr/>
          <w:p>
            <w:pPr>
              <w:pStyle w:val="Compact"/>
            </w:pPr>
            <w:r>
              <w:rPr>
                <w:b/>
                <w:bCs/>
              </w:rPr>
              <w:t xml:space="preserve">Recommandations ANSSI</w:t>
            </w:r>
          </w:p>
        </w:tc>
        <w:tc>
          <w:tcPr/>
          <w:p>
            <w:pPr>
              <w:pStyle w:val="Compact"/>
            </w:pPr>
            <w:r>
              <w:t xml:space="preserve">Mesures techniques de sécurisation (cloisonnement, secrets).</w:t>
            </w:r>
          </w:p>
        </w:tc>
      </w:tr>
      <w:tr>
        <w:tc>
          <w:tcPr/>
          <w:p>
            <w:pPr>
              <w:pStyle w:val="Compact"/>
            </w:pPr>
            <w:r>
              <w:rPr>
                <w:b/>
                <w:bCs/>
              </w:rPr>
              <w:t xml:space="preserve">RGAA</w:t>
            </w:r>
          </w:p>
        </w:tc>
        <w:tc>
          <w:tcPr/>
          <w:p>
            <w:pPr>
              <w:pStyle w:val="Compact"/>
            </w:pPr>
            <w:r>
              <w:t xml:space="preserve">Accessibilité des interfaces et des documents (personnes en situation de handicap).</w:t>
            </w:r>
          </w:p>
        </w:tc>
      </w:tr>
      <w:tr>
        <w:tc>
          <w:tcPr/>
          <w:p>
            <w:pPr>
              <w:pStyle w:val="Compact"/>
            </w:pPr>
            <w:r>
              <w:rPr>
                <w:b/>
                <w:bCs/>
              </w:rPr>
              <w:t xml:space="preserve">IA éthique (CNIL / AI Act)</w:t>
            </w:r>
          </w:p>
        </w:tc>
        <w:tc>
          <w:tcPr/>
          <w:p>
            <w:pPr>
              <w:pStyle w:val="Compact"/>
            </w:pPr>
            <w:r>
              <w:t xml:space="preserve">Explicabilité des prédictions, non-discrimination, respect de la vie privée.</w:t>
            </w:r>
          </w:p>
        </w:tc>
      </w:tr>
    </w:tbl>
    <w:p>
      <w:r>
        <w:pict>
          <v:rect style="width:0;height:1.5pt" o:hralign="center" o:hrstd="t" o:hr="t"/>
        </w:pict>
      </w:r>
    </w:p>
    <w:bookmarkEnd w:id="15"/>
    <w:bookmarkStart w:id="18" w:name="bloc-1-gouvernance-des-données"/>
    <w:p>
      <w:pPr>
        <w:pStyle w:val="Heading2"/>
      </w:pPr>
      <w:r>
        <w:t xml:space="preserve">4. Bloc 1 — Gouvernance des données</w:t>
      </w:r>
    </w:p>
    <w:p>
      <w:pPr>
        <w:pStyle w:val="FirstParagraph"/>
      </w:pPr>
      <w:r>
        <w:t xml:space="preserve">GRAVIA s’appuie sur un</w:t>
      </w:r>
      <w:r>
        <w:t xml:space="preserve"> </w:t>
      </w:r>
      <w:r>
        <w:rPr>
          <w:b/>
          <w:bCs/>
        </w:rPr>
        <w:t xml:space="preserve">plan de gouvernance complet</w:t>
      </w:r>
      <w:r>
        <w:t xml:space="preserve"> </w:t>
      </w:r>
      <w:r>
        <w:t xml:space="preserve">et une</w:t>
      </w:r>
      <w:r>
        <w:t xml:space="preserve"> </w:t>
      </w:r>
      <w:r>
        <w:rPr>
          <w:b/>
          <w:bCs/>
        </w:rPr>
        <w:t xml:space="preserve">AIPD</w:t>
      </w:r>
      <w:r>
        <w:t xml:space="preserve"> </w:t>
      </w:r>
      <w:r>
        <w:t xml:space="preserve">(méthodologie CNIL).</w:t>
      </w:r>
    </w:p>
    <w:p>
      <w:pPr>
        <w:pStyle w:val="BodyText"/>
      </w:pPr>
      <w:r>
        <w:rPr>
          <w:b/>
          <w:bCs/>
        </w:rPr>
        <w:t xml:space="preserve">Politiques et conformité.</w:t>
      </w:r>
      <w:r>
        <w:t xml:space="preserve"> </w:t>
      </w:r>
      <w:r>
        <w:t xml:space="preserve">Le plan définit les politiques de</w:t>
      </w:r>
      <w:r>
        <w:t xml:space="preserve"> </w:t>
      </w:r>
      <w:r>
        <w:rPr>
          <w:b/>
          <w:bCs/>
        </w:rPr>
        <w:t xml:space="preserve">qualité</w:t>
      </w:r>
      <w:r>
        <w:t xml:space="preserve">,</w:t>
      </w:r>
      <w:r>
        <w:t xml:space="preserve"> </w:t>
      </w:r>
      <w:r>
        <w:rPr>
          <w:b/>
          <w:bCs/>
        </w:rPr>
        <w:t xml:space="preserve">sécurité</w:t>
      </w:r>
      <w:r>
        <w:t xml:space="preserve">,</w:t>
      </w:r>
      <w:r>
        <w:t xml:space="preserve"> </w:t>
      </w:r>
      <w:r>
        <w:rPr>
          <w:b/>
          <w:bCs/>
        </w:rPr>
        <w:t xml:space="preserve">confidentialité</w:t>
      </w:r>
      <w:r>
        <w:t xml:space="preserve">,</w:t>
      </w:r>
      <w:r>
        <w:t xml:space="preserve"> </w:t>
      </w:r>
      <w:r>
        <w:rPr>
          <w:b/>
          <w:bCs/>
        </w:rPr>
        <w:t xml:space="preserve">disponibilité</w:t>
      </w:r>
      <w:r>
        <w:t xml:space="preserve"> </w:t>
      </w:r>
      <w:r>
        <w:t xml:space="preserve">et</w:t>
      </w:r>
      <w:r>
        <w:t xml:space="preserve"> </w:t>
      </w:r>
      <w:r>
        <w:rPr>
          <w:b/>
          <w:bCs/>
        </w:rPr>
        <w:t xml:space="preserve">conservation</w:t>
      </w:r>
      <w:r>
        <w:t xml:space="preserve"> </w:t>
      </w:r>
      <w:r>
        <w:t xml:space="preserve">des données, en intégrant explicitement RGPD, Loi Informatique et Libertés, ISO 27001, ANSSI et RGAA. La base légale et les droits des personnes y sont documentés.</w:t>
      </w:r>
    </w:p>
    <w:p>
      <w:pPr>
        <w:pStyle w:val="BodyText"/>
      </w:pPr>
      <w:r>
        <w:rPr>
          <w:b/>
          <w:bCs/>
        </w:rPr>
        <w:t xml:space="preserve">Parties prenantes et responsabilités.</w:t>
      </w:r>
      <w:r>
        <w:t xml:space="preserve"> </w:t>
      </w:r>
      <w:r>
        <w:t xml:space="preserve">Les rôles sont formalisés (Direction, DPO, RSSI, Architecte IA, data stewards, opérateurs) et déclinés dans une</w:t>
      </w:r>
      <w:r>
        <w:t xml:space="preserve"> </w:t>
      </w:r>
      <w:r>
        <w:rPr>
          <w:b/>
          <w:bCs/>
        </w:rPr>
        <w:t xml:space="preserve">matrice RACI</w:t>
      </w:r>
      <w:r>
        <w:t xml:space="preserve"> </w:t>
      </w:r>
      <w:r>
        <w:t xml:space="preserve">précisant qui réalise, approuve, est consulté ou informé pour chaque activité sensible (AIPD, pseudonymisation, gestion des violations, audits).</w:t>
      </w:r>
    </w:p>
    <w:p>
      <w:pPr>
        <w:pStyle w:val="BodyText"/>
      </w:pPr>
      <w:r>
        <w:rPr>
          <w:b/>
          <w:bCs/>
        </w:rPr>
        <w:t xml:space="preserve">Gestion des risques.</w:t>
      </w:r>
      <w:r>
        <w:t xml:space="preserve"> </w:t>
      </w:r>
      <w:r>
        <w:t xml:space="preserve">Les risques sont identifiés et associés à des stratégies et</w:t>
      </w:r>
      <w:r>
        <w:t xml:space="preserve"> </w:t>
      </w:r>
      <w:r>
        <w:rPr>
          <w:b/>
          <w:bCs/>
        </w:rPr>
        <w:t xml:space="preserve">plans de contingence</w:t>
      </w:r>
      <w:r>
        <w:t xml:space="preserve"> </w:t>
      </w:r>
      <w:r>
        <w:t xml:space="preserve">: ré-identification d’une victime, violation de données, biais discriminatoire, dérive du modèle, indisponibilité du service, erreur humaine.</w:t>
      </w:r>
    </w:p>
    <w:p>
      <w:pPr>
        <w:pStyle w:val="BodyText"/>
      </w:pPr>
      <w:r>
        <w:rPr>
          <w:b/>
          <w:bCs/>
        </w:rPr>
        <w:t xml:space="preserve">Audits et mise à jour.</w:t>
      </w:r>
      <w:r>
        <w:t xml:space="preserve"> </w:t>
      </w:r>
      <w:r>
        <w:t xml:space="preserve">Audit interne</w:t>
      </w:r>
      <w:r>
        <w:t xml:space="preserve"> </w:t>
      </w:r>
      <w:r>
        <w:rPr>
          <w:b/>
          <w:bCs/>
        </w:rPr>
        <w:t xml:space="preserve">annuel</w:t>
      </w:r>
      <w:r>
        <w:t xml:space="preserve"> </w:t>
      </w:r>
      <w:r>
        <w:t xml:space="preserve">(DPO + RSSI), contrôles automatisés continus (qualité, dérive, sécurité), revue à chaque évolution majeure, et</w:t>
      </w:r>
      <w:r>
        <w:t xml:space="preserve"> </w:t>
      </w:r>
      <w:r>
        <w:rPr>
          <w:b/>
          <w:bCs/>
        </w:rPr>
        <w:t xml:space="preserve">révision périodique</w:t>
      </w:r>
      <w:r>
        <w:t xml:space="preserve"> </w:t>
      </w:r>
      <w:r>
        <w:t xml:space="preserve">de la politique pour suivre les évolutions réglementaires (veille portée par le DPO).</w:t>
      </w:r>
    </w:p>
    <w:p>
      <w:pPr>
        <w:pStyle w:val="BodyText"/>
      </w:pPr>
      <w:r>
        <w:rPr>
          <w:b/>
          <w:bCs/>
        </w:rPr>
        <w:t xml:space="preserve">AIPD.</w:t>
      </w:r>
      <w:r>
        <w:t xml:space="preserve"> </w:t>
      </w:r>
      <w:r>
        <w:t xml:space="preserve">Le risque résiduel est jugé</w:t>
      </w:r>
      <w:r>
        <w:t xml:space="preserve"> </w:t>
      </w:r>
      <w:r>
        <w:rPr>
          <w:b/>
          <w:bCs/>
        </w:rPr>
        <w:t xml:space="preserve">acceptable</w:t>
      </w:r>
      <w:r>
        <w:t xml:space="preserve"> </w:t>
      </w:r>
      <w:r>
        <w:t xml:space="preserve">sous réserve de la mise en œuvre du plan d’action (pseudonymisation, agrégation géographique anti-ré-identification, chiffrement, tests d’équité, explicabilité, human-in-the-loop).</w:t>
      </w:r>
    </w:p>
    <w:p>
      <w:pPr>
        <w:pStyle w:val="BlockText"/>
      </w:pPr>
      <w:r>
        <w:rPr>
          <w:b/>
          <w:bCs/>
        </w:rPr>
        <w:t xml:space="preserve">Justification du choix.</w:t>
      </w:r>
      <w:r>
        <w:t xml:space="preserve"> </w:t>
      </w:r>
      <w:r>
        <w:t xml:space="preserve">La</w:t>
      </w:r>
      <w:r>
        <w:t xml:space="preserve"> </w:t>
      </w:r>
      <w:r>
        <w:rPr>
          <w:b/>
          <w:bCs/>
        </w:rPr>
        <w:t xml:space="preserve">pseudonymisation dès la couche Silver</w:t>
      </w:r>
      <w:r>
        <w:t xml:space="preserve"> </w:t>
      </w:r>
      <w:r>
        <w:t xml:space="preserve">(plutôt qu’un simple contrôle d’accès) a été retenue pour limiter l’impact d’une éventuelle violation : les jeux d’entraînement ne contiennent aucune donnée directement identifiante. L’</w:t>
      </w:r>
      <w:r>
        <w:rPr>
          <w:b/>
          <w:bCs/>
        </w:rPr>
        <w:t xml:space="preserve">agrégation géographique</w:t>
      </w:r>
      <w:r>
        <w:t xml:space="preserve"> </w:t>
      </w:r>
      <w:r>
        <w:t xml:space="preserve">a été préférée à la conservation des coordonnées exactes pour neutraliser le risque de ré-identification, sans perte significative de pouvoir prédictif — le contexte routier (type de route, agglomération) suffit au modèle.</w:t>
      </w:r>
    </w:p>
    <w:p>
      <w:pPr>
        <w:pStyle w:val="FirstParagraph"/>
      </w:pPr>
      <w:r>
        <w:rPr>
          <w:i/>
          <w:iCs/>
        </w:rPr>
        <w:t xml:space="preserve">Livrables :</w:t>
      </w:r>
      <w:r>
        <w:rPr>
          <w:i/>
          <w:iCs/>
        </w:rPr>
        <w:t xml:space="preserve"> </w:t>
      </w:r>
      <w:hyperlink r:id="rId16">
        <w:r>
          <w:rPr>
            <w:rStyle w:val="Hyperlink"/>
            <w:i/>
            <w:iCs/>
          </w:rPr>
          <w:t xml:space="preserve">plan de gouvernance</w:t>
        </w:r>
      </w:hyperlink>
      <w:r>
        <w:rPr>
          <w:i/>
          <w:iCs/>
        </w:rPr>
        <w:t xml:space="preserve">,</w:t>
      </w:r>
      <w:r>
        <w:rPr>
          <w:i/>
          <w:iCs/>
        </w:rPr>
        <w:t xml:space="preserve"> </w:t>
      </w:r>
      <w:hyperlink r:id="rId17">
        <w:r>
          <w:rPr>
            <w:rStyle w:val="Hyperlink"/>
            <w:i/>
            <w:iCs/>
          </w:rPr>
          <w:t xml:space="preserve">AIPD</w:t>
        </w:r>
      </w:hyperlink>
      <w:r>
        <w:rPr>
          <w:i/>
          <w:iCs/>
        </w:rPr>
        <w:t xml:space="preserve">.</w:t>
      </w:r>
    </w:p>
    <w:p>
      <w:r>
        <w:pict>
          <v:rect style="width:0;height:1.5pt" o:hralign="center" o:hrstd="t" o:hr="t"/>
        </w:pict>
      </w:r>
    </w:p>
    <w:bookmarkEnd w:id="18"/>
    <w:bookmarkStart w:id="20" w:name="bloc-2-architecture-de-données-pour-lia"/>
    <w:p>
      <w:pPr>
        <w:pStyle w:val="Heading2"/>
      </w:pPr>
      <w:r>
        <w:t xml:space="preserve">5. Bloc 2 — Architecture de données pour l’IA</w:t>
      </w:r>
    </w:p>
    <w:p>
      <w:pPr>
        <w:pStyle w:val="FirstParagraph"/>
      </w:pPr>
      <w:r>
        <w:rPr>
          <w:b/>
          <w:bCs/>
        </w:rPr>
        <w:t xml:space="preserve">Modélisation.</w:t>
      </w:r>
      <w:r>
        <w:t xml:space="preserve"> </w:t>
      </w:r>
      <w:r>
        <w:t xml:space="preserve">L’architecture repose sur un</w:t>
      </w:r>
      <w:r>
        <w:t xml:space="preserve"> </w:t>
      </w:r>
      <w:r>
        <w:rPr>
          <w:b/>
          <w:bCs/>
        </w:rPr>
        <w:t xml:space="preserve">modèle Medallion Bronze / Silver / Gold</w:t>
      </w:r>
      <w:r>
        <w:t xml:space="preserve">. La couche Gold est modélisée en</w:t>
      </w:r>
      <w:r>
        <w:t xml:space="preserve"> </w:t>
      </w:r>
      <w:r>
        <w:rPr>
          <w:b/>
          <w:bCs/>
        </w:rPr>
        <w:t xml:space="preserve">schéma en étoile</w:t>
      </w:r>
      <w:r>
        <w:t xml:space="preserve"> </w:t>
      </w:r>
      <w:r>
        <w:t xml:space="preserve">(table de faits</w:t>
      </w:r>
      <w:r>
        <w:t xml:space="preserve"> </w:t>
      </w:r>
      <w:r>
        <w:rPr>
          <w:rStyle w:val="VerbatimChar"/>
        </w:rPr>
        <w:t xml:space="preserve">fact_accident</w:t>
      </w:r>
      <w:r>
        <w:t xml:space="preserve"> </w:t>
      </w:r>
      <w:r>
        <w:t xml:space="preserve">au grain de l’accident, dimensions</w:t>
      </w:r>
      <w:r>
        <w:t xml:space="preserve"> </w:t>
      </w:r>
      <w:r>
        <w:rPr>
          <w:rStyle w:val="VerbatimChar"/>
        </w:rPr>
        <w:t xml:space="preserve">date</w:t>
      </w:r>
      <w:r>
        <w:t xml:space="preserve">,</w:t>
      </w:r>
      <w:r>
        <w:t xml:space="preserve"> </w:t>
      </w:r>
      <w:r>
        <w:rPr>
          <w:rStyle w:val="VerbatimChar"/>
        </w:rPr>
        <w:t xml:space="preserve">lieu</w:t>
      </w:r>
      <w:r>
        <w:t xml:space="preserve">,</w:t>
      </w:r>
      <w:r>
        <w:t xml:space="preserve"> </w:t>
      </w:r>
      <w:r>
        <w:rPr>
          <w:rStyle w:val="VerbatimChar"/>
        </w:rPr>
        <w:t xml:space="preserve">conditions</w:t>
      </w:r>
      <w:r>
        <w:t xml:space="preserve">,</w:t>
      </w:r>
      <w:r>
        <w:t xml:space="preserve"> </w:t>
      </w:r>
      <w:r>
        <w:rPr>
          <w:rStyle w:val="VerbatimChar"/>
        </w:rPr>
        <w:t xml:space="preserve">collision</w:t>
      </w:r>
      <w:r>
        <w:t xml:space="preserve">), à partir d’un</w:t>
      </w:r>
      <w:r>
        <w:t xml:space="preserve"> </w:t>
      </w:r>
      <w:r>
        <w:rPr>
          <w:b/>
          <w:bCs/>
        </w:rPr>
        <w:t xml:space="preserve">modèle entité-relation</w:t>
      </w:r>
      <w:r>
        <w:t xml:space="preserve"> </w:t>
      </w:r>
      <w:r>
        <w:t xml:space="preserve">reliant les 4 tables BAAC. Ce choix est justifié par le besoin de requêtage analytique et de features model-ready.</w:t>
      </w:r>
    </w:p>
    <w:p>
      <w:pPr>
        <w:pStyle w:val="BodyText"/>
      </w:pPr>
      <w:r>
        <w:rPr>
          <w:b/>
          <w:bCs/>
        </w:rPr>
        <w:t xml:space="preserve">Choix techniques justifiés.</w:t>
      </w:r>
    </w:p>
    <w:p>
      <w:pPr>
        <w:pStyle w:val="Compact"/>
        <w:numPr>
          <w:ilvl w:val="0"/>
          <w:numId w:val="1003"/>
        </w:numPr>
      </w:pPr>
      <w:r>
        <w:rPr>
          <w:b/>
          <w:bCs/>
        </w:rPr>
        <w:t xml:space="preserve">Polars / DuckDB</w:t>
      </w:r>
      <w:r>
        <w:t xml:space="preserve"> </w:t>
      </w:r>
      <w:r>
        <w:t xml:space="preserve">plutôt que Spark : le volume tient en mémoire (&lt; 10 Go) → Spark serait de la</w:t>
      </w:r>
      <w:r>
        <w:t xml:space="preserve"> </w:t>
      </w:r>
      <w:r>
        <w:rPr>
          <w:b/>
          <w:bCs/>
        </w:rPr>
        <w:t xml:space="preserve">sur-ingénierie</w:t>
      </w:r>
      <w:r>
        <w:t xml:space="preserve">. Spark est documenté comme voie de montée en charge.</w:t>
      </w:r>
    </w:p>
    <w:p>
      <w:pPr>
        <w:pStyle w:val="Compact"/>
        <w:numPr>
          <w:ilvl w:val="0"/>
          <w:numId w:val="1003"/>
        </w:numPr>
      </w:pPr>
      <w:r>
        <w:rPr>
          <w:b/>
          <w:bCs/>
        </w:rPr>
        <w:t xml:space="preserve">Stockage hybride</w:t>
      </w:r>
      <w:r>
        <w:t xml:space="preserve"> </w:t>
      </w:r>
      <w:r>
        <w:t xml:space="preserve">: Parquet (Bronze/Silver) sur MinIO/S3 +</w:t>
      </w:r>
      <w:r>
        <w:t xml:space="preserve"> </w:t>
      </w:r>
      <w:r>
        <w:rPr>
          <w:b/>
          <w:bCs/>
        </w:rPr>
        <w:t xml:space="preserve">PostgreSQL</w:t>
      </w:r>
      <w:r>
        <w:t xml:space="preserve"> </w:t>
      </w:r>
      <w:r>
        <w:t xml:space="preserve">(Gold relationnel).</w:t>
      </w:r>
    </w:p>
    <w:p>
      <w:pPr>
        <w:pStyle w:val="Compact"/>
        <w:numPr>
          <w:ilvl w:val="0"/>
          <w:numId w:val="1003"/>
        </w:numPr>
      </w:pPr>
      <w:r>
        <w:rPr>
          <w:b/>
          <w:bCs/>
        </w:rPr>
        <w:t xml:space="preserve">Infrastructure</w:t>
      </w:r>
      <w:r>
        <w:t xml:space="preserve"> </w:t>
      </w:r>
      <w:r>
        <w:t xml:space="preserve">: Docker Compose en dev ; cible cloud AWS (S3, RDS,</w:t>
      </w:r>
      <w:r>
        <w:t xml:space="preserve"> </w:t>
      </w:r>
      <w:r>
        <w:rPr>
          <w:b/>
          <w:bCs/>
        </w:rPr>
        <w:t xml:space="preserve">EKS/Kubernetes</w:t>
      </w:r>
      <w:r>
        <w:t xml:space="preserve"> </w:t>
      </w:r>
      <w:r>
        <w:t xml:space="preserve">pour le calcul et le scaling) déployée via</w:t>
      </w:r>
      <w:r>
        <w:t xml:space="preserve"> </w:t>
      </w:r>
      <w:r>
        <w:rPr>
          <w:b/>
          <w:bCs/>
        </w:rPr>
        <w:t xml:space="preserve">Terraform</w:t>
      </w:r>
      <w:r>
        <w:t xml:space="preserve">. Faute d’accès au cloud payant, le</w:t>
      </w:r>
      <w:r>
        <w:t xml:space="preserve"> </w:t>
      </w:r>
      <w:r>
        <w:rPr>
          <w:rStyle w:val="VerbatimChar"/>
        </w:rPr>
        <w:t xml:space="preserve">terraform apply</w:t>
      </w:r>
      <w:r>
        <w:t xml:space="preserve"> </w:t>
      </w:r>
      <w:r>
        <w:t xml:space="preserve">est exécuté contre</w:t>
      </w:r>
      <w:r>
        <w:t xml:space="preserve"> </w:t>
      </w:r>
      <w:r>
        <w:rPr>
          <w:b/>
          <w:bCs/>
        </w:rPr>
        <w:t xml:space="preserve">LocalStack</w:t>
      </w:r>
      <w:r>
        <w:t xml:space="preserve"> </w:t>
      </w:r>
      <w:r>
        <w:t xml:space="preserve">(émulation AWS gratuite) pour fournir l’IaC et la démonstration « infra en production ».</w:t>
      </w:r>
    </w:p>
    <w:p>
      <w:pPr>
        <w:pStyle w:val="FirstParagraph"/>
      </w:pPr>
      <w:r>
        <w:rPr>
          <w:b/>
          <w:bCs/>
        </w:rPr>
        <w:t xml:space="preserve">3V.</w:t>
      </w:r>
      <w:r>
        <w:t xml:space="preserve"> </w:t>
      </w:r>
      <w:r>
        <w:t xml:space="preserve">Volume (millions de lignes), vélocité (batch + temps réel), variété (structuré + semi-structuré + flux) sont pris en compte explicitement.</w:t>
      </w:r>
    </w:p>
    <w:p>
      <w:pPr>
        <w:pStyle w:val="BodyText"/>
      </w:pPr>
      <w:r>
        <w:rPr>
          <w:b/>
          <w:bCs/>
        </w:rPr>
        <w:t xml:space="preserve">Sécurité et surveillance.</w:t>
      </w:r>
      <w:r>
        <w:t xml:space="preserve"> </w:t>
      </w:r>
      <w:r>
        <w:t xml:space="preserve">Chiffrement au repos et en transit, pseudonymisation dès la Silver, gestion des accès au moindre privilège ; surveillance de l’infrastructure via</w:t>
      </w:r>
      <w:r>
        <w:t xml:space="preserve"> </w:t>
      </w:r>
      <w:r>
        <w:rPr>
          <w:b/>
          <w:bCs/>
        </w:rPr>
        <w:t xml:space="preserve">Prometheus + Grafana</w:t>
      </w:r>
      <w:r>
        <w:t xml:space="preserve"> </w:t>
      </w:r>
      <w:r>
        <w:t xml:space="preserve">(latence, erreurs, disponibilité) avec alertes.</w:t>
      </w:r>
    </w:p>
    <w:p>
      <w:pPr>
        <w:pStyle w:val="BodyText"/>
      </w:pPr>
      <w:r>
        <w:rPr>
          <w:b/>
          <w:bCs/>
        </w:rPr>
        <w:t xml:space="preserve">Documentation accessible.</w:t>
      </w:r>
      <w:r>
        <w:t xml:space="preserve"> </w:t>
      </w:r>
      <w:r>
        <w:t xml:space="preserve">Architecture documentée avec diagrammes (flux, ER, étoile) accompagnés de descriptions textuelles, en formats ouverts.</w:t>
      </w:r>
    </w:p>
    <w:p>
      <w:pPr>
        <w:pStyle w:val="BlockText"/>
      </w:pPr>
      <w:r>
        <w:rPr>
          <w:b/>
          <w:bCs/>
        </w:rPr>
        <w:t xml:space="preserve">Justification du choix.</w:t>
      </w:r>
      <w:r>
        <w:t xml:space="preserve"> </w:t>
      </w:r>
      <w:r>
        <w:rPr>
          <w:b/>
          <w:bCs/>
        </w:rPr>
        <w:t xml:space="preserve">Polars/DuckDB</w:t>
      </w:r>
      <w:r>
        <w:t xml:space="preserve"> </w:t>
      </w:r>
      <w:r>
        <w:t xml:space="preserve">ont été préférés à Spark : le volume tient en mémoire (&lt; 10 Go), donc un moteur distribué serait sous-utilisé et difficile à justifier (sur-ingénierie). Spark est documenté comme</w:t>
      </w:r>
      <w:r>
        <w:t xml:space="preserve"> </w:t>
      </w:r>
      <w:r>
        <w:rPr>
          <w:b/>
          <w:bCs/>
        </w:rPr>
        <w:t xml:space="preserve">voie de montée en charge</w:t>
      </w:r>
      <w:r>
        <w:t xml:space="preserve"> </w:t>
      </w:r>
      <w:r>
        <w:t xml:space="preserve">si la volumétrie augmentait. De même,</w:t>
      </w:r>
      <w:r>
        <w:t xml:space="preserve"> </w:t>
      </w:r>
      <w:r>
        <w:rPr>
          <w:b/>
          <w:bCs/>
        </w:rPr>
        <w:t xml:space="preserve">LocalStack</w:t>
      </w:r>
      <w:r>
        <w:t xml:space="preserve"> </w:t>
      </w:r>
      <w:r>
        <w:t xml:space="preserve">permet un déploiement Terraform réel et gratuit, sans dépendre d’un cloud payant, tout en conservant une</w:t>
      </w:r>
      <w:r>
        <w:t xml:space="preserve"> </w:t>
      </w:r>
      <w:r>
        <w:rPr>
          <w:b/>
          <w:bCs/>
        </w:rPr>
        <w:t xml:space="preserve">architecture cible AWS</w:t>
      </w:r>
      <w:r>
        <w:t xml:space="preserve"> </w:t>
      </w:r>
      <w:r>
        <w:t xml:space="preserve">documentée.</w:t>
      </w:r>
    </w:p>
    <w:p>
      <w:pPr>
        <w:pStyle w:val="FirstParagraph"/>
      </w:pPr>
      <w:r>
        <w:rPr>
          <w:i/>
          <w:iCs/>
        </w:rPr>
        <w:t xml:space="preserve">Livrable :</w:t>
      </w:r>
      <w:r>
        <w:rPr>
          <w:i/>
          <w:iCs/>
        </w:rPr>
        <w:t xml:space="preserve"> </w:t>
      </w:r>
      <w:hyperlink r:id="rId19">
        <w:r>
          <w:rPr>
            <w:rStyle w:val="Hyperlink"/>
            <w:i/>
            <w:iCs/>
          </w:rPr>
          <w:t xml:space="preserve">document d’architecture</w:t>
        </w:r>
      </w:hyperlink>
      <w:r>
        <w:rPr>
          <w:i/>
          <w:iCs/>
        </w:rPr>
        <w:t xml:space="preserve">.</w:t>
      </w:r>
    </w:p>
    <w:p>
      <w:r>
        <w:pict>
          <v:rect style="width:0;height:1.5pt" o:hralign="center" o:hrstd="t" o:hr="t"/>
        </w:pict>
      </w:r>
    </w:p>
    <w:bookmarkEnd w:id="20"/>
    <w:bookmarkStart w:id="21" w:name="bloc-3-pipelines-de-données-pour-lia"/>
    <w:p>
      <w:pPr>
        <w:pStyle w:val="Heading2"/>
      </w:pPr>
      <w:r>
        <w:t xml:space="preserve">6. Bloc 3 — Pipelines de données pour l’IA</w:t>
      </w:r>
    </w:p>
    <w:p>
      <w:pPr>
        <w:pStyle w:val="FirstParagraph"/>
      </w:pPr>
      <w:r>
        <w:rPr>
          <w:b/>
          <w:bCs/>
        </w:rPr>
        <w:t xml:space="preserve">Conception batch + temps réel.</w:t>
      </w:r>
      <w:r>
        <w:t xml:space="preserve"> </w:t>
      </w:r>
      <w:r>
        <w:t xml:space="preserve">Le pipeline combine un traitement</w:t>
      </w:r>
      <w:r>
        <w:t xml:space="preserve"> </w:t>
      </w:r>
      <w:r>
        <w:rPr>
          <w:b/>
          <w:bCs/>
        </w:rPr>
        <w:t xml:space="preserve">batch</w:t>
      </w:r>
      <w:r>
        <w:t xml:space="preserve"> </w:t>
      </w:r>
      <w:r>
        <w:t xml:space="preserve">(chargement des millésimes BAAC, réentraînement) et une</w:t>
      </w:r>
      <w:r>
        <w:t xml:space="preserve"> </w:t>
      </w:r>
      <w:r>
        <w:rPr>
          <w:b/>
          <w:bCs/>
        </w:rPr>
        <w:t xml:space="preserve">ingestion temps réel</w:t>
      </w:r>
      <w:r>
        <w:t xml:space="preserve"> </w:t>
      </w:r>
      <w:r>
        <w:t xml:space="preserve">des signalements via</w:t>
      </w:r>
      <w:r>
        <w:t xml:space="preserve"> </w:t>
      </w:r>
      <w:r>
        <w:rPr>
          <w:b/>
          <w:bCs/>
        </w:rPr>
        <w:t xml:space="preserve">Redpanda</w:t>
      </w:r>
      <w:r>
        <w:t xml:space="preserve"> </w:t>
      </w:r>
      <w:r>
        <w:t xml:space="preserve">(compatible Kafka), adaptée aux contraintes de vélocité.</w:t>
      </w:r>
    </w:p>
    <w:p>
      <w:pPr>
        <w:pStyle w:val="BodyText"/>
      </w:pPr>
      <w:r>
        <w:rPr>
          <w:b/>
          <w:bCs/>
        </w:rPr>
        <w:t xml:space="preserve">ETL/ELT entre sources hétérogènes.</w:t>
      </w:r>
      <w:r>
        <w:t xml:space="preserve"> </w:t>
      </w:r>
      <w:r>
        <w:t xml:space="preserve">Le flux</w:t>
      </w:r>
      <w:r>
        <w:t xml:space="preserve"> </w:t>
      </w:r>
      <w:r>
        <w:rPr>
          <w:b/>
          <w:bCs/>
        </w:rPr>
        <w:t xml:space="preserve">Bronze → Silver → Gold</w:t>
      </w:r>
      <w:r>
        <w:t xml:space="preserve"> </w:t>
      </w:r>
      <w:r>
        <w:t xml:space="preserve">intègre des sources hétérogènes (BAAC, météo, géolocalisation, trafic) : nettoyage, typage,</w:t>
      </w:r>
      <w:r>
        <w:t xml:space="preserve"> </w:t>
      </w:r>
      <w:r>
        <w:rPr>
          <w:b/>
          <w:bCs/>
        </w:rPr>
        <w:t xml:space="preserve">pseudonymisation</w:t>
      </w:r>
      <w:r>
        <w:t xml:space="preserve">, jointures d’enrichissement, encodage, puis construction du schéma en étoile et du label</w:t>
      </w:r>
      <w:r>
        <w:t xml:space="preserve"> </w:t>
      </w:r>
      <w:r>
        <w:rPr>
          <w:rStyle w:val="VerbatimChar"/>
        </w:rPr>
        <w:t xml:space="preserve">is_grave</w:t>
      </w:r>
      <w:r>
        <w:t xml:space="preserve">.</w:t>
      </w:r>
    </w:p>
    <w:p>
      <w:pPr>
        <w:pStyle w:val="BodyText"/>
      </w:pPr>
      <w:r>
        <w:rPr>
          <w:b/>
          <w:bCs/>
        </w:rPr>
        <w:t xml:space="preserve">Automatisation complète.</w:t>
      </w:r>
      <w:r>
        <w:t xml:space="preserve"> </w:t>
      </w:r>
      <w:r>
        <w:t xml:space="preserve">Orchestration par</w:t>
      </w:r>
      <w:r>
        <w:t xml:space="preserve"> </w:t>
      </w:r>
      <w:r>
        <w:rPr>
          <w:b/>
          <w:bCs/>
        </w:rPr>
        <w:t xml:space="preserve">Airflow</w:t>
      </w:r>
      <w:r>
        <w:t xml:space="preserve"> </w:t>
      </w:r>
      <w:r>
        <w:t xml:space="preserve">: collecte, traitement, mise à jour,</w:t>
      </w:r>
      <w:r>
        <w:t xml:space="preserve"> </w:t>
      </w:r>
      <w:r>
        <w:rPr>
          <w:b/>
          <w:bCs/>
        </w:rPr>
        <w:t xml:space="preserve">alertes</w:t>
      </w:r>
      <w:r>
        <w:t xml:space="preserve"> </w:t>
      </w:r>
      <w:r>
        <w:t xml:space="preserve">et</w:t>
      </w:r>
      <w:r>
        <w:t xml:space="preserve"> </w:t>
      </w:r>
      <w:r>
        <w:rPr>
          <w:b/>
          <w:bCs/>
        </w:rPr>
        <w:t xml:space="preserve">reprise sur erreur</w:t>
      </w:r>
      <w:r>
        <w:t xml:space="preserve"> </w:t>
      </w:r>
      <w:r>
        <w:t xml:space="preserve">(retries, redémarrage) sans intervention manuelle.</w:t>
      </w:r>
    </w:p>
    <w:p>
      <w:pPr>
        <w:pStyle w:val="BodyText"/>
      </w:pPr>
      <w:r>
        <w:rPr>
          <w:b/>
          <w:bCs/>
        </w:rPr>
        <w:t xml:space="preserve">Contrôle qualité.</w:t>
      </w:r>
      <w:r>
        <w:t xml:space="preserve"> </w:t>
      </w:r>
      <w:r>
        <w:t xml:space="preserve">Validation par</w:t>
      </w:r>
      <w:r>
        <w:t xml:space="preserve"> </w:t>
      </w:r>
      <w:r>
        <w:rPr>
          <w:b/>
          <w:bCs/>
        </w:rPr>
        <w:t xml:space="preserve">Great Expectations</w:t>
      </w:r>
      <w:r>
        <w:t xml:space="preserve"> </w:t>
      </w:r>
      <w:r>
        <w:t xml:space="preserve">à chaque exécution (codes BAAC valides, complétude des clés, plausibilité des valeurs) ; les lots non conformes sont mis en quarantaine et signalés.</w:t>
      </w:r>
    </w:p>
    <w:p>
      <w:pPr>
        <w:pStyle w:val="BodyText"/>
      </w:pPr>
      <w:r>
        <w:rPr>
          <w:b/>
          <w:bCs/>
        </w:rPr>
        <w:t xml:space="preserve">Monitoring et conformité.</w:t>
      </w:r>
      <w:r>
        <w:t xml:space="preserve"> </w:t>
      </w:r>
      <w:r>
        <w:t xml:space="preserve">Suivi des métriques du pipeline et alertes proactives (Prometheus/Grafana). Conformité RGPD assurée par la</w:t>
      </w:r>
      <w:r>
        <w:t xml:space="preserve"> </w:t>
      </w:r>
      <w:r>
        <w:rPr>
          <w:b/>
          <w:bCs/>
        </w:rPr>
        <w:t xml:space="preserve">minimisation</w:t>
      </w:r>
      <w:r>
        <w:t xml:space="preserve"> </w:t>
      </w:r>
      <w:r>
        <w:t xml:space="preserve">(exclusion des identifiants directs et des variables post-enquête — règle</w:t>
      </w:r>
      <w:r>
        <w:t xml:space="preserve"> </w:t>
      </w:r>
      <w:r>
        <w:rPr>
          <w:b/>
          <w:bCs/>
        </w:rPr>
        <w:t xml:space="preserve">anti-leakage</w:t>
      </w:r>
      <w:r>
        <w:t xml:space="preserve">), la</w:t>
      </w:r>
      <w:r>
        <w:t xml:space="preserve"> </w:t>
      </w:r>
      <w:r>
        <w:rPr>
          <w:b/>
          <w:bCs/>
        </w:rPr>
        <w:t xml:space="preserve">traçabilité</w:t>
      </w:r>
      <w:r>
        <w:t xml:space="preserve"> </w:t>
      </w:r>
      <w:r>
        <w:t xml:space="preserve">(lineage des transformations) et le respect des durées de conservation.</w:t>
      </w:r>
    </w:p>
    <w:p>
      <w:r>
        <w:pict>
          <v:rect style="width:0;height:1.5pt" o:hralign="center" o:hrstd="t" o:hr="t"/>
        </w:pict>
      </w:r>
    </w:p>
    <w:bookmarkEnd w:id="21"/>
    <w:bookmarkStart w:id="22" w:name="bloc-4-déploiement-de-la-solution-ia"/>
    <w:p>
      <w:pPr>
        <w:pStyle w:val="Heading2"/>
      </w:pPr>
      <w:r>
        <w:t xml:space="preserve">7. Bloc 4 — Déploiement de la solution IA</w:t>
      </w:r>
    </w:p>
    <w:p>
      <w:pPr>
        <w:pStyle w:val="FirstParagraph"/>
      </w:pPr>
      <w:r>
        <w:rPr>
          <w:b/>
          <w:bCs/>
        </w:rPr>
        <w:t xml:space="preserve">Algorithme adapté.</w:t>
      </w:r>
      <w:r>
        <w:t xml:space="preserve"> </w:t>
      </w:r>
      <w:r>
        <w:t xml:space="preserve">Un modèle</w:t>
      </w:r>
      <w:r>
        <w:t xml:space="preserve"> </w:t>
      </w:r>
      <w:r>
        <w:rPr>
          <w:b/>
          <w:bCs/>
        </w:rPr>
        <w:t xml:space="preserve">LightGBM</w:t>
      </w:r>
      <w:r>
        <w:t xml:space="preserve"> </w:t>
      </w:r>
      <w:r>
        <w:t xml:space="preserve">(avec une régression logistique en baseline) réalise la</w:t>
      </w:r>
      <w:r>
        <w:t xml:space="preserve"> </w:t>
      </w:r>
      <w:r>
        <w:rPr>
          <w:b/>
          <w:bCs/>
        </w:rPr>
        <w:t xml:space="preserve">classification binaire</w:t>
      </w:r>
      <w:r>
        <w:t xml:space="preserve"> </w:t>
      </w:r>
      <w:r>
        <w:rPr>
          <w:rStyle w:val="VerbatimChar"/>
        </w:rPr>
        <w:t xml:space="preserve">grave</w:t>
      </w:r>
      <w:r>
        <w:t xml:space="preserve"> </w:t>
      </w:r>
      <w:r>
        <w:t xml:space="preserve">/</w:t>
      </w:r>
      <w:r>
        <w:t xml:space="preserve"> </w:t>
      </w:r>
      <w:r>
        <w:rPr>
          <w:rStyle w:val="VerbatimChar"/>
        </w:rPr>
        <w:t xml:space="preserve">non grave</w:t>
      </w:r>
      <w:r>
        <w:t xml:space="preserve">. Ce choix est justifié par l’efficacité du gradient boosting sur des données</w:t>
      </w:r>
      <w:r>
        <w:t xml:space="preserve"> </w:t>
      </w:r>
      <w:r>
        <w:rPr>
          <w:b/>
          <w:bCs/>
        </w:rPr>
        <w:t xml:space="preserve">tabulaires déséquilibrées</w:t>
      </w:r>
      <w:r>
        <w:t xml:space="preserve"> </w:t>
      </w:r>
      <w:r>
        <w:t xml:space="preserve">(pondération des classes), sa rapidité et son explicabilité ; un modèle profond serait inadapté à ce type et ce volume de données. Métriques retenues :</w:t>
      </w:r>
      <w:r>
        <w:t xml:space="preserve"> </w:t>
      </w:r>
      <w:r>
        <w:rPr>
          <w:b/>
          <w:bCs/>
        </w:rPr>
        <w:t xml:space="preserve">recall de la classe</w:t>
      </w:r>
      <w:r>
        <w:rPr>
          <w:b/>
          <w:bCs/>
        </w:rPr>
        <w:t xml:space="preserve"> </w:t>
      </w:r>
      <w:r>
        <w:rPr>
          <w:rStyle w:val="VerbatimChar"/>
          <w:b/>
          <w:bCs/>
        </w:rPr>
        <w:t xml:space="preserve">grave</w:t>
      </w:r>
      <w:r>
        <w:rPr>
          <w:b/>
          <w:bCs/>
        </w:rPr>
        <w:t xml:space="preserve"> </w:t>
      </w:r>
      <w:r>
        <w:rPr>
          <w:b/>
          <w:bCs/>
        </w:rPr>
        <w:t xml:space="preserve">≥ 0,80</w:t>
      </w:r>
      <w:r>
        <w:t xml:space="preserve"> </w:t>
      </w:r>
      <w:r>
        <w:t xml:space="preserve">(ne pas manquer un cas grave est prioritaire), F1 macro, PR-AUC.</w:t>
      </w:r>
    </w:p>
    <w:p>
      <w:pPr>
        <w:pStyle w:val="BodyText"/>
      </w:pPr>
      <w:r>
        <w:rPr>
          <w:b/>
          <w:bCs/>
        </w:rPr>
        <w:t xml:space="preserve">Intégration.</w:t>
      </w:r>
      <w:r>
        <w:t xml:space="preserve"> </w:t>
      </w:r>
      <w:r>
        <w:t xml:space="preserve">Exposition via une</w:t>
      </w:r>
      <w:r>
        <w:t xml:space="preserve"> </w:t>
      </w:r>
      <w:r>
        <w:rPr>
          <w:b/>
          <w:bCs/>
        </w:rPr>
        <w:t xml:space="preserve">API FastAPI</w:t>
      </w:r>
      <w:r>
        <w:t xml:space="preserve"> </w:t>
      </w:r>
      <w:r>
        <w:t xml:space="preserve">(</w:t>
      </w:r>
      <w:r>
        <w:rPr>
          <w:rStyle w:val="VerbatimChar"/>
        </w:rPr>
        <w:t xml:space="preserve">/v1/predict-severity</w:t>
      </w:r>
      <w:r>
        <w:t xml:space="preserve">) renvoyant un score, une classe et une</w:t>
      </w:r>
      <w:r>
        <w:t xml:space="preserve"> </w:t>
      </w:r>
      <w:r>
        <w:rPr>
          <w:b/>
          <w:bCs/>
        </w:rPr>
        <w:t xml:space="preserve">explication SHAP</w:t>
      </w:r>
      <w:r>
        <w:t xml:space="preserve">, avec gestion des erreurs et sécurisation des accès, compatible avec l’infrastructure existante.</w:t>
      </w:r>
    </w:p>
    <w:p>
      <w:pPr>
        <w:pStyle w:val="BodyText"/>
      </w:pPr>
      <w:r>
        <w:rPr>
          <w:b/>
          <w:bCs/>
        </w:rPr>
        <w:t xml:space="preserve">CI/CD.</w:t>
      </w:r>
      <w:r>
        <w:t xml:space="preserve"> </w:t>
      </w:r>
      <w:r>
        <w:t xml:space="preserve">Pipeline</w:t>
      </w:r>
      <w:r>
        <w:t xml:space="preserve"> </w:t>
      </w:r>
      <w:r>
        <w:rPr>
          <w:b/>
          <w:bCs/>
        </w:rPr>
        <w:t xml:space="preserve">GitHub Actions</w:t>
      </w:r>
      <w:r>
        <w:t xml:space="preserve"> </w:t>
      </w:r>
      <w:r>
        <w:t xml:space="preserve">automatisé de bout en bout (tests, lint, build, déploiement) avec</w:t>
      </w:r>
      <w:r>
        <w:t xml:space="preserve"> </w:t>
      </w:r>
      <w:r>
        <w:rPr>
          <w:b/>
          <w:bCs/>
        </w:rPr>
        <w:t xml:space="preserve">gestion des versions</w:t>
      </w:r>
      <w:r>
        <w:t xml:space="preserve"> </w:t>
      </w:r>
      <w:r>
        <w:t xml:space="preserve">du code, des données et des modèles (MLflow).</w:t>
      </w:r>
    </w:p>
    <w:p>
      <w:pPr>
        <w:pStyle w:val="BodyText"/>
      </w:pPr>
      <w:r>
        <w:rPr>
          <w:b/>
          <w:bCs/>
        </w:rPr>
        <w:t xml:space="preserve">Réentraînement et dérive.</w:t>
      </w:r>
      <w:r>
        <w:t xml:space="preserve"> </w:t>
      </w:r>
      <w:r>
        <w:t xml:space="preserve">Scripts de</w:t>
      </w:r>
      <w:r>
        <w:t xml:space="preserve"> </w:t>
      </w:r>
      <w:r>
        <w:rPr>
          <w:b/>
          <w:bCs/>
        </w:rPr>
        <w:t xml:space="preserve">réentraînement automatique</w:t>
      </w:r>
      <w:r>
        <w:t xml:space="preserve"> </w:t>
      </w:r>
      <w:r>
        <w:t xml:space="preserve">(nouveau millésime ou détection de dérive), reproductibles (graines fixées, versioning).</w:t>
      </w:r>
      <w:r>
        <w:t xml:space="preserve"> </w:t>
      </w:r>
      <w:r>
        <w:rPr>
          <w:b/>
          <w:bCs/>
        </w:rPr>
        <w:t xml:space="preserve">Détection de dérive</w:t>
      </w:r>
      <w:r>
        <w:t xml:space="preserve"> </w:t>
      </w:r>
      <w:r>
        <w:t xml:space="preserve">(data drift) via</w:t>
      </w:r>
      <w:r>
        <w:t xml:space="preserve"> </w:t>
      </w:r>
      <w:r>
        <w:rPr>
          <w:b/>
          <w:bCs/>
        </w:rPr>
        <w:t xml:space="preserve">Evidently</w:t>
      </w:r>
      <w:r>
        <w:t xml:space="preserve"> </w:t>
      </w:r>
      <w:r>
        <w:t xml:space="preserve">(PSI &lt; 0,2 comme seuil de déclenchement).</w:t>
      </w:r>
    </w:p>
    <w:p>
      <w:pPr>
        <w:pStyle w:val="BodyText"/>
      </w:pPr>
      <w:r>
        <w:rPr>
          <w:b/>
          <w:bCs/>
        </w:rPr>
        <w:t xml:space="preserve">Monitoring en production.</w:t>
      </w:r>
      <w:r>
        <w:t xml:space="preserve"> </w:t>
      </w:r>
      <w:r>
        <w:t xml:space="preserve">Suivi des performances et de la latence, alertes proactives, vérification du respect des spécifications.</w:t>
      </w:r>
    </w:p>
    <w:p>
      <w:pPr>
        <w:pStyle w:val="BodyText"/>
      </w:pPr>
      <w:r>
        <w:rPr>
          <w:b/>
          <w:bCs/>
        </w:rPr>
        <w:t xml:space="preserve">Conformité et éthique.</w:t>
      </w:r>
      <w:r>
        <w:t xml:space="preserve"> </w:t>
      </w:r>
      <w:r>
        <w:t xml:space="preserve">RGPD, Loi Informatique et Libertés, ISO 27001 ;</w:t>
      </w:r>
      <w:r>
        <w:t xml:space="preserve"> </w:t>
      </w:r>
      <w:r>
        <w:rPr>
          <w:b/>
          <w:bCs/>
        </w:rPr>
        <w:t xml:space="preserve">IA éthique</w:t>
      </w:r>
      <w:r>
        <w:t xml:space="preserve"> </w:t>
      </w:r>
      <w:r>
        <w:t xml:space="preserve">: explicabilité (SHAP),</w:t>
      </w:r>
      <w:r>
        <w:t xml:space="preserve"> </w:t>
      </w:r>
      <w:r>
        <w:rPr>
          <w:b/>
          <w:bCs/>
        </w:rPr>
        <w:t xml:space="preserve">tests de non-discrimination</w:t>
      </w:r>
      <w:r>
        <w:t xml:space="preserve"> </w:t>
      </w:r>
      <w:r>
        <w:t xml:space="preserve">(équité selon âge/sexe), respect de la vie privée,</w:t>
      </w:r>
      <w:r>
        <w:t xml:space="preserve"> </w:t>
      </w:r>
      <w:r>
        <w:rPr>
          <w:b/>
          <w:bCs/>
        </w:rPr>
        <w:t xml:space="preserve">human-in-the-loop</w:t>
      </w:r>
      <w:r>
        <w:t xml:space="preserve"> </w:t>
      </w:r>
      <w:r>
        <w:t xml:space="preserve">;</w:t>
      </w:r>
      <w:r>
        <w:t xml:space="preserve"> </w:t>
      </w:r>
      <w:r>
        <w:rPr>
          <w:b/>
          <w:bCs/>
        </w:rPr>
        <w:t xml:space="preserve">accessibilité</w:t>
      </w:r>
      <w:r>
        <w:t xml:space="preserve"> </w:t>
      </w:r>
      <w:r>
        <w:t xml:space="preserve">des interfaces et documents (RGAA).</w:t>
      </w:r>
    </w:p>
    <w:p>
      <w:pPr>
        <w:pStyle w:val="BlockText"/>
      </w:pPr>
      <w:r>
        <w:rPr>
          <w:b/>
          <w:bCs/>
        </w:rPr>
        <w:t xml:space="preserve">Justification du choix.</w:t>
      </w:r>
      <w:r>
        <w:t xml:space="preserve"> </w:t>
      </w:r>
      <w:r>
        <w:rPr>
          <w:b/>
          <w:bCs/>
        </w:rPr>
        <w:t xml:space="preserve">LightGBM</w:t>
      </w:r>
      <w:r>
        <w:t xml:space="preserve"> </w:t>
      </w:r>
      <w:r>
        <w:t xml:space="preserve">a été préféré à un réseau de neurones profond : sur des données</w:t>
      </w:r>
      <w:r>
        <w:t xml:space="preserve"> </w:t>
      </w:r>
      <w:r>
        <w:rPr>
          <w:b/>
          <w:bCs/>
        </w:rPr>
        <w:t xml:space="preserve">tabulaires</w:t>
      </w:r>
      <w:r>
        <w:t xml:space="preserve"> </w:t>
      </w:r>
      <w:r>
        <w:t xml:space="preserve">de ce volume, le gradient boosting est plus performant, plus rapide à entraîner et surtout plus</w:t>
      </w:r>
      <w:r>
        <w:t xml:space="preserve"> </w:t>
      </w:r>
      <w:r>
        <w:rPr>
          <w:b/>
          <w:bCs/>
        </w:rPr>
        <w:t xml:space="preserve">explicable</w:t>
      </w:r>
      <w:r>
        <w:t xml:space="preserve"> </w:t>
      </w:r>
      <w:r>
        <w:t xml:space="preserve">(compatibilité naturelle avec SHAP) — or l’explicabilité est ici une exigence réglementaire. Un modèle profond n’apporterait pas de gain de performance et complexifierait la justification éthique.</w:t>
      </w:r>
    </w:p>
    <w:p>
      <w:pPr>
        <w:pStyle w:val="BlockText"/>
      </w:pPr>
      <w:r>
        <w:rPr>
          <w:b/>
          <w:bCs/>
        </w:rPr>
        <w:t xml:space="preserve">Deux dépôts distincts</w:t>
      </w:r>
      <w:r>
        <w:t xml:space="preserve"> </w:t>
      </w:r>
      <w:r>
        <w:t xml:space="preserve">sont prévus, conformément à l’attendu : un dépôt pour la</w:t>
      </w:r>
      <w:r>
        <w:t xml:space="preserve"> </w:t>
      </w:r>
      <w:r>
        <w:rPr>
          <w:b/>
          <w:bCs/>
        </w:rPr>
        <w:t xml:space="preserve">solution IA</w:t>
      </w:r>
      <w:r>
        <w:t xml:space="preserve"> </w:t>
      </w:r>
      <w:r>
        <w:t xml:space="preserve">(entraînement, modèle, API) et un dépôt pour le</w:t>
      </w:r>
      <w:r>
        <w:t xml:space="preserve"> </w:t>
      </w:r>
      <w:r>
        <w:rPr>
          <w:b/>
          <w:bCs/>
        </w:rPr>
        <w:t xml:space="preserve">pipeline CI/CD et l’infrastructure</w:t>
      </w:r>
      <w:r>
        <w:t xml:space="preserve"> </w:t>
      </w:r>
      <w:r>
        <w:t xml:space="preserve">(IaC, déploiement, orchestration).</w:t>
      </w:r>
    </w:p>
    <w:p>
      <w:r>
        <w:pict>
          <v:rect style="width:0;height:1.5pt" o:hralign="center" o:hrstd="t" o:hr="t"/>
        </w:pict>
      </w:r>
    </w:p>
    <w:bookmarkEnd w:id="22"/>
    <w:bookmarkStart w:id="23" w:name="synthèse-des-livrables-prévus"/>
    <w:p>
      <w:pPr>
        <w:pStyle w:val="Heading2"/>
      </w:pPr>
      <w:r>
        <w:t xml:space="preserve">8. Synthèse des livrables prévus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w:t>
            </w:r>
          </w:p>
        </w:tc>
        <w:tc>
          <w:tcPr/>
          <w:p>
            <w:pPr>
              <w:pStyle w:val="Compact"/>
            </w:pPr>
            <w:r>
              <w:t xml:space="preserve">Livrables</w:t>
            </w:r>
          </w:p>
        </w:tc>
      </w:tr>
      <w:tr>
        <w:tc>
          <w:tcPr/>
          <w:p>
            <w:pPr>
              <w:pStyle w:val="Compact"/>
            </w:pPr>
            <w:r>
              <w:rPr>
                <w:b/>
                <w:bCs/>
              </w:rPr>
              <w:t xml:space="preserve">Transverse</w:t>
            </w:r>
          </w:p>
        </w:tc>
        <w:tc>
          <w:tcPr/>
          <w:p>
            <w:pPr>
              <w:pStyle w:val="Compact"/>
            </w:pPr>
            <w:r>
              <w:t xml:space="preserve">Cahier des charges ; ce document de présentation ; dépôts GitHub</w:t>
            </w:r>
          </w:p>
        </w:tc>
      </w:tr>
      <w:tr>
        <w:tc>
          <w:tcPr/>
          <w:p>
            <w:pPr>
              <w:pStyle w:val="Compact"/>
            </w:pPr>
            <w:r>
              <w:rPr>
                <w:b/>
                <w:bCs/>
              </w:rPr>
              <w:t xml:space="preserve">Bloc 1 — Gouvernance</w:t>
            </w:r>
          </w:p>
        </w:tc>
        <w:tc>
          <w:tcPr/>
          <w:p>
            <w:pPr>
              <w:pStyle w:val="Compact"/>
            </w:pPr>
            <w:r>
              <w:t xml:space="preserve">Plan de gouvernance des données ; AIPD ; matrice RACI ; présentation (slides)</w:t>
            </w:r>
          </w:p>
        </w:tc>
      </w:tr>
      <w:tr>
        <w:tc>
          <w:tcPr/>
          <w:p>
            <w:pPr>
              <w:pStyle w:val="Compact"/>
            </w:pPr>
            <w:r>
              <w:rPr>
                <w:b/>
                <w:bCs/>
              </w:rPr>
              <w:t xml:space="preserve">Bloc 2 — Architecture</w:t>
            </w:r>
          </w:p>
        </w:tc>
        <w:tc>
          <w:tcPr/>
          <w:p>
            <w:pPr>
              <w:pStyle w:val="Compact"/>
            </w:pPr>
            <w:r>
              <w:t xml:space="preserve">Document d’architecture ; diagrammes (flux, ER, schéma en étoile) ; code Terraform (IaC) ; vidéo de l’infra déployée (LocalStack)</w:t>
            </w:r>
          </w:p>
        </w:tc>
      </w:tr>
      <w:tr>
        <w:tc>
          <w:tcPr/>
          <w:p>
            <w:pPr>
              <w:pStyle w:val="Compact"/>
            </w:pPr>
            <w:r>
              <w:rPr>
                <w:b/>
                <w:bCs/>
              </w:rPr>
              <w:t xml:space="preserve">Bloc 3 — Pipelines</w:t>
            </w:r>
          </w:p>
        </w:tc>
        <w:tc>
          <w:tcPr/>
          <w:p>
            <w:pPr>
              <w:pStyle w:val="Compact"/>
            </w:pPr>
            <w:r>
              <w:t xml:space="preserve">DAGs Airflow ; pipeline ETL/ELT Bronze→Silver→Gold ; suite Great Expectations ; tableaux de bord de monitoring ; vidéo du pipeline en exécution</w:t>
            </w:r>
          </w:p>
        </w:tc>
      </w:tr>
      <w:tr>
        <w:tc>
          <w:tcPr/>
          <w:p>
            <w:pPr>
              <w:pStyle w:val="Compact"/>
            </w:pPr>
            <w:r>
              <w:rPr>
                <w:b/>
                <w:bCs/>
              </w:rPr>
              <w:t xml:space="preserve">Bloc 4 — Solution IA</w:t>
            </w:r>
          </w:p>
        </w:tc>
        <w:tc>
          <w:tcPr/>
          <w:p>
            <w:pPr>
              <w:pStyle w:val="Compact"/>
            </w:pPr>
            <w:r>
              <w:t xml:space="preserve">Code de la solution IA (dépôt 1) ; pipeline CI/CD + IaC (dépôt 2) ; modèle suivi dans MLflow ; API FastAPI ; rapports d’explicabilité et d’équité ; monitoring de dérive (Evidently) ; vidéo de la solution en production</w:t>
            </w:r>
          </w:p>
        </w:tc>
      </w:tr>
    </w:tbl>
    <w:p>
      <w:pPr>
        <w:pStyle w:val="BodyText"/>
      </w:pPr>
      <w:r>
        <w:rPr>
          <w:b/>
          <w:bCs/>
        </w:rPr>
        <w:t xml:space="preserve">Format de remise.</w:t>
      </w:r>
      <w:r>
        <w:t xml:space="preserve"> </w:t>
      </w:r>
      <w:r>
        <w:t xml:space="preserve">Document final attendu au format</w:t>
      </w:r>
      <w:r>
        <w:t xml:space="preserve"> </w:t>
      </w:r>
      <w:r>
        <w:rPr>
          <w:rStyle w:val="VerbatimChar"/>
        </w:rPr>
        <w:t xml:space="preserve">.doc</w:t>
      </w:r>
      <w:r>
        <w:t xml:space="preserve"> </w:t>
      </w:r>
      <w:r>
        <w:t xml:space="preserve">nommé « Nom Prénom », déposé sur le Drive de l’école avant le</w:t>
      </w:r>
      <w:r>
        <w:t xml:space="preserve"> </w:t>
      </w:r>
      <w:r>
        <w:rPr>
          <w:b/>
          <w:bCs/>
        </w:rPr>
        <w:t xml:space="preserve">jeudi 2 juillet 2026</w:t>
      </w:r>
      <w:r>
        <w:t xml:space="preserve">.</w:t>
      </w:r>
    </w:p>
    <w:p>
      <w:r>
        <w:pict>
          <v:rect style="width:0;height:1.5pt" o:hralign="center" o:hrstd="t" o:hr="t"/>
        </w:pict>
      </w:r>
    </w:p>
    <w:bookmarkEnd w:id="23"/>
    <w:bookmarkStart w:id="24" w:name="sources"/>
    <w:p>
      <w:pPr>
        <w:pStyle w:val="Heading2"/>
      </w:pPr>
      <w:r>
        <w:t xml:space="preserve">Sources</w:t>
      </w:r>
    </w:p>
    <w:p>
      <w:pPr>
        <w:pStyle w:val="Compact"/>
        <w:numPr>
          <w:ilvl w:val="0"/>
          <w:numId w:val="1004"/>
        </w:numPr>
      </w:pPr>
      <w:r>
        <w:t xml:space="preserve">ONISR —</w:t>
      </w:r>
      <w:r>
        <w:t xml:space="preserve"> </w:t>
      </w:r>
      <w:r>
        <w:rPr>
          <w:i/>
          <w:iCs/>
        </w:rPr>
        <w:t xml:space="preserve">Bilan définitif 2024 de la sécurité routière</w:t>
      </w:r>
      <w:r>
        <w:t xml:space="preserve"> </w:t>
      </w:r>
      <w:r>
        <w:t xml:space="preserve">: https://www.onisr.securite-routiere.gouv.fr/en/road-safety-performance/annual-road-safety-reports/2024-road-safety-annual-report (≈ 3 432 tués France entière, ≈ 235 000 blessés dont ≈ 16 000 graves).</w:t>
      </w:r>
    </w:p>
    <w:p>
      <w:pPr>
        <w:pStyle w:val="Compact"/>
        <w:numPr>
          <w:ilvl w:val="0"/>
          <w:numId w:val="1004"/>
        </w:numPr>
      </w:pPr>
      <w:r>
        <w:t xml:space="preserve">ONISR —</w:t>
      </w:r>
      <w:r>
        <w:t xml:space="preserve"> </w:t>
      </w:r>
      <w:r>
        <w:rPr>
          <w:i/>
          <w:iCs/>
        </w:rPr>
        <w:t xml:space="preserve">Bilan 2023 de la sécurité routière</w:t>
      </w:r>
      <w:r>
        <w:t xml:space="preserve"> </w:t>
      </w:r>
      <w:r>
        <w:t xml:space="preserve">: https://www.onisr.securite-routiere.gouv.fr/en/road-safety-performance/annual-road-safety-reports/2023-road-safety-annual-report</w:t>
      </w:r>
    </w:p>
    <w:p>
      <w:pPr>
        <w:pStyle w:val="Compact"/>
        <w:numPr>
          <w:ilvl w:val="0"/>
          <w:numId w:val="1004"/>
        </w:numPr>
      </w:pPr>
      <w:r>
        <w:t xml:space="preserve">Données BAAC (accidents corporels 2005→2024), data.gouv.fr : https://www.data.gouv.fr/fr/datasets/bases-de-donnees-annuelles-des-accidents-corporels-de-la-circulation-routiere-annees-de-2005-a-2024/</w:t>
      </w:r>
    </w:p>
    <w:p>
      <w:pPr>
        <w:pStyle w:val="BlockText"/>
      </w:pPr>
      <w:r>
        <w:t xml:space="preserve">Le</w:t>
      </w:r>
      <w:r>
        <w:t xml:space="preserve"> </w:t>
      </w:r>
      <w:r>
        <w:rPr>
          <w:b/>
          <w:bCs/>
        </w:rPr>
        <w:t xml:space="preserve">nombre d’accidents corporels</w:t>
      </w:r>
      <w:r>
        <w:t xml:space="preserve"> </w:t>
      </w:r>
      <w:r>
        <w:t xml:space="preserve">(~50 000/an) est un ordre de grandeur issu des bases BAAC ; les</w:t>
      </w:r>
      <w:r>
        <w:t xml:space="preserve"> </w:t>
      </w:r>
      <w:r>
        <w:rPr>
          <w:b/>
          <w:bCs/>
        </w:rPr>
        <w:t xml:space="preserve">débits de signalements temps réel</w:t>
      </w:r>
      <w:r>
        <w:t xml:space="preserve"> </w:t>
      </w:r>
      <w:r>
        <w:t xml:space="preserve">sont une estimation propre au scénario fictif VigiRoute, non issue d’une statistique officielle.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AIPD_GRAVIA.md" TargetMode="External" /><Relationship Type="http://schemas.openxmlformats.org/officeDocument/2006/relationships/hyperlink" Id="rId19" Target="Architecture_GRAVIA.md" TargetMode="External" /><Relationship Type="http://schemas.openxmlformats.org/officeDocument/2006/relationships/hyperlink" Id="rId16" Target="Gouvernance_GRAVIA.md" TargetMode="External" /></Relationships>
</file>

<file path=word/_rels/footnotes.xml.rels><?xml version="1.0" encoding="UTF-8"?><Relationships xmlns="http://schemas.openxmlformats.org/package/2006/relationships"><Relationship Type="http://schemas.openxmlformats.org/officeDocument/2006/relationships/hyperlink" Id="rId17" Target="AIPD_GRAVIA.md" TargetMode="External" /><Relationship Type="http://schemas.openxmlformats.org/officeDocument/2006/relationships/hyperlink" Id="rId19" Target="Architecture_GRAVIA.md" TargetMode="External" /><Relationship Type="http://schemas.openxmlformats.org/officeDocument/2006/relationships/hyperlink" Id="rId16" Target="Gouvernance_GRAVIA.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2026-06-29T10:04:26Z</dcterms:created>
  <dcterms:modified xsi:type="dcterms:W3CDTF">2026-06-29T10:04:26Z</dcterms:modified>
</cp:coreProperties>
</file>

<file path=docProps/custom.xml><?xml version="1.0" encoding="utf-8"?>
<Properties xmlns="http://schemas.openxmlformats.org/officeDocument/2006/custom-properties" xmlns:vt="http://schemas.openxmlformats.org/officeDocument/2006/docPropsVTypes"/>
</file>