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0"/>
      </w:pPr>
    </w:p>
    <w:p>
      <w:pPr>
        <w:jc w:val="center"/>
      </w:pPr>
      <w:r>
        <w:rPr>
          <w:b/>
          <w:bCs/>
          <w:color w:val="111827"/>
          <w:sz w:val="44"/>
          <w:szCs w:val="44"/>
        </w:rPr>
        <w:t xml:space="preserve">PLAN DE GOUVERNANCE DES DONNÉES</w:t>
      </w:r>
    </w:p>
    <w:p>
      <w:pPr>
        <w:spacing w:after="100" w:before="200"/>
        <w:jc w:val="center"/>
      </w:pPr>
      <w:r>
        <w:rPr>
          <w:b/>
          <w:bCs/>
          <w:color w:val="166534"/>
          <w:sz w:val="36"/>
          <w:szCs w:val="36"/>
        </w:rPr>
        <w:t xml:space="preserve">GRAVIA</w:t>
      </w:r>
    </w:p>
    <w:p>
      <w:pPr>
        <w:spacing w:after="700"/>
        <w:jc w:val="center"/>
      </w:pPr>
      <w:r>
        <w:rPr>
          <w:i/>
          <w:iCs/>
          <w:color w:val="595959"/>
          <w:sz w:val="22"/>
          <w:szCs w:val="22"/>
        </w:rPr>
        <w:t xml:space="preserve">Aide à la décision pour la priorisation des secours routiers</w:t>
      </w:r>
    </w:p>
    <w:tbl>
      <w:tblPr>
        <w:tblW w:type="dxa" w:w="9638"/>
        <w:tblBorders>
          <w:top w:val="single" w:color="D9D9D9" w:sz="4"/>
          <w:left w:val="single" w:color="D9D9D9" w:sz="4"/>
          <w:bottom w:val="single" w:color="D9D9D9" w:sz="4"/>
          <w:right w:val="single" w:color="D9D9D9" w:sz="4"/>
          <w:insideH w:val="single" w:color="D9D9D9" w:sz="2"/>
          <w:insideV w:val="single" w:color="D9D9D9" w:sz="2"/>
        </w:tblBorders>
      </w:tblPr>
      <w:tblGrid>
        <w:gridCol w:w="3000"/>
        <w:gridCol w:w="6638"/>
      </w:tblGrid>
      <w:tr>
        <w:trPr>
          <w:tblHeader/>
        </w:trPr>
        <w:tc>
          <w:tcPr>
            <w:tcW w:type="dxa" w:w="3000"/>
            <w:shd w:fill="1F2937" w:val="clear"/>
            <w:tcMar>
              <w:top w:type="dxa" w:w="80"/>
              <w:left w:type="dxa" w:w="110"/>
              <w:bottom w:type="dxa" w:w="80"/>
              <w:right w:type="dxa" w:w="110"/>
            </w:tcMar>
            <w:vAlign w:val="center"/>
          </w:tcPr>
          <w:p>
            <w:pPr>
              <w:jc w:val="left"/>
            </w:pPr>
            <w:r>
              <w:rPr>
                <w:b/>
                <w:bCs/>
                <w:color w:val="FFFFFF"/>
                <w:sz w:val="19"/>
                <w:szCs w:val="19"/>
              </w:rPr>
              <w:t xml:space="preserve"/>
            </w:r>
          </w:p>
        </w:tc>
        <w:tc>
          <w:tcPr>
            <w:tcW w:type="dxa" w:w="6638"/>
            <w:shd w:fill="1F2937" w:val="clear"/>
            <w:tcMar>
              <w:top w:type="dxa" w:w="80"/>
              <w:left w:type="dxa" w:w="110"/>
              <w:bottom w:type="dxa" w:w="80"/>
              <w:right w:type="dxa" w:w="110"/>
            </w:tcMar>
            <w:vAlign w:val="center"/>
          </w:tcPr>
          <w:p>
            <w:pPr>
              <w:jc w:val="left"/>
            </w:pPr>
            <w:r>
              <w:rPr>
                <w:b/>
                <w:bCs/>
                <w:color w:val="FFFFFF"/>
                <w:sz w:val="19"/>
                <w:szCs w:val="19"/>
              </w:rPr>
              <w:t xml:space="preserve"/>
            </w:r>
          </w:p>
        </w:tc>
      </w:tr>
      <w:tr>
        <w:tc>
          <w:tcPr>
            <w:tcW w:type="dxa" w:w="3000"/>
            <w:tcMar>
              <w:top w:type="dxa" w:w="80"/>
              <w:left w:type="dxa" w:w="110"/>
              <w:bottom w:type="dxa" w:w="80"/>
              <w:right w:type="dxa" w:w="110"/>
            </w:tcMar>
            <w:vAlign w:val="center"/>
          </w:tcPr>
          <w:p>
            <w:pPr>
              <w:jc w:val="left"/>
            </w:pPr>
            <w:r>
              <w:rPr>
                <w:b w:val="false"/>
                <w:bCs w:val="false"/>
                <w:color w:val="000000"/>
                <w:sz w:val="19"/>
                <w:szCs w:val="19"/>
              </w:rPr>
              <w:t xml:space="preserve">Organisation (fictive)</w:t>
            </w:r>
          </w:p>
        </w:tc>
        <w:tc>
          <w:tcPr>
            <w:tcW w:type="dxa" w:w="6638"/>
            <w:tcMar>
              <w:top w:type="dxa" w:w="80"/>
              <w:left w:type="dxa" w:w="110"/>
              <w:bottom w:type="dxa" w:w="80"/>
              <w:right w:type="dxa" w:w="110"/>
            </w:tcMar>
            <w:vAlign w:val="center"/>
          </w:tcPr>
          <w:p>
            <w:pPr>
              <w:jc w:val="left"/>
            </w:pPr>
            <w:r>
              <w:rPr>
                <w:b w:val="false"/>
                <w:bCs w:val="false"/>
                <w:color w:val="000000"/>
                <w:sz w:val="19"/>
                <w:szCs w:val="19"/>
              </w:rPr>
              <w:t xml:space="preserve">VigiRoute, opérateur d'intérêt public</w:t>
            </w:r>
          </w:p>
        </w:tc>
      </w:tr>
      <w:tr>
        <w:tc>
          <w:tcPr>
            <w:tcW w:type="dxa" w:w="30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Version</w:t>
            </w:r>
          </w:p>
        </w:tc>
        <w:tc>
          <w:tcPr>
            <w:tcW w:type="dxa" w:w="66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0.2 (révisé après implémentation : cadrage initial du 2026-06-29, périmètre réel confirmé au 2026-09-13)</w:t>
            </w:r>
          </w:p>
        </w:tc>
      </w:tr>
      <w:tr>
        <w:tc>
          <w:tcPr>
            <w:tcW w:type="dxa" w:w="3000"/>
            <w:tcMar>
              <w:top w:type="dxa" w:w="80"/>
              <w:left w:type="dxa" w:w="110"/>
              <w:bottom w:type="dxa" w:w="80"/>
              <w:right w:type="dxa" w:w="110"/>
            </w:tcMar>
            <w:vAlign w:val="center"/>
          </w:tcPr>
          <w:p>
            <w:pPr>
              <w:jc w:val="left"/>
            </w:pPr>
            <w:r>
              <w:rPr>
                <w:b w:val="false"/>
                <w:bCs w:val="false"/>
                <w:color w:val="000000"/>
                <w:sz w:val="19"/>
                <w:szCs w:val="19"/>
              </w:rPr>
              <w:t xml:space="preserve">Date de dernière révision</w:t>
            </w:r>
          </w:p>
        </w:tc>
        <w:tc>
          <w:tcPr>
            <w:tcW w:type="dxa" w:w="6638"/>
            <w:tcMar>
              <w:top w:type="dxa" w:w="80"/>
              <w:left w:type="dxa" w:w="110"/>
              <w:bottom w:type="dxa" w:w="80"/>
              <w:right w:type="dxa" w:w="110"/>
            </w:tcMar>
            <w:vAlign w:val="center"/>
          </w:tcPr>
          <w:p>
            <w:pPr>
              <w:jc w:val="left"/>
            </w:pPr>
            <w:r>
              <w:rPr>
                <w:b w:val="false"/>
                <w:bCs w:val="false"/>
                <w:color w:val="000000"/>
                <w:sz w:val="19"/>
                <w:szCs w:val="19"/>
              </w:rPr>
              <w:t xml:space="preserve">2026-09-13</w:t>
            </w:r>
          </w:p>
        </w:tc>
      </w:tr>
      <w:tr>
        <w:tc>
          <w:tcPr>
            <w:tcW w:type="dxa" w:w="30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Bloc RNCP</w:t>
            </w:r>
          </w:p>
        </w:tc>
        <w:tc>
          <w:tcPr>
            <w:tcW w:type="dxa" w:w="66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Bloc 1 — Piloter la gouvernance des données</w:t>
            </w:r>
          </w:p>
        </w:tc>
      </w:tr>
      <w:tr>
        <w:tc>
          <w:tcPr>
            <w:tcW w:type="dxa" w:w="3000"/>
            <w:tcMar>
              <w:top w:type="dxa" w:w="80"/>
              <w:left w:type="dxa" w:w="110"/>
              <w:bottom w:type="dxa" w:w="80"/>
              <w:right w:type="dxa" w:w="110"/>
            </w:tcMar>
            <w:vAlign w:val="center"/>
          </w:tcPr>
          <w:p>
            <w:pPr>
              <w:jc w:val="left"/>
            </w:pPr>
            <w:r>
              <w:rPr>
                <w:b w:val="false"/>
                <w:bCs w:val="false"/>
                <w:color w:val="000000"/>
                <w:sz w:val="19"/>
                <w:szCs w:val="19"/>
              </w:rPr>
              <w:t xml:space="preserve">Documents liés</w:t>
            </w:r>
          </w:p>
        </w:tc>
        <w:tc>
          <w:tcPr>
            <w:tcW w:type="dxa" w:w="6638"/>
            <w:tcMar>
              <w:top w:type="dxa" w:w="80"/>
              <w:left w:type="dxa" w:w="110"/>
              <w:bottom w:type="dxa" w:w="80"/>
              <w:right w:type="dxa" w:w="110"/>
            </w:tcMar>
            <w:vAlign w:val="center"/>
          </w:tcPr>
          <w:p>
            <w:pPr>
              <w:jc w:val="left"/>
            </w:pPr>
            <w:r>
              <w:rPr>
                <w:b w:val="false"/>
                <w:bCs w:val="false"/>
                <w:color w:val="000000"/>
                <w:sz w:val="19"/>
                <w:szCs w:val="19"/>
              </w:rPr>
              <w:t xml:space="preserve">Cahier des charges GRAVIA · Architecture GRAVIA · AIPD GRAVIA</w:t>
            </w:r>
          </w:p>
        </w:tc>
      </w:tr>
    </w:tbl>
    <w:p>
      <w:r>
        <w:br w:type="page"/>
      </w:r>
    </w:p>
    <w:p>
      <w:pPr>
        <w:pStyle w:val="Heading1"/>
      </w:pPr>
      <w:r>
        <w:t xml:space="preserve">1. Objet et portée</w:t>
      </w:r>
    </w:p>
    <w:p>
      <w:pPr>
        <w:spacing w:after="160" w:line="276"/>
      </w:pPr>
      <w:r>
        <w:t xml:space="preserve">Ce document définit la politique de gouvernance des données de VigiRoute pour le projet GRAVIA. Il fixe les règles garantissant la </w:t>
      </w:r>
      <w:r>
        <w:rPr>
          <w:b/>
          <w:bCs/>
        </w:rPr>
        <w:t xml:space="preserve">qualité</w:t>
      </w:r>
      <w:r>
        <w:t xml:space="preserve">, la </w:t>
      </w:r>
      <w:r>
        <w:rPr>
          <w:b/>
          <w:bCs/>
        </w:rPr>
        <w:t xml:space="preserve">disponibilité</w:t>
      </w:r>
      <w:r>
        <w:t xml:space="preserve">, la </w:t>
      </w:r>
      <w:r>
        <w:rPr>
          <w:b/>
          <w:bCs/>
        </w:rPr>
        <w:t xml:space="preserve">sécurité</w:t>
      </w:r>
      <w:r>
        <w:t xml:space="preserve"> et la </w:t>
      </w:r>
      <w:r>
        <w:rPr>
          <w:b/>
          <w:bCs/>
        </w:rPr>
        <w:t xml:space="preserve">confidentialité</w:t>
      </w:r>
      <w:r>
        <w:t xml:space="preserve"> des données, ainsi que la </w:t>
      </w:r>
      <w:r>
        <w:rPr>
          <w:b/>
          <w:bCs/>
        </w:rPr>
        <w:t xml:space="preserve">conformité</w:t>
      </w:r>
      <w:r>
        <w:t xml:space="preserve"> aux réglementations en vigueur, sur l'ensemble du cycle de vie des données (ingestion → entraînement → production → archivage).</w:t>
      </w:r>
    </w:p>
    <w:p>
      <w:pPr>
        <w:spacing w:after="160" w:line="276"/>
      </w:pPr>
      <w:r>
        <w:t xml:space="preserve">Il s'adresse à toutes les parties prenantes du projet et constitue le cadre de référence opposable en cas d'audit.</w:t>
      </w:r>
    </w:p>
    <w:p>
      <w:pPr>
        <w:pStyle w:val="Heading1"/>
      </w:pPr>
      <w:r>
        <w:t xml:space="preserve">2. Contexte</w:t>
      </w:r>
    </w:p>
    <w:p>
      <w:pPr>
        <w:spacing w:after="160" w:line="276"/>
      </w:pPr>
      <w:r>
        <w:t xml:space="preserve">GRAVIA est un système d'aide à la décision qui prédit la gravité probable d'un accident au moment de son signalement, afin d'aider les opérateurs de secours à prioriser les moyens. Le système s'appuie :</w:t>
      </w:r>
    </w:p>
    <w:p>
      <w:pPr>
        <w:pStyle w:val="ListParagraph"/>
        <w:numPr>
          <w:ilvl w:val="0"/>
          <w:numId w:val="2"/>
        </w:numPr>
        <w:spacing w:after="80"/>
      </w:pPr>
      <w:r>
        <w:t xml:space="preserve">en apprentissage, sur la base ouverte BAAC (accidents corporels 2005→2024, data.gouv.fr) ;</w:t>
      </w:r>
    </w:p>
    <w:p>
      <w:pPr>
        <w:pStyle w:val="ListParagraph"/>
        <w:numPr>
          <w:ilvl w:val="0"/>
          <w:numId w:val="2"/>
        </w:numPr>
        <w:spacing w:after="80"/>
      </w:pPr>
      <w:r>
        <w:t xml:space="preserve">en production, sur des signalements temps réel concernant des victimes réelles identifiables (donnée de santé : gravité).</w:t>
      </w:r>
    </w:p>
    <w:p>
      <w:pPr>
        <w:spacing w:after="160" w:line="276"/>
      </w:pPr>
      <w:r>
        <w:t xml:space="preserve">Cette dualité (open data historique vs données opérationnelles sensibles) structure l'ensemble de la politique.</w:t>
      </w:r>
    </w:p>
    <w:p>
      <w:pPr>
        <w:pStyle w:val="Heading1"/>
      </w:pPr>
      <w:r>
        <w:t xml:space="preserve">3. Périmètre et classification des données</w:t>
      </w:r>
    </w:p>
    <w:tbl>
      <w:tblPr>
        <w:tblW w:type="dxa" w:w="9638"/>
        <w:tblBorders>
          <w:top w:val="single" w:color="D9D9D9" w:sz="4"/>
          <w:left w:val="single" w:color="D9D9D9" w:sz="4"/>
          <w:bottom w:val="single" w:color="D9D9D9" w:sz="4"/>
          <w:right w:val="single" w:color="D9D9D9" w:sz="4"/>
          <w:insideH w:val="single" w:color="D9D9D9" w:sz="2"/>
          <w:insideV w:val="single" w:color="D9D9D9" w:sz="2"/>
        </w:tblBorders>
      </w:tblPr>
      <w:tblGrid>
        <w:gridCol w:w="2600"/>
        <w:gridCol w:w="3400"/>
        <w:gridCol w:w="1400"/>
        <w:gridCol w:w="2238"/>
      </w:tblGrid>
      <w:tr>
        <w:trPr>
          <w:tblHeader/>
        </w:trPr>
        <w:tc>
          <w:tcPr>
            <w:tcW w:type="dxa" w:w="2600"/>
            <w:shd w:fill="1F2937" w:val="clear"/>
            <w:tcMar>
              <w:top w:type="dxa" w:w="80"/>
              <w:left w:type="dxa" w:w="110"/>
              <w:bottom w:type="dxa" w:w="80"/>
              <w:right w:type="dxa" w:w="110"/>
            </w:tcMar>
            <w:vAlign w:val="center"/>
          </w:tcPr>
          <w:p>
            <w:pPr>
              <w:jc w:val="left"/>
            </w:pPr>
            <w:r>
              <w:rPr>
                <w:b/>
                <w:bCs/>
                <w:color w:val="FFFFFF"/>
                <w:sz w:val="19"/>
                <w:szCs w:val="19"/>
              </w:rPr>
              <w:t xml:space="preserve">Catégorie</w:t>
            </w:r>
          </w:p>
        </w:tc>
        <w:tc>
          <w:tcPr>
            <w:tcW w:type="dxa" w:w="3400"/>
            <w:shd w:fill="1F2937" w:val="clear"/>
            <w:tcMar>
              <w:top w:type="dxa" w:w="80"/>
              <w:left w:type="dxa" w:w="110"/>
              <w:bottom w:type="dxa" w:w="80"/>
              <w:right w:type="dxa" w:w="110"/>
            </w:tcMar>
            <w:vAlign w:val="center"/>
          </w:tcPr>
          <w:p>
            <w:pPr>
              <w:jc w:val="left"/>
            </w:pPr>
            <w:r>
              <w:rPr>
                <w:b/>
                <w:bCs/>
                <w:color w:val="FFFFFF"/>
                <w:sz w:val="19"/>
                <w:szCs w:val="19"/>
              </w:rPr>
              <w:t xml:space="preserve">Exemples</w:t>
            </w:r>
          </w:p>
        </w:tc>
        <w:tc>
          <w:tcPr>
            <w:tcW w:type="dxa" w:w="1400"/>
            <w:shd w:fill="1F2937" w:val="clear"/>
            <w:tcMar>
              <w:top w:type="dxa" w:w="80"/>
              <w:left w:type="dxa" w:w="110"/>
              <w:bottom w:type="dxa" w:w="80"/>
              <w:right w:type="dxa" w:w="110"/>
            </w:tcMar>
            <w:vAlign w:val="center"/>
          </w:tcPr>
          <w:p>
            <w:pPr>
              <w:jc w:val="left"/>
            </w:pPr>
            <w:r>
              <w:rPr>
                <w:b/>
                <w:bCs/>
                <w:color w:val="FFFFFF"/>
                <w:sz w:val="19"/>
                <w:szCs w:val="19"/>
              </w:rPr>
              <w:t xml:space="preserve">Sensibilité</w:t>
            </w:r>
          </w:p>
        </w:tc>
        <w:tc>
          <w:tcPr>
            <w:tcW w:type="dxa" w:w="2238"/>
            <w:shd w:fill="1F2937" w:val="clear"/>
            <w:tcMar>
              <w:top w:type="dxa" w:w="80"/>
              <w:left w:type="dxa" w:w="110"/>
              <w:bottom w:type="dxa" w:w="80"/>
              <w:right w:type="dxa" w:w="110"/>
            </w:tcMar>
            <w:vAlign w:val="center"/>
          </w:tcPr>
          <w:p>
            <w:pPr>
              <w:jc w:val="left"/>
            </w:pPr>
            <w:r>
              <w:rPr>
                <w:b/>
                <w:bCs/>
                <w:color w:val="FFFFFF"/>
                <w:sz w:val="19"/>
                <w:szCs w:val="19"/>
              </w:rPr>
              <w:t xml:space="preserve">Traitement</w:t>
            </w:r>
          </w:p>
        </w:tc>
      </w:tr>
      <w:tr>
        <w:tc>
          <w:tcPr>
            <w:tcW w:type="dxa" w:w="2600"/>
            <w:tcMar>
              <w:top w:type="dxa" w:w="80"/>
              <w:left w:type="dxa" w:w="110"/>
              <w:bottom w:type="dxa" w:w="80"/>
              <w:right w:type="dxa" w:w="110"/>
            </w:tcMar>
            <w:vAlign w:val="center"/>
          </w:tcPr>
          <w:p>
            <w:pPr>
              <w:jc w:val="left"/>
            </w:pPr>
            <w:r>
              <w:rPr>
                <w:b w:val="false"/>
                <w:bCs w:val="false"/>
                <w:color w:val="000000"/>
                <w:sz w:val="19"/>
                <w:szCs w:val="19"/>
              </w:rPr>
              <w:t xml:space="preserve">Données non personnelles</w:t>
            </w:r>
          </w:p>
        </w:tc>
        <w:tc>
          <w:tcPr>
            <w:tcW w:type="dxa" w:w="3400"/>
            <w:tcMar>
              <w:top w:type="dxa" w:w="80"/>
              <w:left w:type="dxa" w:w="110"/>
              <w:bottom w:type="dxa" w:w="80"/>
              <w:right w:type="dxa" w:w="110"/>
            </w:tcMar>
            <w:vAlign w:val="center"/>
          </w:tcPr>
          <w:p>
            <w:pPr>
              <w:jc w:val="left"/>
            </w:pPr>
            <w:r>
              <w:rPr>
                <w:b w:val="false"/>
                <w:bCs w:val="false"/>
                <w:color w:val="000000"/>
                <w:sz w:val="19"/>
                <w:szCs w:val="19"/>
              </w:rPr>
              <w:t xml:space="preserve">Conditions météo, type de route, type de collision</w:t>
            </w:r>
          </w:p>
        </w:tc>
        <w:tc>
          <w:tcPr>
            <w:tcW w:type="dxa" w:w="1400"/>
            <w:tcMar>
              <w:top w:type="dxa" w:w="80"/>
              <w:left w:type="dxa" w:w="110"/>
              <w:bottom w:type="dxa" w:w="80"/>
              <w:right w:type="dxa" w:w="110"/>
            </w:tcMar>
            <w:vAlign w:val="center"/>
          </w:tcPr>
          <w:p>
            <w:pPr>
              <w:jc w:val="left"/>
            </w:pPr>
            <w:r>
              <w:rPr>
                <w:b w:val="false"/>
                <w:bCs w:val="false"/>
                <w:color w:val="000000"/>
                <w:sz w:val="19"/>
                <w:szCs w:val="19"/>
              </w:rPr>
              <w:t xml:space="preserve">Public</w:t>
            </w:r>
          </w:p>
        </w:tc>
        <w:tc>
          <w:tcPr>
            <w:tcW w:type="dxa" w:w="2238"/>
            <w:tcMar>
              <w:top w:type="dxa" w:w="80"/>
              <w:left w:type="dxa" w:w="110"/>
              <w:bottom w:type="dxa" w:w="80"/>
              <w:right w:type="dxa" w:w="110"/>
            </w:tcMar>
            <w:vAlign w:val="center"/>
          </w:tcPr>
          <w:p>
            <w:pPr>
              <w:jc w:val="left"/>
            </w:pPr>
            <w:r>
              <w:rPr>
                <w:b w:val="false"/>
                <w:bCs w:val="false"/>
                <w:color w:val="000000"/>
                <w:sz w:val="19"/>
                <w:szCs w:val="19"/>
              </w:rPr>
              <w:t xml:space="preserve">Libre</w:t>
            </w:r>
          </w:p>
        </w:tc>
      </w:tr>
      <w:tr>
        <w:tc>
          <w:tcPr>
            <w:tcW w:type="dxa" w:w="26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Données personnelles</w:t>
            </w:r>
          </w:p>
        </w:tc>
        <w:tc>
          <w:tcPr>
            <w:tcW w:type="dxa" w:w="34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Âge, géolocalisation précise</w:t>
            </w:r>
          </w:p>
        </w:tc>
        <w:tc>
          <w:tcPr>
            <w:tcW w:type="dxa" w:w="14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Restreint</w:t>
            </w:r>
          </w:p>
        </w:tc>
        <w:tc>
          <w:tcPr>
            <w:tcW w:type="dxa" w:w="22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Pseudonymisation</w:t>
            </w:r>
          </w:p>
        </w:tc>
      </w:tr>
      <w:tr>
        <w:tc>
          <w:tcPr>
            <w:tcW w:type="dxa" w:w="2600"/>
            <w:tcMar>
              <w:top w:type="dxa" w:w="80"/>
              <w:left w:type="dxa" w:w="110"/>
              <w:bottom w:type="dxa" w:w="80"/>
              <w:right w:type="dxa" w:w="110"/>
            </w:tcMar>
            <w:vAlign w:val="center"/>
          </w:tcPr>
          <w:p>
            <w:pPr>
              <w:jc w:val="left"/>
            </w:pPr>
            <w:r>
              <w:rPr>
                <w:b w:val="false"/>
                <w:bCs w:val="false"/>
                <w:color w:val="000000"/>
                <w:sz w:val="19"/>
                <w:szCs w:val="19"/>
              </w:rPr>
              <w:t xml:space="preserve">Données personnelles, conservées telles quelles</w:t>
            </w:r>
          </w:p>
        </w:tc>
        <w:tc>
          <w:tcPr>
            <w:tcW w:type="dxa" w:w="3400"/>
            <w:tcMar>
              <w:top w:type="dxa" w:w="80"/>
              <w:left w:type="dxa" w:w="110"/>
              <w:bottom w:type="dxa" w:w="80"/>
              <w:right w:type="dxa" w:w="110"/>
            </w:tcMar>
            <w:vAlign w:val="center"/>
          </w:tcPr>
          <w:p>
            <w:pPr>
              <w:jc w:val="left"/>
            </w:pPr>
            <w:r>
              <w:rPr>
                <w:b w:val="false"/>
                <w:bCs w:val="false"/>
                <w:color w:val="000000"/>
                <w:sz w:val="19"/>
                <w:szCs w:val="19"/>
              </w:rPr>
              <w:t xml:space="preserve">Sexe (audit d'équité EC-6), motif de trajet</w:t>
            </w:r>
          </w:p>
        </w:tc>
        <w:tc>
          <w:tcPr>
            <w:tcW w:type="dxa" w:w="1400"/>
            <w:tcMar>
              <w:top w:type="dxa" w:w="80"/>
              <w:left w:type="dxa" w:w="110"/>
              <w:bottom w:type="dxa" w:w="80"/>
              <w:right w:type="dxa" w:w="110"/>
            </w:tcMar>
            <w:vAlign w:val="center"/>
          </w:tcPr>
          <w:p>
            <w:pPr>
              <w:jc w:val="left"/>
            </w:pPr>
            <w:r>
              <w:rPr>
                <w:b w:val="false"/>
                <w:bCs w:val="false"/>
                <w:color w:val="000000"/>
                <w:sz w:val="19"/>
                <w:szCs w:val="19"/>
              </w:rPr>
              <w:t xml:space="preserve">Restreint</w:t>
            </w:r>
          </w:p>
        </w:tc>
        <w:tc>
          <w:tcPr>
            <w:tcW w:type="dxa" w:w="2238"/>
            <w:tcMar>
              <w:top w:type="dxa" w:w="80"/>
              <w:left w:type="dxa" w:w="110"/>
              <w:bottom w:type="dxa" w:w="80"/>
              <w:right w:type="dxa" w:w="110"/>
            </w:tcMar>
            <w:vAlign w:val="center"/>
          </w:tcPr>
          <w:p>
            <w:pPr>
              <w:jc w:val="left"/>
            </w:pPr>
            <w:r>
              <w:rPr>
                <w:b w:val="false"/>
                <w:bCs w:val="false"/>
                <w:color w:val="000000"/>
                <w:sz w:val="19"/>
                <w:szCs w:val="19"/>
              </w:rPr>
              <w:t xml:space="preserve">Non transformées</w:t>
            </w:r>
          </w:p>
        </w:tc>
      </w:tr>
      <w:tr>
        <w:tc>
          <w:tcPr>
            <w:tcW w:type="dxa" w:w="26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Données sensibles (art. 9 RGPD)</w:t>
            </w:r>
          </w:p>
        </w:tc>
        <w:tc>
          <w:tcPr>
            <w:tcW w:type="dxa" w:w="34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Gravité = donnée de santé</w:t>
            </w:r>
          </w:p>
        </w:tc>
        <w:tc>
          <w:tcPr>
            <w:tcW w:type="dxa" w:w="14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Confidentiel</w:t>
            </w:r>
          </w:p>
        </w:tc>
        <w:tc>
          <w:tcPr>
            <w:tcW w:type="dxa" w:w="22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Accès strict, AIPD</w:t>
            </w:r>
          </w:p>
        </w:tc>
      </w:tr>
      <w:tr>
        <w:tc>
          <w:tcPr>
            <w:tcW w:type="dxa" w:w="2600"/>
            <w:tcMar>
              <w:top w:type="dxa" w:w="80"/>
              <w:left w:type="dxa" w:w="110"/>
              <w:bottom w:type="dxa" w:w="80"/>
              <w:right w:type="dxa" w:w="110"/>
            </w:tcMar>
            <w:vAlign w:val="center"/>
          </w:tcPr>
          <w:p>
            <w:pPr>
              <w:jc w:val="left"/>
            </w:pPr>
            <w:r>
              <w:rPr>
                <w:b w:val="false"/>
                <w:bCs w:val="false"/>
                <w:color w:val="000000"/>
                <w:sz w:val="19"/>
                <w:szCs w:val="19"/>
              </w:rPr>
              <w:t xml:space="preserve">Données opérationnelles (prod)</w:t>
            </w:r>
          </w:p>
        </w:tc>
        <w:tc>
          <w:tcPr>
            <w:tcW w:type="dxa" w:w="3400"/>
            <w:tcMar>
              <w:top w:type="dxa" w:w="80"/>
              <w:left w:type="dxa" w:w="110"/>
              <w:bottom w:type="dxa" w:w="80"/>
              <w:right w:type="dxa" w:w="110"/>
            </w:tcMar>
            <w:vAlign w:val="center"/>
          </w:tcPr>
          <w:p>
            <w:pPr>
              <w:jc w:val="left"/>
            </w:pPr>
            <w:r>
              <w:rPr>
                <w:b w:val="false"/>
                <w:bCs w:val="false"/>
                <w:color w:val="000000"/>
                <w:sz w:val="19"/>
                <w:szCs w:val="19"/>
              </w:rPr>
              <w:t xml:space="preserve">Signalement temps réel d'une victime identifiable</w:t>
            </w:r>
          </w:p>
        </w:tc>
        <w:tc>
          <w:tcPr>
            <w:tcW w:type="dxa" w:w="1400"/>
            <w:tcMar>
              <w:top w:type="dxa" w:w="80"/>
              <w:left w:type="dxa" w:w="110"/>
              <w:bottom w:type="dxa" w:w="80"/>
              <w:right w:type="dxa" w:w="110"/>
            </w:tcMar>
            <w:vAlign w:val="center"/>
          </w:tcPr>
          <w:p>
            <w:pPr>
              <w:jc w:val="left"/>
            </w:pPr>
            <w:r>
              <w:rPr>
                <w:b w:val="false"/>
                <w:bCs w:val="false"/>
                <w:color w:val="000000"/>
                <w:sz w:val="19"/>
                <w:szCs w:val="19"/>
              </w:rPr>
              <w:t xml:space="preserve">Confidentiel</w:t>
            </w:r>
          </w:p>
        </w:tc>
        <w:tc>
          <w:tcPr>
            <w:tcW w:type="dxa" w:w="2238"/>
            <w:tcMar>
              <w:top w:type="dxa" w:w="80"/>
              <w:left w:type="dxa" w:w="110"/>
              <w:bottom w:type="dxa" w:w="80"/>
              <w:right w:type="dxa" w:w="110"/>
            </w:tcMar>
            <w:vAlign w:val="center"/>
          </w:tcPr>
          <w:p>
            <w:pPr>
              <w:jc w:val="left"/>
            </w:pPr>
            <w:r>
              <w:rPr>
                <w:b w:val="false"/>
                <w:bCs w:val="false"/>
                <w:color w:val="000000"/>
                <w:sz w:val="19"/>
                <w:szCs w:val="19"/>
              </w:rPr>
              <w:t xml:space="preserve">Chiffrement, accès strict, traçabilité</w:t>
            </w:r>
          </w:p>
        </w:tc>
      </w:tr>
    </w:tbl>
    <w:p>
      <w:pPr>
        <w:spacing w:after="120"/>
      </w:pPr>
    </w:p>
    <w:p>
      <w:pPr>
        <w:spacing w:after="160" w:line="276"/>
      </w:pPr>
      <w:r>
        <w:rPr>
          <w:b/>
          <w:bCs/>
        </w:rPr>
        <w:t xml:space="preserve">Donnée à risque de ré-identification : </w:t>
      </w:r>
      <w:r>
        <w:t xml:space="preserve">le croisement latitude/longitude + date + commune peut réidentifier une victime → mesure d'agrégation géographique en couche Silver.</w:t>
      </w:r>
    </w:p>
    <w:p>
      <w:pPr>
        <w:pStyle w:val="Heading1"/>
      </w:pPr>
      <w:r>
        <w:t xml:space="preserve">4. Cadre réglementaire et normatif</w:t>
      </w:r>
    </w:p>
    <w:tbl>
      <w:tblPr>
        <w:tblW w:type="dxa" w:w="9638"/>
        <w:tblBorders>
          <w:top w:val="single" w:color="D9D9D9" w:sz="4"/>
          <w:left w:val="single" w:color="D9D9D9" w:sz="4"/>
          <w:bottom w:val="single" w:color="D9D9D9" w:sz="4"/>
          <w:right w:val="single" w:color="D9D9D9" w:sz="4"/>
          <w:insideH w:val="single" w:color="D9D9D9" w:sz="2"/>
          <w:insideV w:val="single" w:color="D9D9D9" w:sz="2"/>
        </w:tblBorders>
      </w:tblPr>
      <w:tblGrid>
        <w:gridCol w:w="3200"/>
        <w:gridCol w:w="6438"/>
      </w:tblGrid>
      <w:tr>
        <w:trPr>
          <w:tblHeader/>
        </w:trPr>
        <w:tc>
          <w:tcPr>
            <w:tcW w:type="dxa" w:w="3200"/>
            <w:shd w:fill="1F2937" w:val="clear"/>
            <w:tcMar>
              <w:top w:type="dxa" w:w="80"/>
              <w:left w:type="dxa" w:w="110"/>
              <w:bottom w:type="dxa" w:w="80"/>
              <w:right w:type="dxa" w:w="110"/>
            </w:tcMar>
            <w:vAlign w:val="center"/>
          </w:tcPr>
          <w:p>
            <w:pPr>
              <w:jc w:val="left"/>
            </w:pPr>
            <w:r>
              <w:rPr>
                <w:b/>
                <w:bCs/>
                <w:color w:val="FFFFFF"/>
                <w:sz w:val="19"/>
                <w:szCs w:val="19"/>
              </w:rPr>
              <w:t xml:space="preserve">Référentiel</w:t>
            </w:r>
          </w:p>
        </w:tc>
        <w:tc>
          <w:tcPr>
            <w:tcW w:type="dxa" w:w="6438"/>
            <w:shd w:fill="1F2937" w:val="clear"/>
            <w:tcMar>
              <w:top w:type="dxa" w:w="80"/>
              <w:left w:type="dxa" w:w="110"/>
              <w:bottom w:type="dxa" w:w="80"/>
              <w:right w:type="dxa" w:w="110"/>
            </w:tcMar>
            <w:vAlign w:val="center"/>
          </w:tcPr>
          <w:p>
            <w:pPr>
              <w:jc w:val="left"/>
            </w:pPr>
            <w:r>
              <w:rPr>
                <w:b/>
                <w:bCs/>
                <w:color w:val="FFFFFF"/>
                <w:sz w:val="19"/>
                <w:szCs w:val="19"/>
              </w:rPr>
              <w:t xml:space="preserve">Application dans GRAVIA</w:t>
            </w:r>
          </w:p>
        </w:tc>
      </w:tr>
      <w:tr>
        <w:tc>
          <w:tcPr>
            <w:tcW w:type="dxa" w:w="3200"/>
            <w:tcMar>
              <w:top w:type="dxa" w:w="80"/>
              <w:left w:type="dxa" w:w="110"/>
              <w:bottom w:type="dxa" w:w="80"/>
              <w:right w:type="dxa" w:w="110"/>
            </w:tcMar>
            <w:vAlign w:val="center"/>
          </w:tcPr>
          <w:p>
            <w:pPr>
              <w:jc w:val="left"/>
            </w:pPr>
            <w:r>
              <w:rPr>
                <w:b w:val="false"/>
                <w:bCs w:val="false"/>
                <w:color w:val="000000"/>
                <w:sz w:val="19"/>
                <w:szCs w:val="19"/>
              </w:rPr>
              <w:t xml:space="preserve">RGPD (UE 2016/679)</w:t>
            </w:r>
          </w:p>
        </w:tc>
        <w:tc>
          <w:tcPr>
            <w:tcW w:type="dxa" w:w="6438"/>
            <w:tcMar>
              <w:top w:type="dxa" w:w="80"/>
              <w:left w:type="dxa" w:w="110"/>
              <w:bottom w:type="dxa" w:w="80"/>
              <w:right w:type="dxa" w:w="110"/>
            </w:tcMar>
            <w:vAlign w:val="center"/>
          </w:tcPr>
          <w:p>
            <w:pPr>
              <w:jc w:val="left"/>
            </w:pPr>
            <w:r>
              <w:rPr>
                <w:b w:val="false"/>
                <w:bCs w:val="false"/>
                <w:color w:val="000000"/>
                <w:sz w:val="19"/>
                <w:szCs w:val="19"/>
              </w:rPr>
              <w:t xml:space="preserve">Base légale, minimisation, droits des personnes, sécurité, AIPD (art. 35)</w:t>
            </w:r>
          </w:p>
        </w:tc>
      </w:tr>
      <w:tr>
        <w:tc>
          <w:tcPr>
            <w:tcW w:type="dxa" w:w="32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Loi Informatique et Libertés</w:t>
            </w:r>
          </w:p>
        </w:tc>
        <w:tc>
          <w:tcPr>
            <w:tcW w:type="dxa" w:w="64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Droits d'accès, rectification, suppression, opposition</w:t>
            </w:r>
          </w:p>
        </w:tc>
      </w:tr>
      <w:tr>
        <w:tc>
          <w:tcPr>
            <w:tcW w:type="dxa" w:w="3200"/>
            <w:tcMar>
              <w:top w:type="dxa" w:w="80"/>
              <w:left w:type="dxa" w:w="110"/>
              <w:bottom w:type="dxa" w:w="80"/>
              <w:right w:type="dxa" w:w="110"/>
            </w:tcMar>
            <w:vAlign w:val="center"/>
          </w:tcPr>
          <w:p>
            <w:pPr>
              <w:jc w:val="left"/>
            </w:pPr>
            <w:r>
              <w:rPr>
                <w:b w:val="false"/>
                <w:bCs w:val="false"/>
                <w:color w:val="000000"/>
                <w:sz w:val="19"/>
                <w:szCs w:val="19"/>
              </w:rPr>
              <w:t xml:space="preserve">ISO/IEC 27001</w:t>
            </w:r>
          </w:p>
        </w:tc>
        <w:tc>
          <w:tcPr>
            <w:tcW w:type="dxa" w:w="6438"/>
            <w:tcMar>
              <w:top w:type="dxa" w:w="80"/>
              <w:left w:type="dxa" w:w="110"/>
              <w:bottom w:type="dxa" w:w="80"/>
              <w:right w:type="dxa" w:w="110"/>
            </w:tcMar>
            <w:vAlign w:val="center"/>
          </w:tcPr>
          <w:p>
            <w:pPr>
              <w:jc w:val="left"/>
            </w:pPr>
            <w:r>
              <w:rPr>
                <w:b w:val="false"/>
                <w:bCs w:val="false"/>
                <w:color w:val="000000"/>
                <w:sz w:val="19"/>
                <w:szCs w:val="19"/>
              </w:rPr>
              <w:t xml:space="preserve">Système de management de la sécurité de l'information (SMSI)</w:t>
            </w:r>
          </w:p>
        </w:tc>
      </w:tr>
      <w:tr>
        <w:tc>
          <w:tcPr>
            <w:tcW w:type="dxa" w:w="32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Recommandations ANSSI</w:t>
            </w:r>
          </w:p>
        </w:tc>
        <w:tc>
          <w:tcPr>
            <w:tcW w:type="dxa" w:w="64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Mesures de sécurité techniques (chiffrement, cloisonnement)</w:t>
            </w:r>
          </w:p>
        </w:tc>
      </w:tr>
      <w:tr>
        <w:tc>
          <w:tcPr>
            <w:tcW w:type="dxa" w:w="3200"/>
            <w:tcMar>
              <w:top w:type="dxa" w:w="80"/>
              <w:left w:type="dxa" w:w="110"/>
              <w:bottom w:type="dxa" w:w="80"/>
              <w:right w:type="dxa" w:w="110"/>
            </w:tcMar>
            <w:vAlign w:val="center"/>
          </w:tcPr>
          <w:p>
            <w:pPr>
              <w:jc w:val="left"/>
            </w:pPr>
            <w:r>
              <w:rPr>
                <w:b w:val="false"/>
                <w:bCs w:val="false"/>
                <w:color w:val="000000"/>
                <w:sz w:val="19"/>
                <w:szCs w:val="19"/>
              </w:rPr>
              <w:t xml:space="preserve">RGAA</w:t>
            </w:r>
          </w:p>
        </w:tc>
        <w:tc>
          <w:tcPr>
            <w:tcW w:type="dxa" w:w="6438"/>
            <w:tcMar>
              <w:top w:type="dxa" w:w="80"/>
              <w:left w:type="dxa" w:w="110"/>
              <w:bottom w:type="dxa" w:w="80"/>
              <w:right w:type="dxa" w:w="110"/>
            </w:tcMar>
            <w:vAlign w:val="center"/>
          </w:tcPr>
          <w:p>
            <w:pPr>
              <w:jc w:val="left"/>
            </w:pPr>
            <w:r>
              <w:rPr>
                <w:b w:val="false"/>
                <w:bCs w:val="false"/>
                <w:color w:val="000000"/>
                <w:sz w:val="19"/>
                <w:szCs w:val="19"/>
              </w:rPr>
              <w:t xml:space="preserve">Accessibilité des interfaces et documents</w:t>
            </w:r>
          </w:p>
        </w:tc>
      </w:tr>
      <w:tr>
        <w:tc>
          <w:tcPr>
            <w:tcW w:type="dxa" w:w="32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Lignes directrices IA (CNIL / AI Act)</w:t>
            </w:r>
          </w:p>
        </w:tc>
        <w:tc>
          <w:tcPr>
            <w:tcW w:type="dxa" w:w="64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IA éthique, explicabilité, human-in-the-loop, tests de biais</w:t>
            </w:r>
          </w:p>
        </w:tc>
      </w:tr>
      <w:tr>
        <w:tc>
          <w:tcPr>
            <w:tcW w:type="dxa" w:w="3200"/>
            <w:tcMar>
              <w:top w:type="dxa" w:w="80"/>
              <w:left w:type="dxa" w:w="110"/>
              <w:bottom w:type="dxa" w:w="80"/>
              <w:right w:type="dxa" w:w="110"/>
            </w:tcMar>
            <w:vAlign w:val="center"/>
          </w:tcPr>
          <w:p>
            <w:pPr>
              <w:jc w:val="left"/>
            </w:pPr>
            <w:r>
              <w:rPr>
                <w:b w:val="false"/>
                <w:bCs w:val="false"/>
                <w:color w:val="000000"/>
                <w:sz w:val="19"/>
                <w:szCs w:val="19"/>
              </w:rPr>
              <w:t xml:space="preserve">HDS (Hébergement de Données de Santé)</w:t>
            </w:r>
          </w:p>
        </w:tc>
        <w:tc>
          <w:tcPr>
            <w:tcW w:type="dxa" w:w="6438"/>
            <w:tcMar>
              <w:top w:type="dxa" w:w="80"/>
              <w:left w:type="dxa" w:w="110"/>
              <w:bottom w:type="dxa" w:w="80"/>
              <w:right w:type="dxa" w:w="110"/>
            </w:tcMar>
            <w:vAlign w:val="center"/>
          </w:tcPr>
          <w:p>
            <w:pPr>
              <w:jc w:val="left"/>
            </w:pPr>
            <w:r>
              <w:rPr>
                <w:b w:val="false"/>
                <w:bCs w:val="false"/>
                <w:color w:val="000000"/>
                <w:sz w:val="19"/>
                <w:szCs w:val="19"/>
              </w:rPr>
              <w:t xml:space="preserve">Non requis sur le périmètre actuel (données ouvertes/pseudonymisées) ; requis en production réelle (art. L1111-8 CSP)</w:t>
            </w:r>
          </w:p>
        </w:tc>
      </w:tr>
    </w:tbl>
    <w:p>
      <w:pPr>
        <w:spacing w:after="120"/>
      </w:pPr>
    </w:p>
    <w:p>
      <w:pPr>
        <w:spacing w:after="160" w:line="276"/>
      </w:pPr>
      <w:r>
        <w:rPr>
          <w:b/>
          <w:bCs/>
        </w:rPr>
        <w:t xml:space="preserve">Base légale du traitement : </w:t>
      </w:r>
      <w:r>
        <w:t xml:space="preserve">mission d'intérêt public (art. 6.1.e RGPD) ; pour les données de santé, intérêt public dans le domaine de la santé / sauvegarde des intérêts vitaux (art. 9.2.i / 9.2.c).</w:t>
      </w:r>
    </w:p>
    <w:p>
      <w:pPr>
        <w:pStyle w:val="Heading1"/>
      </w:pPr>
      <w:r>
        <w:t xml:space="preserve">5. Gouvernance organisationnelle</w:t>
      </w:r>
    </w:p>
    <w:p>
      <w:pPr>
        <w:pStyle w:val="Heading2"/>
      </w:pPr>
      <w:r>
        <w:t xml:space="preserve">5.1 Parties prenantes et rôles</w:t>
      </w:r>
    </w:p>
    <w:tbl>
      <w:tblPr>
        <w:tblW w:type="dxa" w:w="9638"/>
        <w:tblBorders>
          <w:top w:val="single" w:color="D9D9D9" w:sz="4"/>
          <w:left w:val="single" w:color="D9D9D9" w:sz="4"/>
          <w:bottom w:val="single" w:color="D9D9D9" w:sz="4"/>
          <w:right w:val="single" w:color="D9D9D9" w:sz="4"/>
          <w:insideH w:val="single" w:color="D9D9D9" w:sz="2"/>
          <w:insideV w:val="single" w:color="D9D9D9" w:sz="2"/>
        </w:tblBorders>
      </w:tblPr>
      <w:tblGrid>
        <w:gridCol w:w="3200"/>
        <w:gridCol w:w="6438"/>
      </w:tblGrid>
      <w:tr>
        <w:trPr>
          <w:tblHeader/>
        </w:trPr>
        <w:tc>
          <w:tcPr>
            <w:tcW w:type="dxa" w:w="3200"/>
            <w:shd w:fill="1F2937" w:val="clear"/>
            <w:tcMar>
              <w:top w:type="dxa" w:w="80"/>
              <w:left w:type="dxa" w:w="110"/>
              <w:bottom w:type="dxa" w:w="80"/>
              <w:right w:type="dxa" w:w="110"/>
            </w:tcMar>
            <w:vAlign w:val="center"/>
          </w:tcPr>
          <w:p>
            <w:pPr>
              <w:jc w:val="left"/>
            </w:pPr>
            <w:r>
              <w:rPr>
                <w:b/>
                <w:bCs/>
                <w:color w:val="FFFFFF"/>
                <w:sz w:val="19"/>
                <w:szCs w:val="19"/>
              </w:rPr>
              <w:t xml:space="preserve">Partie prenante</w:t>
            </w:r>
          </w:p>
        </w:tc>
        <w:tc>
          <w:tcPr>
            <w:tcW w:type="dxa" w:w="6438"/>
            <w:shd w:fill="1F2937" w:val="clear"/>
            <w:tcMar>
              <w:top w:type="dxa" w:w="80"/>
              <w:left w:type="dxa" w:w="110"/>
              <w:bottom w:type="dxa" w:w="80"/>
              <w:right w:type="dxa" w:w="110"/>
            </w:tcMar>
            <w:vAlign w:val="center"/>
          </w:tcPr>
          <w:p>
            <w:pPr>
              <w:jc w:val="left"/>
            </w:pPr>
            <w:r>
              <w:rPr>
                <w:b/>
                <w:bCs/>
                <w:color w:val="FFFFFF"/>
                <w:sz w:val="19"/>
                <w:szCs w:val="19"/>
              </w:rPr>
              <w:t xml:space="preserve">Responsabilités</w:t>
            </w:r>
          </w:p>
        </w:tc>
      </w:tr>
      <w:tr>
        <w:tc>
          <w:tcPr>
            <w:tcW w:type="dxa" w:w="3200"/>
            <w:tcMar>
              <w:top w:type="dxa" w:w="80"/>
              <w:left w:type="dxa" w:w="110"/>
              <w:bottom w:type="dxa" w:w="80"/>
              <w:right w:type="dxa" w:w="110"/>
            </w:tcMar>
            <w:vAlign w:val="center"/>
          </w:tcPr>
          <w:p>
            <w:pPr>
              <w:jc w:val="left"/>
            </w:pPr>
            <w:r>
              <w:rPr>
                <w:b w:val="false"/>
                <w:bCs w:val="false"/>
                <w:color w:val="000000"/>
                <w:sz w:val="19"/>
                <w:szCs w:val="19"/>
              </w:rPr>
              <w:t xml:space="preserve">Direction VigiRoute</w:t>
            </w:r>
          </w:p>
        </w:tc>
        <w:tc>
          <w:tcPr>
            <w:tcW w:type="dxa" w:w="6438"/>
            <w:tcMar>
              <w:top w:type="dxa" w:w="80"/>
              <w:left w:type="dxa" w:w="110"/>
              <w:bottom w:type="dxa" w:w="80"/>
              <w:right w:type="dxa" w:w="110"/>
            </w:tcMar>
            <w:vAlign w:val="center"/>
          </w:tcPr>
          <w:p>
            <w:pPr>
              <w:jc w:val="left"/>
            </w:pPr>
            <w:r>
              <w:rPr>
                <w:b w:val="false"/>
                <w:bCs w:val="false"/>
                <w:color w:val="000000"/>
                <w:sz w:val="19"/>
                <w:szCs w:val="19"/>
              </w:rPr>
              <w:t xml:space="preserve">Sponsor, arbitrages, validation de la politique, allocation des moyens</w:t>
            </w:r>
          </w:p>
        </w:tc>
      </w:tr>
      <w:tr>
        <w:tc>
          <w:tcPr>
            <w:tcW w:type="dxa" w:w="32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Délégué à la protection des données (DPO)</w:t>
            </w:r>
          </w:p>
        </w:tc>
        <w:tc>
          <w:tcPr>
            <w:tcW w:type="dxa" w:w="64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Garant RGPD, pilotage de l'AIPD, point de contact CNIL, avis sur les traitements</w:t>
            </w:r>
          </w:p>
        </w:tc>
      </w:tr>
      <w:tr>
        <w:tc>
          <w:tcPr>
            <w:tcW w:type="dxa" w:w="3200"/>
            <w:tcMar>
              <w:top w:type="dxa" w:w="80"/>
              <w:left w:type="dxa" w:w="110"/>
              <w:bottom w:type="dxa" w:w="80"/>
              <w:right w:type="dxa" w:w="110"/>
            </w:tcMar>
            <w:vAlign w:val="center"/>
          </w:tcPr>
          <w:p>
            <w:pPr>
              <w:jc w:val="left"/>
            </w:pPr>
            <w:r>
              <w:rPr>
                <w:b w:val="false"/>
                <w:bCs w:val="false"/>
                <w:color w:val="000000"/>
                <w:sz w:val="19"/>
                <w:szCs w:val="19"/>
              </w:rPr>
              <w:t xml:space="preserve">Responsable sécurité (RSSI)</w:t>
            </w:r>
          </w:p>
        </w:tc>
        <w:tc>
          <w:tcPr>
            <w:tcW w:type="dxa" w:w="6438"/>
            <w:tcMar>
              <w:top w:type="dxa" w:w="80"/>
              <w:left w:type="dxa" w:w="110"/>
              <w:bottom w:type="dxa" w:w="80"/>
              <w:right w:type="dxa" w:w="110"/>
            </w:tcMar>
            <w:vAlign w:val="center"/>
          </w:tcPr>
          <w:p>
            <w:pPr>
              <w:jc w:val="left"/>
            </w:pPr>
            <w:r>
              <w:rPr>
                <w:b w:val="false"/>
                <w:bCs w:val="false"/>
                <w:color w:val="000000"/>
                <w:sz w:val="19"/>
                <w:szCs w:val="19"/>
              </w:rPr>
              <w:t xml:space="preserve">SMSI ISO 27001, mesures techniques, gestion des incidents de sécurité</w:t>
            </w:r>
          </w:p>
        </w:tc>
      </w:tr>
      <w:tr>
        <w:tc>
          <w:tcPr>
            <w:tcW w:type="dxa" w:w="32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Architecte IA / Data</w:t>
            </w:r>
          </w:p>
        </w:tc>
        <w:tc>
          <w:tcPr>
            <w:tcW w:type="dxa" w:w="64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Mise en œuvre technique de la politique (pseudonymisation, accès, qualité)</w:t>
            </w:r>
          </w:p>
        </w:tc>
      </w:tr>
      <w:tr>
        <w:tc>
          <w:tcPr>
            <w:tcW w:type="dxa" w:w="3200"/>
            <w:tcMar>
              <w:top w:type="dxa" w:w="80"/>
              <w:left w:type="dxa" w:w="110"/>
              <w:bottom w:type="dxa" w:w="80"/>
              <w:right w:type="dxa" w:w="110"/>
            </w:tcMar>
            <w:vAlign w:val="center"/>
          </w:tcPr>
          <w:p>
            <w:pPr>
              <w:jc w:val="left"/>
            </w:pPr>
            <w:r>
              <w:rPr>
                <w:b w:val="false"/>
                <w:bCs w:val="false"/>
                <w:color w:val="000000"/>
                <w:sz w:val="19"/>
                <w:szCs w:val="19"/>
              </w:rPr>
              <w:t xml:space="preserve">Data stewards</w:t>
            </w:r>
          </w:p>
        </w:tc>
        <w:tc>
          <w:tcPr>
            <w:tcW w:type="dxa" w:w="6438"/>
            <w:tcMar>
              <w:top w:type="dxa" w:w="80"/>
              <w:left w:type="dxa" w:w="110"/>
              <w:bottom w:type="dxa" w:w="80"/>
              <w:right w:type="dxa" w:w="110"/>
            </w:tcMar>
            <w:vAlign w:val="center"/>
          </w:tcPr>
          <w:p>
            <w:pPr>
              <w:jc w:val="left"/>
            </w:pPr>
            <w:r>
              <w:rPr>
                <w:b w:val="false"/>
                <w:bCs w:val="false"/>
                <w:color w:val="000000"/>
                <w:sz w:val="19"/>
                <w:szCs w:val="19"/>
              </w:rPr>
              <w:t xml:space="preserve">Qualité et documentation des données au quotidien</w:t>
            </w:r>
          </w:p>
        </w:tc>
      </w:tr>
      <w:tr>
        <w:tc>
          <w:tcPr>
            <w:tcW w:type="dxa" w:w="32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Opérateurs de secours</w:t>
            </w:r>
          </w:p>
        </w:tc>
        <w:tc>
          <w:tcPr>
            <w:tcW w:type="dxa" w:w="64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Utilisateurs finaux ; décision humaine finale (human-in-the-loop)</w:t>
            </w:r>
          </w:p>
        </w:tc>
      </w:tr>
      <w:tr>
        <w:tc>
          <w:tcPr>
            <w:tcW w:type="dxa" w:w="3200"/>
            <w:tcMar>
              <w:top w:type="dxa" w:w="80"/>
              <w:left w:type="dxa" w:w="110"/>
              <w:bottom w:type="dxa" w:w="80"/>
              <w:right w:type="dxa" w:w="110"/>
            </w:tcMar>
            <w:vAlign w:val="center"/>
          </w:tcPr>
          <w:p>
            <w:pPr>
              <w:jc w:val="left"/>
            </w:pPr>
            <w:r>
              <w:rPr>
                <w:b w:val="false"/>
                <w:bCs w:val="false"/>
                <w:color w:val="000000"/>
                <w:sz w:val="19"/>
                <w:szCs w:val="19"/>
              </w:rPr>
              <w:t xml:space="preserve">Fournisseur de données (ONISR)</w:t>
            </w:r>
          </w:p>
        </w:tc>
        <w:tc>
          <w:tcPr>
            <w:tcW w:type="dxa" w:w="6438"/>
            <w:tcMar>
              <w:top w:type="dxa" w:w="80"/>
              <w:left w:type="dxa" w:w="110"/>
              <w:bottom w:type="dxa" w:w="80"/>
              <w:right w:type="dxa" w:w="110"/>
            </w:tcMar>
            <w:vAlign w:val="center"/>
          </w:tcPr>
          <w:p>
            <w:pPr>
              <w:jc w:val="left"/>
            </w:pPr>
            <w:r>
              <w:rPr>
                <w:b w:val="false"/>
                <w:bCs w:val="false"/>
                <w:color w:val="000000"/>
                <w:sz w:val="19"/>
                <w:szCs w:val="19"/>
              </w:rPr>
              <w:t xml:space="preserve">Source BAAC, documentation des millésimes</w:t>
            </w:r>
          </w:p>
        </w:tc>
      </w:tr>
      <w:tr>
        <w:tc>
          <w:tcPr>
            <w:tcW w:type="dxa" w:w="32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CNIL</w:t>
            </w:r>
          </w:p>
        </w:tc>
        <w:tc>
          <w:tcPr>
            <w:tcW w:type="dxa" w:w="64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Autorité de contrôle externe</w:t>
            </w:r>
          </w:p>
        </w:tc>
      </w:tr>
    </w:tbl>
    <w:p>
      <w:pPr>
        <w:spacing w:after="160"/>
      </w:pPr>
    </w:p>
    <w:p>
      <w:pPr>
        <w:pStyle w:val="Heading2"/>
      </w:pPr>
      <w:r>
        <w:t xml:space="preserve">5.2 Matrice RACI (extraits clés)</w:t>
      </w:r>
    </w:p>
    <w:tbl>
      <w:tblPr>
        <w:tblW w:type="dxa" w:w="9638"/>
        <w:tblBorders>
          <w:top w:val="single" w:color="D9D9D9" w:sz="4"/>
          <w:left w:val="single" w:color="D9D9D9" w:sz="4"/>
          <w:bottom w:val="single" w:color="D9D9D9" w:sz="4"/>
          <w:right w:val="single" w:color="D9D9D9" w:sz="4"/>
          <w:insideH w:val="single" w:color="D9D9D9" w:sz="2"/>
          <w:insideV w:val="single" w:color="D9D9D9" w:sz="2"/>
        </w:tblBorders>
      </w:tblPr>
      <w:tblGrid>
        <w:gridCol w:w="2600"/>
        <w:gridCol w:w="1300"/>
        <w:gridCol w:w="1300"/>
        <w:gridCol w:w="1300"/>
        <w:gridCol w:w="1600"/>
        <w:gridCol w:w="1538"/>
      </w:tblGrid>
      <w:tr>
        <w:trPr>
          <w:tblHeader/>
        </w:trPr>
        <w:tc>
          <w:tcPr>
            <w:tcW w:type="dxa" w:w="2600"/>
            <w:shd w:fill="1F2937" w:val="clear"/>
            <w:tcMar>
              <w:top w:type="dxa" w:w="80"/>
              <w:left w:type="dxa" w:w="110"/>
              <w:bottom w:type="dxa" w:w="80"/>
              <w:right w:type="dxa" w:w="110"/>
            </w:tcMar>
            <w:vAlign w:val="center"/>
          </w:tcPr>
          <w:p>
            <w:pPr>
              <w:jc w:val="left"/>
            </w:pPr>
            <w:r>
              <w:rPr>
                <w:b/>
                <w:bCs/>
                <w:color w:val="FFFFFF"/>
                <w:sz w:val="19"/>
                <w:szCs w:val="19"/>
              </w:rPr>
              <w:t xml:space="preserve">Activité</w:t>
            </w:r>
          </w:p>
        </w:tc>
        <w:tc>
          <w:tcPr>
            <w:tcW w:type="dxa" w:w="1300"/>
            <w:shd w:fill="1F2937" w:val="clear"/>
            <w:tcMar>
              <w:top w:type="dxa" w:w="80"/>
              <w:left w:type="dxa" w:w="110"/>
              <w:bottom w:type="dxa" w:w="80"/>
              <w:right w:type="dxa" w:w="110"/>
            </w:tcMar>
            <w:vAlign w:val="center"/>
          </w:tcPr>
          <w:p>
            <w:pPr>
              <w:jc w:val="left"/>
            </w:pPr>
            <w:r>
              <w:rPr>
                <w:b/>
                <w:bCs/>
                <w:color w:val="FFFFFF"/>
                <w:sz w:val="19"/>
                <w:szCs w:val="19"/>
              </w:rPr>
              <w:t xml:space="preserve">Direction</w:t>
            </w:r>
          </w:p>
        </w:tc>
        <w:tc>
          <w:tcPr>
            <w:tcW w:type="dxa" w:w="1300"/>
            <w:shd w:fill="1F2937" w:val="clear"/>
            <w:tcMar>
              <w:top w:type="dxa" w:w="80"/>
              <w:left w:type="dxa" w:w="110"/>
              <w:bottom w:type="dxa" w:w="80"/>
              <w:right w:type="dxa" w:w="110"/>
            </w:tcMar>
            <w:vAlign w:val="center"/>
          </w:tcPr>
          <w:p>
            <w:pPr>
              <w:jc w:val="left"/>
            </w:pPr>
            <w:r>
              <w:rPr>
                <w:b/>
                <w:bCs/>
                <w:color w:val="FFFFFF"/>
                <w:sz w:val="19"/>
                <w:szCs w:val="19"/>
              </w:rPr>
              <w:t xml:space="preserve">DPO</w:t>
            </w:r>
          </w:p>
        </w:tc>
        <w:tc>
          <w:tcPr>
            <w:tcW w:type="dxa" w:w="1300"/>
            <w:shd w:fill="1F2937" w:val="clear"/>
            <w:tcMar>
              <w:top w:type="dxa" w:w="80"/>
              <w:left w:type="dxa" w:w="110"/>
              <w:bottom w:type="dxa" w:w="80"/>
              <w:right w:type="dxa" w:w="110"/>
            </w:tcMar>
            <w:vAlign w:val="center"/>
          </w:tcPr>
          <w:p>
            <w:pPr>
              <w:jc w:val="left"/>
            </w:pPr>
            <w:r>
              <w:rPr>
                <w:b/>
                <w:bCs/>
                <w:color w:val="FFFFFF"/>
                <w:sz w:val="19"/>
                <w:szCs w:val="19"/>
              </w:rPr>
              <w:t xml:space="preserve">RSSI</w:t>
            </w:r>
          </w:p>
        </w:tc>
        <w:tc>
          <w:tcPr>
            <w:tcW w:type="dxa" w:w="1600"/>
            <w:shd w:fill="1F2937" w:val="clear"/>
            <w:tcMar>
              <w:top w:type="dxa" w:w="80"/>
              <w:left w:type="dxa" w:w="110"/>
              <w:bottom w:type="dxa" w:w="80"/>
              <w:right w:type="dxa" w:w="110"/>
            </w:tcMar>
            <w:vAlign w:val="center"/>
          </w:tcPr>
          <w:p>
            <w:pPr>
              <w:jc w:val="left"/>
            </w:pPr>
            <w:r>
              <w:rPr>
                <w:b/>
                <w:bCs/>
                <w:color w:val="FFFFFF"/>
                <w:sz w:val="19"/>
                <w:szCs w:val="19"/>
              </w:rPr>
              <w:t xml:space="preserve">Architecte IA</w:t>
            </w:r>
          </w:p>
        </w:tc>
        <w:tc>
          <w:tcPr>
            <w:tcW w:type="dxa" w:w="1538"/>
            <w:shd w:fill="1F2937" w:val="clear"/>
            <w:tcMar>
              <w:top w:type="dxa" w:w="80"/>
              <w:left w:type="dxa" w:w="110"/>
              <w:bottom w:type="dxa" w:w="80"/>
              <w:right w:type="dxa" w:w="110"/>
            </w:tcMar>
            <w:vAlign w:val="center"/>
          </w:tcPr>
          <w:p>
            <w:pPr>
              <w:jc w:val="left"/>
            </w:pPr>
            <w:r>
              <w:rPr>
                <w:b/>
                <w:bCs/>
                <w:color w:val="FFFFFF"/>
                <w:sz w:val="19"/>
                <w:szCs w:val="19"/>
              </w:rPr>
              <w:t xml:space="preserve">Data stewards</w:t>
            </w:r>
          </w:p>
        </w:tc>
      </w:tr>
      <w:tr>
        <w:tc>
          <w:tcPr>
            <w:tcW w:type="dxa" w:w="2600"/>
            <w:tcMar>
              <w:top w:type="dxa" w:w="80"/>
              <w:left w:type="dxa" w:w="110"/>
              <w:bottom w:type="dxa" w:w="80"/>
              <w:right w:type="dxa" w:w="110"/>
            </w:tcMar>
            <w:vAlign w:val="center"/>
          </w:tcPr>
          <w:p>
            <w:pPr>
              <w:jc w:val="left"/>
            </w:pPr>
            <w:r>
              <w:rPr>
                <w:b w:val="false"/>
                <w:bCs w:val="false"/>
                <w:color w:val="000000"/>
                <w:sz w:val="19"/>
                <w:szCs w:val="19"/>
              </w:rPr>
              <w:t xml:space="preserve">Validation de la politique</w:t>
            </w:r>
          </w:p>
        </w:tc>
        <w:tc>
          <w:tcPr>
            <w:tcW w:type="dxa" w:w="1300"/>
            <w:tcMar>
              <w:top w:type="dxa" w:w="80"/>
              <w:left w:type="dxa" w:w="110"/>
              <w:bottom w:type="dxa" w:w="80"/>
              <w:right w:type="dxa" w:w="110"/>
            </w:tcMar>
            <w:vAlign w:val="center"/>
          </w:tcPr>
          <w:p>
            <w:pPr>
              <w:jc w:val="left"/>
            </w:pPr>
            <w:r>
              <w:rPr>
                <w:b w:val="false"/>
                <w:bCs w:val="false"/>
                <w:color w:val="000000"/>
                <w:sz w:val="19"/>
                <w:szCs w:val="19"/>
              </w:rPr>
              <w:t xml:space="preserve">A</w:t>
            </w:r>
          </w:p>
        </w:tc>
        <w:tc>
          <w:tcPr>
            <w:tcW w:type="dxa" w:w="1300"/>
            <w:tcMar>
              <w:top w:type="dxa" w:w="80"/>
              <w:left w:type="dxa" w:w="110"/>
              <w:bottom w:type="dxa" w:w="80"/>
              <w:right w:type="dxa" w:w="110"/>
            </w:tcMar>
            <w:vAlign w:val="center"/>
          </w:tcPr>
          <w:p>
            <w:pPr>
              <w:jc w:val="left"/>
            </w:pPr>
            <w:r>
              <w:rPr>
                <w:b w:val="false"/>
                <w:bCs w:val="false"/>
                <w:color w:val="000000"/>
                <w:sz w:val="19"/>
                <w:szCs w:val="19"/>
              </w:rPr>
              <w:t xml:space="preserve">C</w:t>
            </w:r>
          </w:p>
        </w:tc>
        <w:tc>
          <w:tcPr>
            <w:tcW w:type="dxa" w:w="1300"/>
            <w:tcMar>
              <w:top w:type="dxa" w:w="80"/>
              <w:left w:type="dxa" w:w="110"/>
              <w:bottom w:type="dxa" w:w="80"/>
              <w:right w:type="dxa" w:w="110"/>
            </w:tcMar>
            <w:vAlign w:val="center"/>
          </w:tcPr>
          <w:p>
            <w:pPr>
              <w:jc w:val="left"/>
            </w:pPr>
            <w:r>
              <w:rPr>
                <w:b w:val="false"/>
                <w:bCs w:val="false"/>
                <w:color w:val="000000"/>
                <w:sz w:val="19"/>
                <w:szCs w:val="19"/>
              </w:rPr>
              <w:t xml:space="preserve">C</w:t>
            </w:r>
          </w:p>
        </w:tc>
        <w:tc>
          <w:tcPr>
            <w:tcW w:type="dxa" w:w="1600"/>
            <w:tcMar>
              <w:top w:type="dxa" w:w="80"/>
              <w:left w:type="dxa" w:w="110"/>
              <w:bottom w:type="dxa" w:w="80"/>
              <w:right w:type="dxa" w:w="110"/>
            </w:tcMar>
            <w:vAlign w:val="center"/>
          </w:tcPr>
          <w:p>
            <w:pPr>
              <w:jc w:val="left"/>
            </w:pPr>
            <w:r>
              <w:rPr>
                <w:b w:val="false"/>
                <w:bCs w:val="false"/>
                <w:color w:val="000000"/>
                <w:sz w:val="19"/>
                <w:szCs w:val="19"/>
              </w:rPr>
              <w:t xml:space="preserve">R</w:t>
            </w:r>
          </w:p>
        </w:tc>
        <w:tc>
          <w:tcPr>
            <w:tcW w:type="dxa" w:w="1538"/>
            <w:tcMar>
              <w:top w:type="dxa" w:w="80"/>
              <w:left w:type="dxa" w:w="110"/>
              <w:bottom w:type="dxa" w:w="80"/>
              <w:right w:type="dxa" w:w="110"/>
            </w:tcMar>
            <w:vAlign w:val="center"/>
          </w:tcPr>
          <w:p>
            <w:pPr>
              <w:jc w:val="left"/>
            </w:pPr>
            <w:r>
              <w:rPr>
                <w:b w:val="false"/>
                <w:bCs w:val="false"/>
                <w:color w:val="000000"/>
                <w:sz w:val="19"/>
                <w:szCs w:val="19"/>
              </w:rPr>
              <w:t xml:space="preserve">I</w:t>
            </w:r>
          </w:p>
        </w:tc>
      </w:tr>
      <w:tr>
        <w:tc>
          <w:tcPr>
            <w:tcW w:type="dxa" w:w="26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Réalisation de l'AIPD</w:t>
            </w:r>
          </w:p>
        </w:tc>
        <w:tc>
          <w:tcPr>
            <w:tcW w:type="dxa" w:w="13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I</w:t>
            </w:r>
          </w:p>
        </w:tc>
        <w:tc>
          <w:tcPr>
            <w:tcW w:type="dxa" w:w="13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A / R</w:t>
            </w:r>
          </w:p>
        </w:tc>
        <w:tc>
          <w:tcPr>
            <w:tcW w:type="dxa" w:w="13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C</w:t>
            </w:r>
          </w:p>
        </w:tc>
        <w:tc>
          <w:tcPr>
            <w:tcW w:type="dxa" w:w="16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C</w:t>
            </w:r>
          </w:p>
        </w:tc>
        <w:tc>
          <w:tcPr>
            <w:tcW w:type="dxa" w:w="15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I</w:t>
            </w:r>
          </w:p>
        </w:tc>
      </w:tr>
      <w:tr>
        <w:tc>
          <w:tcPr>
            <w:tcW w:type="dxa" w:w="2600"/>
            <w:tcMar>
              <w:top w:type="dxa" w:w="80"/>
              <w:left w:type="dxa" w:w="110"/>
              <w:bottom w:type="dxa" w:w="80"/>
              <w:right w:type="dxa" w:w="110"/>
            </w:tcMar>
            <w:vAlign w:val="center"/>
          </w:tcPr>
          <w:p>
            <w:pPr>
              <w:jc w:val="left"/>
            </w:pPr>
            <w:r>
              <w:rPr>
                <w:b w:val="false"/>
                <w:bCs w:val="false"/>
                <w:color w:val="000000"/>
                <w:sz w:val="19"/>
                <w:szCs w:val="19"/>
              </w:rPr>
              <w:t xml:space="preserve">Pseudonymisation des données</w:t>
            </w:r>
          </w:p>
        </w:tc>
        <w:tc>
          <w:tcPr>
            <w:tcW w:type="dxa" w:w="1300"/>
            <w:tcMar>
              <w:top w:type="dxa" w:w="80"/>
              <w:left w:type="dxa" w:w="110"/>
              <w:bottom w:type="dxa" w:w="80"/>
              <w:right w:type="dxa" w:w="110"/>
            </w:tcMar>
            <w:vAlign w:val="center"/>
          </w:tcPr>
          <w:p>
            <w:pPr>
              <w:jc w:val="left"/>
            </w:pPr>
            <w:r>
              <w:rPr>
                <w:b w:val="false"/>
                <w:bCs w:val="false"/>
                <w:color w:val="000000"/>
                <w:sz w:val="19"/>
                <w:szCs w:val="19"/>
              </w:rPr>
              <w:t xml:space="preserve">I</w:t>
            </w:r>
          </w:p>
        </w:tc>
        <w:tc>
          <w:tcPr>
            <w:tcW w:type="dxa" w:w="1300"/>
            <w:tcMar>
              <w:top w:type="dxa" w:w="80"/>
              <w:left w:type="dxa" w:w="110"/>
              <w:bottom w:type="dxa" w:w="80"/>
              <w:right w:type="dxa" w:w="110"/>
            </w:tcMar>
            <w:vAlign w:val="center"/>
          </w:tcPr>
          <w:p>
            <w:pPr>
              <w:jc w:val="left"/>
            </w:pPr>
            <w:r>
              <w:rPr>
                <w:b w:val="false"/>
                <w:bCs w:val="false"/>
                <w:color w:val="000000"/>
                <w:sz w:val="19"/>
                <w:szCs w:val="19"/>
              </w:rPr>
              <w:t xml:space="preserve">C</w:t>
            </w:r>
          </w:p>
        </w:tc>
        <w:tc>
          <w:tcPr>
            <w:tcW w:type="dxa" w:w="1300"/>
            <w:tcMar>
              <w:top w:type="dxa" w:w="80"/>
              <w:left w:type="dxa" w:w="110"/>
              <w:bottom w:type="dxa" w:w="80"/>
              <w:right w:type="dxa" w:w="110"/>
            </w:tcMar>
            <w:vAlign w:val="center"/>
          </w:tcPr>
          <w:p>
            <w:pPr>
              <w:jc w:val="left"/>
            </w:pPr>
            <w:r>
              <w:rPr>
                <w:b w:val="false"/>
                <w:bCs w:val="false"/>
                <w:color w:val="000000"/>
                <w:sz w:val="19"/>
                <w:szCs w:val="19"/>
              </w:rPr>
              <w:t xml:space="preserve">C</w:t>
            </w:r>
          </w:p>
        </w:tc>
        <w:tc>
          <w:tcPr>
            <w:tcW w:type="dxa" w:w="1600"/>
            <w:tcMar>
              <w:top w:type="dxa" w:w="80"/>
              <w:left w:type="dxa" w:w="110"/>
              <w:bottom w:type="dxa" w:w="80"/>
              <w:right w:type="dxa" w:w="110"/>
            </w:tcMar>
            <w:vAlign w:val="center"/>
          </w:tcPr>
          <w:p>
            <w:pPr>
              <w:jc w:val="left"/>
            </w:pPr>
            <w:r>
              <w:rPr>
                <w:b w:val="false"/>
                <w:bCs w:val="false"/>
                <w:color w:val="000000"/>
                <w:sz w:val="19"/>
                <w:szCs w:val="19"/>
              </w:rPr>
              <w:t xml:space="preserve">R</w:t>
            </w:r>
          </w:p>
        </w:tc>
        <w:tc>
          <w:tcPr>
            <w:tcW w:type="dxa" w:w="1538"/>
            <w:tcMar>
              <w:top w:type="dxa" w:w="80"/>
              <w:left w:type="dxa" w:w="110"/>
              <w:bottom w:type="dxa" w:w="80"/>
              <w:right w:type="dxa" w:w="110"/>
            </w:tcMar>
            <w:vAlign w:val="center"/>
          </w:tcPr>
          <w:p>
            <w:pPr>
              <w:jc w:val="left"/>
            </w:pPr>
            <w:r>
              <w:rPr>
                <w:b w:val="false"/>
                <w:bCs w:val="false"/>
                <w:color w:val="000000"/>
                <w:sz w:val="19"/>
                <w:szCs w:val="19"/>
              </w:rPr>
              <w:t xml:space="preserve">C</w:t>
            </w:r>
          </w:p>
        </w:tc>
      </w:tr>
      <w:tr>
        <w:tc>
          <w:tcPr>
            <w:tcW w:type="dxa" w:w="26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Contrôle qualité des données</w:t>
            </w:r>
          </w:p>
        </w:tc>
        <w:tc>
          <w:tcPr>
            <w:tcW w:type="dxa" w:w="13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I</w:t>
            </w:r>
          </w:p>
        </w:tc>
        <w:tc>
          <w:tcPr>
            <w:tcW w:type="dxa" w:w="13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I</w:t>
            </w:r>
          </w:p>
        </w:tc>
        <w:tc>
          <w:tcPr>
            <w:tcW w:type="dxa" w:w="13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I</w:t>
            </w:r>
          </w:p>
        </w:tc>
        <w:tc>
          <w:tcPr>
            <w:tcW w:type="dxa" w:w="16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C</w:t>
            </w:r>
          </w:p>
        </w:tc>
        <w:tc>
          <w:tcPr>
            <w:tcW w:type="dxa" w:w="15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R</w:t>
            </w:r>
          </w:p>
        </w:tc>
      </w:tr>
      <w:tr>
        <w:tc>
          <w:tcPr>
            <w:tcW w:type="dxa" w:w="2600"/>
            <w:tcMar>
              <w:top w:type="dxa" w:w="80"/>
              <w:left w:type="dxa" w:w="110"/>
              <w:bottom w:type="dxa" w:w="80"/>
              <w:right w:type="dxa" w:w="110"/>
            </w:tcMar>
            <w:vAlign w:val="center"/>
          </w:tcPr>
          <w:p>
            <w:pPr>
              <w:jc w:val="left"/>
            </w:pPr>
            <w:r>
              <w:rPr>
                <w:b w:val="false"/>
                <w:bCs w:val="false"/>
                <w:color w:val="000000"/>
                <w:sz w:val="19"/>
                <w:szCs w:val="19"/>
              </w:rPr>
              <w:t xml:space="preserve">Gestion d'une violation</w:t>
            </w:r>
          </w:p>
        </w:tc>
        <w:tc>
          <w:tcPr>
            <w:tcW w:type="dxa" w:w="1300"/>
            <w:tcMar>
              <w:top w:type="dxa" w:w="80"/>
              <w:left w:type="dxa" w:w="110"/>
              <w:bottom w:type="dxa" w:w="80"/>
              <w:right w:type="dxa" w:w="110"/>
            </w:tcMar>
            <w:vAlign w:val="center"/>
          </w:tcPr>
          <w:p>
            <w:pPr>
              <w:jc w:val="left"/>
            </w:pPr>
            <w:r>
              <w:rPr>
                <w:b w:val="false"/>
                <w:bCs w:val="false"/>
                <w:color w:val="000000"/>
                <w:sz w:val="19"/>
                <w:szCs w:val="19"/>
              </w:rPr>
              <w:t xml:space="preserve">A</w:t>
            </w:r>
          </w:p>
        </w:tc>
        <w:tc>
          <w:tcPr>
            <w:tcW w:type="dxa" w:w="1300"/>
            <w:tcMar>
              <w:top w:type="dxa" w:w="80"/>
              <w:left w:type="dxa" w:w="110"/>
              <w:bottom w:type="dxa" w:w="80"/>
              <w:right w:type="dxa" w:w="110"/>
            </w:tcMar>
            <w:vAlign w:val="center"/>
          </w:tcPr>
          <w:p>
            <w:pPr>
              <w:jc w:val="left"/>
            </w:pPr>
            <w:r>
              <w:rPr>
                <w:b w:val="false"/>
                <w:bCs w:val="false"/>
                <w:color w:val="000000"/>
                <w:sz w:val="19"/>
                <w:szCs w:val="19"/>
              </w:rPr>
              <w:t xml:space="preserve">R</w:t>
            </w:r>
          </w:p>
        </w:tc>
        <w:tc>
          <w:tcPr>
            <w:tcW w:type="dxa" w:w="1300"/>
            <w:tcMar>
              <w:top w:type="dxa" w:w="80"/>
              <w:left w:type="dxa" w:w="110"/>
              <w:bottom w:type="dxa" w:w="80"/>
              <w:right w:type="dxa" w:w="110"/>
            </w:tcMar>
            <w:vAlign w:val="center"/>
          </w:tcPr>
          <w:p>
            <w:pPr>
              <w:jc w:val="left"/>
            </w:pPr>
            <w:r>
              <w:rPr>
                <w:b w:val="false"/>
                <w:bCs w:val="false"/>
                <w:color w:val="000000"/>
                <w:sz w:val="19"/>
                <w:szCs w:val="19"/>
              </w:rPr>
              <w:t xml:space="preserve">R</w:t>
            </w:r>
          </w:p>
        </w:tc>
        <w:tc>
          <w:tcPr>
            <w:tcW w:type="dxa" w:w="1600"/>
            <w:tcMar>
              <w:top w:type="dxa" w:w="80"/>
              <w:left w:type="dxa" w:w="110"/>
              <w:bottom w:type="dxa" w:w="80"/>
              <w:right w:type="dxa" w:w="110"/>
            </w:tcMar>
            <w:vAlign w:val="center"/>
          </w:tcPr>
          <w:p>
            <w:pPr>
              <w:jc w:val="left"/>
            </w:pPr>
            <w:r>
              <w:rPr>
                <w:b w:val="false"/>
                <w:bCs w:val="false"/>
                <w:color w:val="000000"/>
                <w:sz w:val="19"/>
                <w:szCs w:val="19"/>
              </w:rPr>
              <w:t xml:space="preserve">C</w:t>
            </w:r>
          </w:p>
        </w:tc>
        <w:tc>
          <w:tcPr>
            <w:tcW w:type="dxa" w:w="1538"/>
            <w:tcMar>
              <w:top w:type="dxa" w:w="80"/>
              <w:left w:type="dxa" w:w="110"/>
              <w:bottom w:type="dxa" w:w="80"/>
              <w:right w:type="dxa" w:w="110"/>
            </w:tcMar>
            <w:vAlign w:val="center"/>
          </w:tcPr>
          <w:p>
            <w:pPr>
              <w:jc w:val="left"/>
            </w:pPr>
            <w:r>
              <w:rPr>
                <w:b w:val="false"/>
                <w:bCs w:val="false"/>
                <w:color w:val="000000"/>
                <w:sz w:val="19"/>
                <w:szCs w:val="19"/>
              </w:rPr>
              <w:t xml:space="preserve">I</w:t>
            </w:r>
          </w:p>
        </w:tc>
      </w:tr>
      <w:tr>
        <w:tc>
          <w:tcPr>
            <w:tcW w:type="dxa" w:w="26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Audits réguliers</w:t>
            </w:r>
          </w:p>
        </w:tc>
        <w:tc>
          <w:tcPr>
            <w:tcW w:type="dxa" w:w="13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A</w:t>
            </w:r>
          </w:p>
        </w:tc>
        <w:tc>
          <w:tcPr>
            <w:tcW w:type="dxa" w:w="13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R</w:t>
            </w:r>
          </w:p>
        </w:tc>
        <w:tc>
          <w:tcPr>
            <w:tcW w:type="dxa" w:w="13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R</w:t>
            </w:r>
          </w:p>
        </w:tc>
        <w:tc>
          <w:tcPr>
            <w:tcW w:type="dxa" w:w="16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C</w:t>
            </w:r>
          </w:p>
        </w:tc>
        <w:tc>
          <w:tcPr>
            <w:tcW w:type="dxa" w:w="15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C</w:t>
            </w:r>
          </w:p>
        </w:tc>
      </w:tr>
    </w:tbl>
    <w:p>
      <w:pPr>
        <w:spacing w:after="80"/>
      </w:pPr>
    </w:p>
    <w:p>
      <w:pPr>
        <w:spacing w:after="160"/>
      </w:pPr>
      <w:r>
        <w:rPr>
          <w:i/>
          <w:iCs/>
          <w:color w:val="595959"/>
          <w:sz w:val="19"/>
          <w:szCs w:val="19"/>
        </w:rPr>
        <w:t xml:space="preserve">R = Réalise, A = Approuve, C = Consulté, I = Informé</w:t>
      </w:r>
    </w:p>
    <w:p>
      <w:pPr>
        <w:pStyle w:val="Heading1"/>
      </w:pPr>
      <w:r>
        <w:t xml:space="preserve">6. Politique de qualité des données</w:t>
      </w:r>
    </w:p>
    <w:tbl>
      <w:tblPr>
        <w:tblW w:type="dxa" w:w="9638"/>
        <w:tblBorders>
          <w:top w:val="single" w:color="D9D9D9" w:sz="4"/>
          <w:left w:val="single" w:color="D9D9D9" w:sz="4"/>
          <w:bottom w:val="single" w:color="D9D9D9" w:sz="4"/>
          <w:right w:val="single" w:color="D9D9D9" w:sz="4"/>
          <w:insideH w:val="single" w:color="D9D9D9" w:sz="2"/>
          <w:insideV w:val="single" w:color="D9D9D9" w:sz="2"/>
        </w:tblBorders>
      </w:tblPr>
      <w:tblGrid>
        <w:gridCol w:w="1800"/>
        <w:gridCol w:w="4200"/>
        <w:gridCol w:w="3638"/>
      </w:tblGrid>
      <w:tr>
        <w:trPr>
          <w:tblHeader/>
        </w:trPr>
        <w:tc>
          <w:tcPr>
            <w:tcW w:type="dxa" w:w="1800"/>
            <w:shd w:fill="1F2937" w:val="clear"/>
            <w:tcMar>
              <w:top w:type="dxa" w:w="80"/>
              <w:left w:type="dxa" w:w="110"/>
              <w:bottom w:type="dxa" w:w="80"/>
              <w:right w:type="dxa" w:w="110"/>
            </w:tcMar>
            <w:vAlign w:val="center"/>
          </w:tcPr>
          <w:p>
            <w:pPr>
              <w:jc w:val="left"/>
            </w:pPr>
            <w:r>
              <w:rPr>
                <w:b/>
                <w:bCs/>
                <w:color w:val="FFFFFF"/>
                <w:sz w:val="19"/>
                <w:szCs w:val="19"/>
              </w:rPr>
              <w:t xml:space="preserve">Dimension</w:t>
            </w:r>
          </w:p>
        </w:tc>
        <w:tc>
          <w:tcPr>
            <w:tcW w:type="dxa" w:w="4200"/>
            <w:shd w:fill="1F2937" w:val="clear"/>
            <w:tcMar>
              <w:top w:type="dxa" w:w="80"/>
              <w:left w:type="dxa" w:w="110"/>
              <w:bottom w:type="dxa" w:w="80"/>
              <w:right w:type="dxa" w:w="110"/>
            </w:tcMar>
            <w:vAlign w:val="center"/>
          </w:tcPr>
          <w:p>
            <w:pPr>
              <w:jc w:val="left"/>
            </w:pPr>
            <w:r>
              <w:rPr>
                <w:b/>
                <w:bCs/>
                <w:color w:val="FFFFFF"/>
                <w:sz w:val="19"/>
                <w:szCs w:val="19"/>
              </w:rPr>
              <w:t xml:space="preserve">Règle</w:t>
            </w:r>
          </w:p>
        </w:tc>
        <w:tc>
          <w:tcPr>
            <w:tcW w:type="dxa" w:w="3638"/>
            <w:shd w:fill="1F2937" w:val="clear"/>
            <w:tcMar>
              <w:top w:type="dxa" w:w="80"/>
              <w:left w:type="dxa" w:w="110"/>
              <w:bottom w:type="dxa" w:w="80"/>
              <w:right w:type="dxa" w:w="110"/>
            </w:tcMar>
            <w:vAlign w:val="center"/>
          </w:tcPr>
          <w:p>
            <w:pPr>
              <w:jc w:val="left"/>
            </w:pPr>
            <w:r>
              <w:rPr>
                <w:b/>
                <w:bCs/>
                <w:color w:val="FFFFFF"/>
                <w:sz w:val="19"/>
                <w:szCs w:val="19"/>
              </w:rPr>
              <w:t xml:space="preserve">Contrôle</w:t>
            </w:r>
          </w:p>
        </w:tc>
      </w:tr>
      <w:tr>
        <w:tc>
          <w:tcPr>
            <w:tcW w:type="dxa" w:w="1800"/>
            <w:tcMar>
              <w:top w:type="dxa" w:w="80"/>
              <w:left w:type="dxa" w:w="110"/>
              <w:bottom w:type="dxa" w:w="80"/>
              <w:right w:type="dxa" w:w="110"/>
            </w:tcMar>
            <w:vAlign w:val="center"/>
          </w:tcPr>
          <w:p>
            <w:pPr>
              <w:jc w:val="left"/>
            </w:pPr>
            <w:r>
              <w:rPr>
                <w:b w:val="false"/>
                <w:bCs w:val="false"/>
                <w:color w:val="000000"/>
                <w:sz w:val="19"/>
                <w:szCs w:val="19"/>
              </w:rPr>
              <w:t xml:space="preserve">Exactitude</w:t>
            </w:r>
          </w:p>
        </w:tc>
        <w:tc>
          <w:tcPr>
            <w:tcW w:type="dxa" w:w="4200"/>
            <w:tcMar>
              <w:top w:type="dxa" w:w="80"/>
              <w:left w:type="dxa" w:w="110"/>
              <w:bottom w:type="dxa" w:w="80"/>
              <w:right w:type="dxa" w:w="110"/>
            </w:tcMar>
            <w:vAlign w:val="center"/>
          </w:tcPr>
          <w:p>
            <w:pPr>
              <w:jc w:val="left"/>
            </w:pPr>
            <w:r>
              <w:rPr>
                <w:b w:val="false"/>
                <w:bCs w:val="false"/>
                <w:color w:val="000000"/>
                <w:sz w:val="19"/>
                <w:szCs w:val="19"/>
              </w:rPr>
              <w:t xml:space="preserve">Valeurs conformes aux nomenclatures BAAC</w:t>
            </w:r>
          </w:p>
        </w:tc>
        <w:tc>
          <w:tcPr>
            <w:tcW w:type="dxa" w:w="3638"/>
            <w:tcMar>
              <w:top w:type="dxa" w:w="80"/>
              <w:left w:type="dxa" w:w="110"/>
              <w:bottom w:type="dxa" w:w="80"/>
              <w:right w:type="dxa" w:w="110"/>
            </w:tcMar>
            <w:vAlign w:val="center"/>
          </w:tcPr>
          <w:p>
            <w:pPr>
              <w:jc w:val="left"/>
            </w:pPr>
            <w:r>
              <w:rPr>
                <w:b w:val="false"/>
                <w:bCs w:val="false"/>
                <w:color w:val="000000"/>
                <w:sz w:val="19"/>
                <w:szCs w:val="19"/>
              </w:rPr>
              <w:t xml:space="preserve">Great Expectations (gravité ∈ {-1,1..4})</w:t>
            </w:r>
          </w:p>
        </w:tc>
      </w:tr>
      <w:tr>
        <w:tc>
          <w:tcPr>
            <w:tcW w:type="dxa" w:w="18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Complétude</w:t>
            </w:r>
          </w:p>
        </w:tc>
        <w:tc>
          <w:tcPr>
            <w:tcW w:type="dxa" w:w="42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Champs clés non nuls (identifiant, date, lieu)</w:t>
            </w:r>
          </w:p>
        </w:tc>
        <w:tc>
          <w:tcPr>
            <w:tcW w:type="dxa" w:w="36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Tests de complétude par millésime</w:t>
            </w:r>
          </w:p>
        </w:tc>
      </w:tr>
      <w:tr>
        <w:tc>
          <w:tcPr>
            <w:tcW w:type="dxa" w:w="1800"/>
            <w:tcMar>
              <w:top w:type="dxa" w:w="80"/>
              <w:left w:type="dxa" w:w="110"/>
              <w:bottom w:type="dxa" w:w="80"/>
              <w:right w:type="dxa" w:w="110"/>
            </w:tcMar>
            <w:vAlign w:val="center"/>
          </w:tcPr>
          <w:p>
            <w:pPr>
              <w:jc w:val="left"/>
            </w:pPr>
            <w:r>
              <w:rPr>
                <w:b w:val="false"/>
                <w:bCs w:val="false"/>
                <w:color w:val="000000"/>
                <w:sz w:val="19"/>
                <w:szCs w:val="19"/>
              </w:rPr>
              <w:t xml:space="preserve">Cohérence</w:t>
            </w:r>
          </w:p>
        </w:tc>
        <w:tc>
          <w:tcPr>
            <w:tcW w:type="dxa" w:w="4200"/>
            <w:tcMar>
              <w:top w:type="dxa" w:w="80"/>
              <w:left w:type="dxa" w:w="110"/>
              <w:bottom w:type="dxa" w:w="80"/>
              <w:right w:type="dxa" w:w="110"/>
            </w:tcMar>
            <w:vAlign w:val="center"/>
          </w:tcPr>
          <w:p>
            <w:pPr>
              <w:jc w:val="left"/>
            </w:pPr>
            <w:r>
              <w:rPr>
                <w:b w:val="false"/>
                <w:bCs w:val="false"/>
                <w:color w:val="000000"/>
                <w:sz w:val="19"/>
                <w:szCs w:val="19"/>
              </w:rPr>
              <w:t xml:space="preserve">Plausibilité (âge ≤ 110 ans, bornes vitesse/voies)</w:t>
            </w:r>
          </w:p>
        </w:tc>
        <w:tc>
          <w:tcPr>
            <w:tcW w:type="dxa" w:w="3638"/>
            <w:tcMar>
              <w:top w:type="dxa" w:w="80"/>
              <w:left w:type="dxa" w:w="110"/>
              <w:bottom w:type="dxa" w:w="80"/>
              <w:right w:type="dxa" w:w="110"/>
            </w:tcMar>
            <w:vAlign w:val="center"/>
          </w:tcPr>
          <w:p>
            <w:pPr>
              <w:jc w:val="left"/>
            </w:pPr>
            <w:r>
              <w:rPr>
                <w:b w:val="false"/>
                <w:bCs w:val="false"/>
                <w:color w:val="000000"/>
                <w:sz w:val="19"/>
                <w:szCs w:val="19"/>
              </w:rPr>
              <w:t xml:space="preserve">Règles de validation en Silver/Great Expectations</w:t>
            </w:r>
          </w:p>
        </w:tc>
      </w:tr>
      <w:tr>
        <w:tc>
          <w:tcPr>
            <w:tcW w:type="dxa" w:w="18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Unicité</w:t>
            </w:r>
          </w:p>
        </w:tc>
        <w:tc>
          <w:tcPr>
            <w:tcW w:type="dxa" w:w="42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Pas de doublons d'accidents</w:t>
            </w:r>
          </w:p>
        </w:tc>
        <w:tc>
          <w:tcPr>
            <w:tcW w:type="dxa" w:w="36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Déduplication en Silver</w:t>
            </w:r>
          </w:p>
        </w:tc>
      </w:tr>
      <w:tr>
        <w:tc>
          <w:tcPr>
            <w:tcW w:type="dxa" w:w="1800"/>
            <w:tcMar>
              <w:top w:type="dxa" w:w="80"/>
              <w:left w:type="dxa" w:w="110"/>
              <w:bottom w:type="dxa" w:w="80"/>
              <w:right w:type="dxa" w:w="110"/>
            </w:tcMar>
            <w:vAlign w:val="center"/>
          </w:tcPr>
          <w:p>
            <w:pPr>
              <w:jc w:val="left"/>
            </w:pPr>
            <w:r>
              <w:rPr>
                <w:b w:val="false"/>
                <w:bCs w:val="false"/>
                <w:color w:val="000000"/>
                <w:sz w:val="19"/>
                <w:szCs w:val="19"/>
              </w:rPr>
              <w:t xml:space="preserve">Traçabilité</w:t>
            </w:r>
          </w:p>
        </w:tc>
        <w:tc>
          <w:tcPr>
            <w:tcW w:type="dxa" w:w="4200"/>
            <w:tcMar>
              <w:top w:type="dxa" w:w="80"/>
              <w:left w:type="dxa" w:w="110"/>
              <w:bottom w:type="dxa" w:w="80"/>
              <w:right w:type="dxa" w:w="110"/>
            </w:tcMar>
            <w:vAlign w:val="center"/>
          </w:tcPr>
          <w:p>
            <w:pPr>
              <w:jc w:val="left"/>
            </w:pPr>
            <w:r>
              <w:rPr>
                <w:b w:val="false"/>
                <w:bCs w:val="false"/>
                <w:color w:val="000000"/>
                <w:sz w:val="19"/>
                <w:szCs w:val="19"/>
              </w:rPr>
              <w:t xml:space="preserve">Lineage des transformations Bronze→Silver→Gold</w:t>
            </w:r>
          </w:p>
        </w:tc>
        <w:tc>
          <w:tcPr>
            <w:tcW w:type="dxa" w:w="3638"/>
            <w:tcMar>
              <w:top w:type="dxa" w:w="80"/>
              <w:left w:type="dxa" w:w="110"/>
              <w:bottom w:type="dxa" w:w="80"/>
              <w:right w:type="dxa" w:w="110"/>
            </w:tcMar>
            <w:vAlign w:val="center"/>
          </w:tcPr>
          <w:p>
            <w:pPr>
              <w:jc w:val="left"/>
            </w:pPr>
            <w:r>
              <w:rPr>
                <w:b w:val="false"/>
                <w:bCs w:val="false"/>
                <w:color w:val="000000"/>
                <w:sz w:val="19"/>
                <w:szCs w:val="19"/>
              </w:rPr>
              <w:t xml:space="preserve">Journalisation + métadonnées</w:t>
            </w:r>
          </w:p>
        </w:tc>
      </w:tr>
    </w:tbl>
    <w:p>
      <w:pPr>
        <w:spacing w:after="120"/>
      </w:pPr>
    </w:p>
    <w:p>
      <w:pPr>
        <w:spacing w:after="160" w:line="276"/>
      </w:pPr>
      <w:r>
        <w:t xml:space="preserve">Tout lot non conforme bloque la promotion vers Gold (échec de la tâche qualité du pipeline Airflow) ; le Parquet Silver déjà écrit n'est ni déplacé ni supprimé (pas de quarantaine physique) et aucune notification automatique n'est envoyée au data steward à ce jour — ces deux points restent des mesures cibles.</w:t>
      </w:r>
    </w:p>
    <w:p>
      <w:pPr>
        <w:pStyle w:val="Heading1"/>
      </w:pPr>
      <w:r>
        <w:t xml:space="preserve">7. Politique de sécurité et de confidentialité</w:t>
      </w:r>
    </w:p>
    <w:tbl>
      <w:tblPr>
        <w:tblW w:type="dxa" w:w="9638"/>
        <w:tblBorders>
          <w:top w:val="single" w:color="D9D9D9" w:sz="4"/>
          <w:left w:val="single" w:color="D9D9D9" w:sz="4"/>
          <w:bottom w:val="single" w:color="D9D9D9" w:sz="4"/>
          <w:right w:val="single" w:color="D9D9D9" w:sz="4"/>
          <w:insideH w:val="single" w:color="D9D9D9" w:sz="2"/>
          <w:insideV w:val="single" w:color="D9D9D9" w:sz="2"/>
        </w:tblBorders>
      </w:tblPr>
      <w:tblGrid>
        <w:gridCol w:w="2200"/>
        <w:gridCol w:w="3600"/>
        <w:gridCol w:w="3838"/>
      </w:tblGrid>
      <w:tr>
        <w:trPr>
          <w:tblHeader/>
        </w:trPr>
        <w:tc>
          <w:tcPr>
            <w:tcW w:type="dxa" w:w="2200"/>
            <w:shd w:fill="1F2937" w:val="clear"/>
            <w:tcMar>
              <w:top w:type="dxa" w:w="80"/>
              <w:left w:type="dxa" w:w="110"/>
              <w:bottom w:type="dxa" w:w="80"/>
              <w:right w:type="dxa" w:w="110"/>
            </w:tcMar>
            <w:vAlign w:val="center"/>
          </w:tcPr>
          <w:p>
            <w:pPr>
              <w:jc w:val="left"/>
            </w:pPr>
            <w:r>
              <w:rPr>
                <w:b/>
                <w:bCs/>
                <w:color w:val="FFFFFF"/>
                <w:sz w:val="19"/>
                <w:szCs w:val="19"/>
              </w:rPr>
              <w:t xml:space="preserve">Mesure</w:t>
            </w:r>
          </w:p>
        </w:tc>
        <w:tc>
          <w:tcPr>
            <w:tcW w:type="dxa" w:w="3600"/>
            <w:shd w:fill="1F2937" w:val="clear"/>
            <w:tcMar>
              <w:top w:type="dxa" w:w="80"/>
              <w:left w:type="dxa" w:w="110"/>
              <w:bottom w:type="dxa" w:w="80"/>
              <w:right w:type="dxa" w:w="110"/>
            </w:tcMar>
            <w:vAlign w:val="center"/>
          </w:tcPr>
          <w:p>
            <w:pPr>
              <w:jc w:val="left"/>
            </w:pPr>
            <w:r>
              <w:rPr>
                <w:b/>
                <w:bCs/>
                <w:color w:val="FFFFFF"/>
                <w:sz w:val="19"/>
                <w:szCs w:val="19"/>
              </w:rPr>
              <w:t xml:space="preserve">Mise en œuvre</w:t>
            </w:r>
          </w:p>
        </w:tc>
        <w:tc>
          <w:tcPr>
            <w:tcW w:type="dxa" w:w="3838"/>
            <w:shd w:fill="1F2937" w:val="clear"/>
            <w:tcMar>
              <w:top w:type="dxa" w:w="80"/>
              <w:left w:type="dxa" w:w="110"/>
              <w:bottom w:type="dxa" w:w="80"/>
              <w:right w:type="dxa" w:w="110"/>
            </w:tcMar>
            <w:vAlign w:val="center"/>
          </w:tcPr>
          <w:p>
            <w:pPr>
              <w:jc w:val="left"/>
            </w:pPr>
            <w:r>
              <w:rPr>
                <w:b/>
                <w:bCs/>
                <w:color w:val="FFFFFF"/>
                <w:sz w:val="19"/>
                <w:szCs w:val="19"/>
              </w:rPr>
              <w:t xml:space="preserve">Statut</w:t>
            </w:r>
          </w:p>
        </w:tc>
      </w:tr>
      <w:tr>
        <w:tc>
          <w:tcPr>
            <w:tcW w:type="dxa" w:w="2200"/>
            <w:tcMar>
              <w:top w:type="dxa" w:w="80"/>
              <w:left w:type="dxa" w:w="110"/>
              <w:bottom w:type="dxa" w:w="80"/>
              <w:right w:type="dxa" w:w="110"/>
            </w:tcMar>
            <w:vAlign w:val="center"/>
          </w:tcPr>
          <w:p>
            <w:pPr>
              <w:jc w:val="left"/>
            </w:pPr>
            <w:r>
              <w:rPr>
                <w:b w:val="false"/>
                <w:bCs w:val="false"/>
                <w:color w:val="000000"/>
                <w:sz w:val="19"/>
                <w:szCs w:val="19"/>
              </w:rPr>
              <w:t xml:space="preserve">Chiffrement au repos</w:t>
            </w:r>
          </w:p>
        </w:tc>
        <w:tc>
          <w:tcPr>
            <w:tcW w:type="dxa" w:w="3600"/>
            <w:tcMar>
              <w:top w:type="dxa" w:w="80"/>
              <w:left w:type="dxa" w:w="110"/>
              <w:bottom w:type="dxa" w:w="80"/>
              <w:right w:type="dxa" w:w="110"/>
            </w:tcMar>
            <w:vAlign w:val="center"/>
          </w:tcPr>
          <w:p>
            <w:pPr>
              <w:jc w:val="left"/>
            </w:pPr>
            <w:r>
              <w:rPr>
                <w:b w:val="false"/>
                <w:bCs w:val="false"/>
                <w:color w:val="000000"/>
                <w:sz w:val="19"/>
                <w:szCs w:val="19"/>
              </w:rPr>
              <w:t xml:space="preserve">S3/RDS chiffrés</w:t>
            </w:r>
          </w:p>
        </w:tc>
        <w:tc>
          <w:tcPr>
            <w:tcW w:type="dxa" w:w="3838"/>
            <w:tcMar>
              <w:top w:type="dxa" w:w="80"/>
              <w:left w:type="dxa" w:w="110"/>
              <w:bottom w:type="dxa" w:w="80"/>
              <w:right w:type="dxa" w:w="110"/>
            </w:tcMar>
            <w:vAlign w:val="center"/>
          </w:tcPr>
          <w:p>
            <w:pPr>
              <w:jc w:val="left"/>
            </w:pPr>
            <w:r>
              <w:rPr>
                <w:b w:val="false"/>
                <w:bCs w:val="false"/>
                <w:color w:val="000000"/>
                <w:sz w:val="19"/>
                <w:szCs w:val="19"/>
              </w:rPr>
              <w:t xml:space="preserve">À implémenter (cible prod)</w:t>
            </w:r>
          </w:p>
        </w:tc>
      </w:tr>
      <w:tr>
        <w:tc>
          <w:tcPr>
            <w:tcW w:type="dxa" w:w="22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Chiffrement en transit</w:t>
            </w:r>
          </w:p>
        </w:tc>
        <w:tc>
          <w:tcPr>
            <w:tcW w:type="dxa" w:w="36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TLS systématique</w:t>
            </w:r>
          </w:p>
        </w:tc>
        <w:tc>
          <w:tcPr>
            <w:tcW w:type="dxa" w:w="38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À implémenter (stack dev en HTTP local)</w:t>
            </w:r>
          </w:p>
        </w:tc>
      </w:tr>
      <w:tr>
        <w:tc>
          <w:tcPr>
            <w:tcW w:type="dxa" w:w="2200"/>
            <w:tcMar>
              <w:top w:type="dxa" w:w="80"/>
              <w:left w:type="dxa" w:w="110"/>
              <w:bottom w:type="dxa" w:w="80"/>
              <w:right w:type="dxa" w:w="110"/>
            </w:tcMar>
            <w:vAlign w:val="center"/>
          </w:tcPr>
          <w:p>
            <w:pPr>
              <w:jc w:val="left"/>
            </w:pPr>
            <w:r>
              <w:rPr>
                <w:b w:val="false"/>
                <w:bCs w:val="false"/>
                <w:color w:val="000000"/>
                <w:sz w:val="19"/>
                <w:szCs w:val="19"/>
              </w:rPr>
              <w:t xml:space="preserve">Pseudonymisation</w:t>
            </w:r>
          </w:p>
        </w:tc>
        <w:tc>
          <w:tcPr>
            <w:tcW w:type="dxa" w:w="3600"/>
            <w:tcMar>
              <w:top w:type="dxa" w:w="80"/>
              <w:left w:type="dxa" w:w="110"/>
              <w:bottom w:type="dxa" w:w="80"/>
              <w:right w:type="dxa" w:w="110"/>
            </w:tcMar>
            <w:vAlign w:val="center"/>
          </w:tcPr>
          <w:p>
            <w:pPr>
              <w:jc w:val="left"/>
            </w:pPr>
            <w:r>
              <w:rPr>
                <w:b w:val="false"/>
                <w:bCs w:val="false"/>
                <w:color w:val="000000"/>
                <w:sz w:val="19"/>
                <w:szCs w:val="19"/>
              </w:rPr>
              <w:t xml:space="preserve">Dès la couche Silver</w:t>
            </w:r>
          </w:p>
        </w:tc>
        <w:tc>
          <w:tcPr>
            <w:tcW w:type="dxa" w:w="3838"/>
            <w:tcMar>
              <w:top w:type="dxa" w:w="80"/>
              <w:left w:type="dxa" w:w="110"/>
              <w:bottom w:type="dxa" w:w="80"/>
              <w:right w:type="dxa" w:w="110"/>
            </w:tcMar>
            <w:vAlign w:val="center"/>
          </w:tcPr>
          <w:p>
            <w:pPr>
              <w:jc w:val="left"/>
            </w:pPr>
            <w:r>
              <w:rPr>
                <w:b w:val="false"/>
                <w:bCs w:val="false"/>
                <w:color w:val="000000"/>
                <w:sz w:val="19"/>
                <w:szCs w:val="19"/>
              </w:rPr>
              <w:t xml:space="preserve">Fait — vérifié sur les 5 millésimes réels</w:t>
            </w:r>
          </w:p>
        </w:tc>
      </w:tr>
      <w:tr>
        <w:tc>
          <w:tcPr>
            <w:tcW w:type="dxa" w:w="22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Contrôle d'accès</w:t>
            </w:r>
          </w:p>
        </w:tc>
        <w:tc>
          <w:tcPr>
            <w:tcW w:type="dxa" w:w="36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Moindre privilège (IAM, rôles PostgreSQL), authentification forte</w:t>
            </w:r>
          </w:p>
        </w:tc>
        <w:tc>
          <w:tcPr>
            <w:tcW w:type="dxa" w:w="38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À implémenter (cible prod)</w:t>
            </w:r>
          </w:p>
        </w:tc>
      </w:tr>
      <w:tr>
        <w:tc>
          <w:tcPr>
            <w:tcW w:type="dxa" w:w="2200"/>
            <w:tcMar>
              <w:top w:type="dxa" w:w="80"/>
              <w:left w:type="dxa" w:w="110"/>
              <w:bottom w:type="dxa" w:w="80"/>
              <w:right w:type="dxa" w:w="110"/>
            </w:tcMar>
            <w:vAlign w:val="center"/>
          </w:tcPr>
          <w:p>
            <w:pPr>
              <w:jc w:val="left"/>
            </w:pPr>
            <w:r>
              <w:rPr>
                <w:b w:val="false"/>
                <w:bCs w:val="false"/>
                <w:color w:val="000000"/>
                <w:sz w:val="19"/>
                <w:szCs w:val="19"/>
              </w:rPr>
              <w:t xml:space="preserve">Gestion des secrets</w:t>
            </w:r>
          </w:p>
        </w:tc>
        <w:tc>
          <w:tcPr>
            <w:tcW w:type="dxa" w:w="3600"/>
            <w:tcMar>
              <w:top w:type="dxa" w:w="80"/>
              <w:left w:type="dxa" w:w="110"/>
              <w:bottom w:type="dxa" w:w="80"/>
              <w:right w:type="dxa" w:w="110"/>
            </w:tcMar>
            <w:vAlign w:val="center"/>
          </w:tcPr>
          <w:p>
            <w:pPr>
              <w:jc w:val="left"/>
            </w:pPr>
            <w:r>
              <w:rPr>
                <w:b w:val="false"/>
                <w:bCs w:val="false"/>
                <w:color w:val="000000"/>
                <w:sz w:val="19"/>
                <w:szCs w:val="19"/>
              </w:rPr>
              <w:t xml:space="preserve">.env (dev) / Secrets Manager (prod), jamais dans Git</w:t>
            </w:r>
          </w:p>
        </w:tc>
        <w:tc>
          <w:tcPr>
            <w:tcW w:type="dxa" w:w="3838"/>
            <w:tcMar>
              <w:top w:type="dxa" w:w="80"/>
              <w:left w:type="dxa" w:w="110"/>
              <w:bottom w:type="dxa" w:w="80"/>
              <w:right w:type="dxa" w:w="110"/>
            </w:tcMar>
            <w:vAlign w:val="center"/>
          </w:tcPr>
          <w:p>
            <w:pPr>
              <w:jc w:val="left"/>
            </w:pPr>
            <w:r>
              <w:rPr>
                <w:b w:val="false"/>
                <w:bCs w:val="false"/>
                <w:color w:val="000000"/>
                <w:sz w:val="19"/>
                <w:szCs w:val="19"/>
              </w:rPr>
              <w:t xml:space="preserve">Fait en dev</w:t>
            </w:r>
          </w:p>
        </w:tc>
      </w:tr>
      <w:tr>
        <w:tc>
          <w:tcPr>
            <w:tcW w:type="dxa" w:w="22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Cloisonnement</w:t>
            </w:r>
          </w:p>
        </w:tc>
        <w:tc>
          <w:tcPr>
            <w:tcW w:type="dxa" w:w="36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Séparation des environnements dev / prod</w:t>
            </w:r>
          </w:p>
        </w:tc>
        <w:tc>
          <w:tcPr>
            <w:tcW w:type="dxa" w:w="38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Fait — Docker Compose (dev) / Terraform-LocalStack (cible prod)</w:t>
            </w:r>
          </w:p>
        </w:tc>
      </w:tr>
      <w:tr>
        <w:tc>
          <w:tcPr>
            <w:tcW w:type="dxa" w:w="2200"/>
            <w:tcMar>
              <w:top w:type="dxa" w:w="80"/>
              <w:left w:type="dxa" w:w="110"/>
              <w:bottom w:type="dxa" w:w="80"/>
              <w:right w:type="dxa" w:w="110"/>
            </w:tcMar>
            <w:vAlign w:val="center"/>
          </w:tcPr>
          <w:p>
            <w:pPr>
              <w:jc w:val="left"/>
            </w:pPr>
            <w:r>
              <w:rPr>
                <w:b w:val="false"/>
                <w:bCs w:val="false"/>
                <w:color w:val="000000"/>
                <w:sz w:val="19"/>
                <w:szCs w:val="19"/>
              </w:rPr>
              <w:t xml:space="preserve">Journalisation</w:t>
            </w:r>
          </w:p>
        </w:tc>
        <w:tc>
          <w:tcPr>
            <w:tcW w:type="dxa" w:w="3600"/>
            <w:tcMar>
              <w:top w:type="dxa" w:w="80"/>
              <w:left w:type="dxa" w:w="110"/>
              <w:bottom w:type="dxa" w:w="80"/>
              <w:right w:type="dxa" w:w="110"/>
            </w:tcMar>
            <w:vAlign w:val="center"/>
          </w:tcPr>
          <w:p>
            <w:pPr>
              <w:jc w:val="left"/>
            </w:pPr>
            <w:r>
              <w:rPr>
                <w:b w:val="false"/>
                <w:bCs w:val="false"/>
                <w:color w:val="000000"/>
                <w:sz w:val="19"/>
                <w:szCs w:val="19"/>
              </w:rPr>
              <w:t xml:space="preserve">Logs d'accès et de prédictions horodatés</w:t>
            </w:r>
          </w:p>
        </w:tc>
        <w:tc>
          <w:tcPr>
            <w:tcW w:type="dxa" w:w="3838"/>
            <w:tcMar>
              <w:top w:type="dxa" w:w="80"/>
              <w:left w:type="dxa" w:w="110"/>
              <w:bottom w:type="dxa" w:w="80"/>
              <w:right w:type="dxa" w:w="110"/>
            </w:tcMar>
            <w:vAlign w:val="center"/>
          </w:tcPr>
          <w:p>
            <w:pPr>
              <w:jc w:val="left"/>
            </w:pPr>
            <w:r>
              <w:rPr>
                <w:b w:val="false"/>
                <w:bCs w:val="false"/>
                <w:color w:val="000000"/>
                <w:sz w:val="19"/>
                <w:szCs w:val="19"/>
              </w:rPr>
              <w:t xml:space="preserve">Partiel — pas encore de registre interrogeable 12 mois</w:t>
            </w:r>
          </w:p>
        </w:tc>
      </w:tr>
    </w:tbl>
    <w:p>
      <w:pPr>
        <w:spacing w:after="120"/>
      </w:pPr>
    </w:p>
    <w:p>
      <w:pPr>
        <w:spacing w:after="160" w:line="276"/>
      </w:pPr>
      <w:r>
        <w:rPr>
          <w:b/>
          <w:bCs/>
        </w:rPr>
        <w:t xml:space="preserve">Portée de « authentification forte » : </w:t>
      </w:r>
      <w:r>
        <w:t xml:space="preserve">cette politique vise la surface exposée (API de prédiction, accès aux données réelles en production). Elle ne s'applique pas à l'outillage interne de la stack dev (Airflow, MLflow, Grafana), qui tourne sur le réseau Docker local, n'est jamais exposé publiquement et simplifie volontairement son authentification pour la vélocité. Écart assumé et documenté, cohérent avec la séparation dev/prod déjà posée — pas une dérogation silencieuse à la politique de sécurité de production.</w:t>
      </w:r>
    </w:p>
    <w:p>
      <w:pPr>
        <w:pStyle w:val="Heading1"/>
      </w:pPr>
      <w:r>
        <w:t xml:space="preserve">8. Disponibilité et continuité</w:t>
      </w:r>
    </w:p>
    <w:p>
      <w:pPr>
        <w:pStyle w:val="ListParagraph"/>
        <w:numPr>
          <w:ilvl w:val="0"/>
          <w:numId w:val="2"/>
        </w:numPr>
        <w:spacing w:after="80"/>
      </w:pPr>
      <w:r>
        <w:t xml:space="preserve">Objectif de disponibilité de l'API : ≥ 99,5 % / mois.</w:t>
      </w:r>
    </w:p>
    <w:p>
      <w:pPr>
        <w:pStyle w:val="ListParagraph"/>
        <w:numPr>
          <w:ilvl w:val="0"/>
          <w:numId w:val="2"/>
        </w:numPr>
        <w:spacing w:after="80"/>
      </w:pPr>
      <w:r>
        <w:t xml:space="preserve">Fait : retries des tâches Airflow, redémarrage automatique des conteneurs de la stack dev et des pods Kubernetes (vérifié sur cluster kind réel).</w:t>
      </w:r>
    </w:p>
    <w:p>
      <w:pPr>
        <w:pStyle w:val="ListParagraph"/>
        <w:numPr>
          <w:ilvl w:val="0"/>
          <w:numId w:val="2"/>
        </w:numPr>
        <w:spacing w:after="80"/>
      </w:pPr>
      <w:r>
        <w:t xml:space="preserve">À implémenter : redondance du stockage (S3/RDS) et sauvegardes testées — politique cible pour la production, non déployée à ce jour.</w:t>
      </w:r>
    </w:p>
    <w:p>
      <w:pPr>
        <w:pStyle w:val="Heading1"/>
      </w:pPr>
      <w:r>
        <w:t xml:space="preserve">9. Cycle de vie et conservation des données</w:t>
      </w:r>
    </w:p>
    <w:tbl>
      <w:tblPr>
        <w:tblW w:type="dxa" w:w="9638"/>
        <w:tblBorders>
          <w:top w:val="single" w:color="D9D9D9" w:sz="4"/>
          <w:left w:val="single" w:color="D9D9D9" w:sz="4"/>
          <w:bottom w:val="single" w:color="D9D9D9" w:sz="4"/>
          <w:right w:val="single" w:color="D9D9D9" w:sz="4"/>
          <w:insideH w:val="single" w:color="D9D9D9" w:sz="2"/>
          <w:insideV w:val="single" w:color="D9D9D9" w:sz="2"/>
        </w:tblBorders>
      </w:tblPr>
      <w:tblGrid>
        <w:gridCol w:w="3200"/>
        <w:gridCol w:w="4038"/>
        <w:gridCol w:w="2400"/>
      </w:tblGrid>
      <w:tr>
        <w:trPr>
          <w:tblHeader/>
        </w:trPr>
        <w:tc>
          <w:tcPr>
            <w:tcW w:type="dxa" w:w="3200"/>
            <w:shd w:fill="1F2937" w:val="clear"/>
            <w:tcMar>
              <w:top w:type="dxa" w:w="80"/>
              <w:left w:type="dxa" w:w="110"/>
              <w:bottom w:type="dxa" w:w="80"/>
              <w:right w:type="dxa" w:w="110"/>
            </w:tcMar>
            <w:vAlign w:val="center"/>
          </w:tcPr>
          <w:p>
            <w:pPr>
              <w:jc w:val="left"/>
            </w:pPr>
            <w:r>
              <w:rPr>
                <w:b/>
                <w:bCs/>
                <w:color w:val="FFFFFF"/>
                <w:sz w:val="19"/>
                <w:szCs w:val="19"/>
              </w:rPr>
              <w:t xml:space="preserve">Donnée</w:t>
            </w:r>
          </w:p>
        </w:tc>
        <w:tc>
          <w:tcPr>
            <w:tcW w:type="dxa" w:w="4038"/>
            <w:shd w:fill="1F2937" w:val="clear"/>
            <w:tcMar>
              <w:top w:type="dxa" w:w="80"/>
              <w:left w:type="dxa" w:w="110"/>
              <w:bottom w:type="dxa" w:w="80"/>
              <w:right w:type="dxa" w:w="110"/>
            </w:tcMar>
            <w:vAlign w:val="center"/>
          </w:tcPr>
          <w:p>
            <w:pPr>
              <w:jc w:val="left"/>
            </w:pPr>
            <w:r>
              <w:rPr>
                <w:b/>
                <w:bCs/>
                <w:color w:val="FFFFFF"/>
                <w:sz w:val="19"/>
                <w:szCs w:val="19"/>
              </w:rPr>
              <w:t xml:space="preserve">Durée de conservation</w:t>
            </w:r>
          </w:p>
        </w:tc>
        <w:tc>
          <w:tcPr>
            <w:tcW w:type="dxa" w:w="2400"/>
            <w:shd w:fill="1F2937" w:val="clear"/>
            <w:tcMar>
              <w:top w:type="dxa" w:w="80"/>
              <w:left w:type="dxa" w:w="110"/>
              <w:bottom w:type="dxa" w:w="80"/>
              <w:right w:type="dxa" w:w="110"/>
            </w:tcMar>
            <w:vAlign w:val="center"/>
          </w:tcPr>
          <w:p>
            <w:pPr>
              <w:jc w:val="left"/>
            </w:pPr>
            <w:r>
              <w:rPr>
                <w:b/>
                <w:bCs/>
                <w:color w:val="FFFFFF"/>
                <w:sz w:val="19"/>
                <w:szCs w:val="19"/>
              </w:rPr>
              <w:t xml:space="preserve">Sort final</w:t>
            </w:r>
          </w:p>
        </w:tc>
      </w:tr>
      <w:tr>
        <w:tc>
          <w:tcPr>
            <w:tcW w:type="dxa" w:w="3200"/>
            <w:tcMar>
              <w:top w:type="dxa" w:w="80"/>
              <w:left w:type="dxa" w:w="110"/>
              <w:bottom w:type="dxa" w:w="80"/>
              <w:right w:type="dxa" w:w="110"/>
            </w:tcMar>
            <w:vAlign w:val="center"/>
          </w:tcPr>
          <w:p>
            <w:pPr>
              <w:jc w:val="left"/>
            </w:pPr>
            <w:r>
              <w:rPr>
                <w:b w:val="false"/>
                <w:bCs w:val="false"/>
                <w:color w:val="000000"/>
                <w:sz w:val="19"/>
                <w:szCs w:val="19"/>
              </w:rPr>
              <w:t xml:space="preserve">BAAC (open data)</w:t>
            </w:r>
          </w:p>
        </w:tc>
        <w:tc>
          <w:tcPr>
            <w:tcW w:type="dxa" w:w="4038"/>
            <w:tcMar>
              <w:top w:type="dxa" w:w="80"/>
              <w:left w:type="dxa" w:w="110"/>
              <w:bottom w:type="dxa" w:w="80"/>
              <w:right w:type="dxa" w:w="110"/>
            </w:tcMar>
            <w:vAlign w:val="center"/>
          </w:tcPr>
          <w:p>
            <w:pPr>
              <w:jc w:val="left"/>
            </w:pPr>
            <w:r>
              <w:rPr>
                <w:b w:val="false"/>
                <w:bCs w:val="false"/>
                <w:color w:val="000000"/>
                <w:sz w:val="19"/>
                <w:szCs w:val="19"/>
              </w:rPr>
              <w:t xml:space="preserve">Durée du projet</w:t>
            </w:r>
          </w:p>
        </w:tc>
        <w:tc>
          <w:tcPr>
            <w:tcW w:type="dxa" w:w="2400"/>
            <w:tcMar>
              <w:top w:type="dxa" w:w="80"/>
              <w:left w:type="dxa" w:w="110"/>
              <w:bottom w:type="dxa" w:w="80"/>
              <w:right w:type="dxa" w:w="110"/>
            </w:tcMar>
            <w:vAlign w:val="center"/>
          </w:tcPr>
          <w:p>
            <w:pPr>
              <w:jc w:val="left"/>
            </w:pPr>
            <w:r>
              <w:rPr>
                <w:b w:val="false"/>
                <w:bCs w:val="false"/>
                <w:color w:val="000000"/>
                <w:sz w:val="19"/>
                <w:szCs w:val="19"/>
              </w:rPr>
              <w:t xml:space="preserve">Archivage</w:t>
            </w:r>
          </w:p>
        </w:tc>
      </w:tr>
      <w:tr>
        <w:tc>
          <w:tcPr>
            <w:tcW w:type="dxa" w:w="32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Données opérationnelles temps réel</w:t>
            </w:r>
          </w:p>
        </w:tc>
        <w:tc>
          <w:tcPr>
            <w:tcW w:type="dxa" w:w="40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Conservées le temps de l'intervention, puis anonymisées sous 30 jours</w:t>
            </w:r>
          </w:p>
        </w:tc>
        <w:tc>
          <w:tcPr>
            <w:tcW w:type="dxa" w:w="24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Anonymisation</w:t>
            </w:r>
          </w:p>
        </w:tc>
      </w:tr>
      <w:tr>
        <w:tc>
          <w:tcPr>
            <w:tcW w:type="dxa" w:w="3200"/>
            <w:tcMar>
              <w:top w:type="dxa" w:w="80"/>
              <w:left w:type="dxa" w:w="110"/>
              <w:bottom w:type="dxa" w:w="80"/>
              <w:right w:type="dxa" w:w="110"/>
            </w:tcMar>
            <w:vAlign w:val="center"/>
          </w:tcPr>
          <w:p>
            <w:pPr>
              <w:jc w:val="left"/>
            </w:pPr>
            <w:r>
              <w:rPr>
                <w:b w:val="false"/>
                <w:bCs w:val="false"/>
                <w:color w:val="000000"/>
                <w:sz w:val="19"/>
                <w:szCs w:val="19"/>
              </w:rPr>
              <w:t xml:space="preserve">Journaux de prédiction</w:t>
            </w:r>
          </w:p>
        </w:tc>
        <w:tc>
          <w:tcPr>
            <w:tcW w:type="dxa" w:w="4038"/>
            <w:tcMar>
              <w:top w:type="dxa" w:w="80"/>
              <w:left w:type="dxa" w:w="110"/>
              <w:bottom w:type="dxa" w:w="80"/>
              <w:right w:type="dxa" w:w="110"/>
            </w:tcMar>
            <w:vAlign w:val="center"/>
          </w:tcPr>
          <w:p>
            <w:pPr>
              <w:jc w:val="left"/>
            </w:pPr>
            <w:r>
              <w:rPr>
                <w:b w:val="false"/>
                <w:bCs w:val="false"/>
                <w:color w:val="000000"/>
                <w:sz w:val="19"/>
                <w:szCs w:val="19"/>
              </w:rPr>
              <w:t xml:space="preserve">12 mois (audit / traçabilité)</w:t>
            </w:r>
          </w:p>
        </w:tc>
        <w:tc>
          <w:tcPr>
            <w:tcW w:type="dxa" w:w="2400"/>
            <w:tcMar>
              <w:top w:type="dxa" w:w="80"/>
              <w:left w:type="dxa" w:w="110"/>
              <w:bottom w:type="dxa" w:w="80"/>
              <w:right w:type="dxa" w:w="110"/>
            </w:tcMar>
            <w:vAlign w:val="center"/>
          </w:tcPr>
          <w:p>
            <w:pPr>
              <w:jc w:val="left"/>
            </w:pPr>
            <w:r>
              <w:rPr>
                <w:b w:val="false"/>
                <w:bCs w:val="false"/>
                <w:color w:val="000000"/>
                <w:sz w:val="19"/>
                <w:szCs w:val="19"/>
              </w:rPr>
              <w:t xml:space="preserve">Suppression</w:t>
            </w:r>
          </w:p>
        </w:tc>
      </w:tr>
      <w:tr>
        <w:tc>
          <w:tcPr>
            <w:tcW w:type="dxa" w:w="32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Modèles entraînés</w:t>
            </w:r>
          </w:p>
        </w:tc>
        <w:tc>
          <w:tcPr>
            <w:tcW w:type="dxa" w:w="40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Versionnés (MLflow), conservés tant qu'actifs ou de référence</w:t>
            </w:r>
          </w:p>
        </w:tc>
        <w:tc>
          <w:tcPr>
            <w:tcW w:type="dxa" w:w="24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Archivage</w:t>
            </w:r>
          </w:p>
        </w:tc>
      </w:tr>
    </w:tbl>
    <w:p>
      <w:pPr>
        <w:spacing w:after="80"/>
      </w:pPr>
    </w:p>
    <w:p>
      <w:pPr>
        <w:spacing w:after="160"/>
      </w:pPr>
      <w:r>
        <w:rPr>
          <w:i/>
          <w:iCs/>
          <w:color w:val="595959"/>
          <w:sz w:val="19"/>
          <w:szCs w:val="19"/>
        </w:rPr>
        <w:t xml:space="preserve">Durées définies avec le DPO ; révisées à chaque évolution du traitement.</w:t>
      </w:r>
    </w:p>
    <w:p>
      <w:pPr>
        <w:pStyle w:val="Heading2"/>
      </w:pPr>
      <w:r>
        <w:t xml:space="preserve">Registre des traitements</w:t>
      </w:r>
    </w:p>
    <w:p>
      <w:pPr>
        <w:spacing w:after="160" w:line="276"/>
      </w:pPr>
      <w:r>
        <w:t xml:space="preserve">Le traitement « scoring de gravité d'accident » est inscrit au registre des traitements (art. 30 RGPD), précisant : la finalité (aide à la priorisation des secours), la base légale (art. 6.1.e et 9.2.i), les catégories de données (personnelles + santé), les destinataires (opérateurs habilités), les durées de conservation (ci-dessus) et les mesures de sécurité (§7). Le registre est tenu à jour par le DPO et révisé à chaque évolution du traitement.</w:t>
      </w:r>
    </w:p>
    <w:p>
      <w:pPr>
        <w:pStyle w:val="Heading1"/>
      </w:pPr>
      <w:r>
        <w:t xml:space="preserve">10. Droits des personnes concernées</w:t>
      </w:r>
    </w:p>
    <w:p>
      <w:pPr>
        <w:spacing w:after="160" w:line="276"/>
      </w:pPr>
      <w:r>
        <w:t xml:space="preserve">Procédures pour répondre aux demandes d'accès, rectification, suppression, opposition et limitation :</w:t>
      </w:r>
    </w:p>
    <w:p>
      <w:pPr>
        <w:pStyle w:val="ListParagraph"/>
        <w:numPr>
          <w:ilvl w:val="0"/>
          <w:numId w:val="2"/>
        </w:numPr>
        <w:spacing w:after="80"/>
      </w:pPr>
      <w:r>
        <w:t xml:space="preserve">point de contact DPO publié ;</w:t>
      </w:r>
    </w:p>
    <w:p>
      <w:pPr>
        <w:pStyle w:val="ListParagraph"/>
        <w:numPr>
          <w:ilvl w:val="0"/>
          <w:numId w:val="2"/>
        </w:numPr>
        <w:spacing w:after="80"/>
      </w:pPr>
      <w:r>
        <w:t xml:space="preserve">délai de réponse d'un mois (RGPD) ;</w:t>
      </w:r>
    </w:p>
    <w:p>
      <w:pPr>
        <w:pStyle w:val="ListParagraph"/>
        <w:numPr>
          <w:ilvl w:val="0"/>
          <w:numId w:val="2"/>
        </w:numPr>
        <w:spacing w:after="80"/>
      </w:pPr>
      <w:r>
        <w:t xml:space="preserve">registre des demandes ;</w:t>
      </w:r>
    </w:p>
    <w:p>
      <w:pPr>
        <w:pStyle w:val="ListParagraph"/>
        <w:numPr>
          <w:ilvl w:val="0"/>
          <w:numId w:val="2"/>
        </w:numPr>
        <w:spacing w:after="80"/>
      </w:pPr>
      <w:r>
        <w:t xml:space="preserve">vérification d'identité du demandeur.</w:t>
      </w:r>
    </w:p>
    <w:p>
      <w:pPr>
        <w:spacing w:after="160" w:line="276"/>
      </w:pPr>
      <w:r>
        <w:rPr>
          <w:i/>
          <w:iCs/>
          <w:color w:val="595959"/>
        </w:rPr>
        <w:t xml:space="preserve">Le système GRAVIA repose sur une décision humaine finale (art. 22 RGPD) : pas de décision entièrement automatisée à effet juridique sur la personne.</w:t>
      </w:r>
    </w:p>
    <w:p>
      <w:pPr>
        <w:pStyle w:val="Heading1"/>
      </w:pPr>
      <w:r>
        <w:t xml:space="preserve">11. Gestion des violations de données</w:t>
      </w:r>
    </w:p>
    <w:p>
      <w:pPr>
        <w:spacing w:after="160" w:line="276"/>
      </w:pPr>
      <w:r>
        <w:t xml:space="preserve">Procédure en cas de violation :</w:t>
      </w:r>
    </w:p>
    <w:p>
      <w:pPr>
        <w:pStyle w:val="ListParagraph"/>
        <w:numPr>
          <w:ilvl w:val="0"/>
          <w:numId w:val="3"/>
        </w:numPr>
        <w:spacing w:after="100"/>
      </w:pPr>
      <w:r>
        <w:t xml:space="preserve">Détection (monitoring, alerte) et qualification de la gravité.</w:t>
      </w:r>
    </w:p>
    <w:p>
      <w:pPr>
        <w:pStyle w:val="ListParagraph"/>
        <w:numPr>
          <w:ilvl w:val="0"/>
          <w:numId w:val="3"/>
        </w:numPr>
        <w:spacing w:after="100"/>
      </w:pPr>
      <w:r>
        <w:t xml:space="preserve">Confinement et mesures correctives immédiates (RSSI).</w:t>
      </w:r>
    </w:p>
    <w:p>
      <w:pPr>
        <w:pStyle w:val="ListParagraph"/>
        <w:numPr>
          <w:ilvl w:val="0"/>
          <w:numId w:val="3"/>
        </w:numPr>
        <w:spacing w:after="100"/>
      </w:pPr>
      <w:r>
        <w:t xml:space="preserve">Notification CNIL sous 72 h si risque pour les droits et libertés (DPO).</w:t>
      </w:r>
    </w:p>
    <w:p>
      <w:pPr>
        <w:pStyle w:val="ListParagraph"/>
        <w:numPr>
          <w:ilvl w:val="0"/>
          <w:numId w:val="3"/>
        </w:numPr>
        <w:spacing w:after="100"/>
      </w:pPr>
      <w:r>
        <w:t xml:space="preserve">Information des personnes concernées si risque élevé.</w:t>
      </w:r>
    </w:p>
    <w:p>
      <w:pPr>
        <w:pStyle w:val="ListParagraph"/>
        <w:numPr>
          <w:ilvl w:val="0"/>
          <w:numId w:val="3"/>
        </w:numPr>
        <w:spacing w:after="100"/>
      </w:pPr>
      <w:r>
        <w:t xml:space="preserve">Journalisation dans le registre des violations et retour d'expérience.</w:t>
      </w:r>
    </w:p>
    <w:p>
      <w:pPr>
        <w:pStyle w:val="Heading1"/>
      </w:pPr>
      <w:r>
        <w:t xml:space="preserve">12. Audits et contrôles</w:t>
      </w:r>
    </w:p>
    <w:p>
      <w:pPr>
        <w:pStyle w:val="ListParagraph"/>
        <w:numPr>
          <w:ilvl w:val="0"/>
          <w:numId w:val="2"/>
        </w:numPr>
        <w:spacing w:after="80"/>
      </w:pPr>
      <w:r>
        <w:t xml:space="preserve">Audit interne annuel des pratiques de gestion des données (DPO + RSSI).</w:t>
      </w:r>
    </w:p>
    <w:p>
      <w:pPr>
        <w:pStyle w:val="ListParagraph"/>
        <w:numPr>
          <w:ilvl w:val="0"/>
          <w:numId w:val="2"/>
        </w:numPr>
        <w:spacing w:after="80"/>
      </w:pPr>
      <w:r>
        <w:t xml:space="preserve">Revue de conformité à chaque évolution majeure du traitement.</w:t>
      </w:r>
    </w:p>
    <w:p>
      <w:pPr>
        <w:pStyle w:val="ListParagraph"/>
        <w:numPr>
          <w:ilvl w:val="0"/>
          <w:numId w:val="2"/>
        </w:numPr>
        <w:spacing w:after="80"/>
      </w:pPr>
      <w:r>
        <w:t xml:space="preserve">Contrôles automatisés continus (qualité des données, dérive, sécurité).</w:t>
      </w:r>
    </w:p>
    <w:p>
      <w:pPr>
        <w:pStyle w:val="ListParagraph"/>
        <w:numPr>
          <w:ilvl w:val="0"/>
          <w:numId w:val="2"/>
        </w:numPr>
        <w:spacing w:after="80"/>
      </w:pPr>
      <w:r>
        <w:t xml:space="preserve">Plan d'action correctif suivi jusqu'à clôture.</w:t>
      </w:r>
    </w:p>
    <w:p>
      <w:pPr>
        <w:pStyle w:val="Heading1"/>
      </w:pPr>
      <w:r>
        <w:t xml:space="preserve">13. Formation, sensibilisation et accessibilité</w:t>
      </w:r>
    </w:p>
    <w:p>
      <w:pPr>
        <w:pStyle w:val="ListParagraph"/>
        <w:numPr>
          <w:ilvl w:val="0"/>
          <w:numId w:val="2"/>
        </w:numPr>
        <w:spacing w:after="80"/>
      </w:pPr>
      <w:r>
        <w:t xml:space="preserve">Sensibilisation de tous les collaborateurs aux principes RGPD et sécurité (à l'arrivée puis annuellement).</w:t>
      </w:r>
    </w:p>
    <w:p>
      <w:pPr>
        <w:pStyle w:val="ListParagraph"/>
        <w:numPr>
          <w:ilvl w:val="0"/>
          <w:numId w:val="2"/>
        </w:numPr>
        <w:spacing w:after="80"/>
      </w:pPr>
      <w:r>
        <w:t xml:space="preserve">Formation ciblée des équipes techniques (pseudonymisation, gestion des secrets, anti-leakage).</w:t>
      </w:r>
    </w:p>
    <w:p>
      <w:pPr>
        <w:pStyle w:val="ListParagraph"/>
        <w:numPr>
          <w:ilvl w:val="0"/>
          <w:numId w:val="2"/>
        </w:numPr>
        <w:spacing w:after="80"/>
      </w:pPr>
      <w:r>
        <w:t xml:space="preserve">Accessibilité (RGAA) : supports de formation et documentation fournis en formats accessibles (contrastes, structure de titres, alternatives textuelles), conditions adaptées aux personnes en situation de handicap.</w:t>
      </w:r>
    </w:p>
    <w:p>
      <w:pPr>
        <w:pStyle w:val="ListParagraph"/>
        <w:numPr>
          <w:ilvl w:val="0"/>
          <w:numId w:val="2"/>
        </w:numPr>
        <w:spacing w:after="80"/>
      </w:pPr>
      <w:r>
        <w:t xml:space="preserve">Conduite du changement : implication des opérateurs de secours en amont, communication sur le rôle d'aide (et non de remplacement) du système.</w:t>
      </w:r>
    </w:p>
    <w:p>
      <w:pPr>
        <w:pStyle w:val="Heading1"/>
      </w:pPr>
      <w:r>
        <w:t xml:space="preserve">14. Gestion des risques et plans de contingence</w:t>
      </w:r>
    </w:p>
    <w:tbl>
      <w:tblPr>
        <w:tblW w:type="dxa" w:w="9638"/>
        <w:tblBorders>
          <w:top w:val="single" w:color="D9D9D9" w:sz="4"/>
          <w:left w:val="single" w:color="D9D9D9" w:sz="4"/>
          <w:bottom w:val="single" w:color="D9D9D9" w:sz="4"/>
          <w:right w:val="single" w:color="D9D9D9" w:sz="4"/>
          <w:insideH w:val="single" w:color="D9D9D9" w:sz="2"/>
          <w:insideV w:val="single" w:color="D9D9D9" w:sz="2"/>
        </w:tblBorders>
      </w:tblPr>
      <w:tblGrid>
        <w:gridCol w:w="2400"/>
        <w:gridCol w:w="1200"/>
        <w:gridCol w:w="2800"/>
        <w:gridCol w:w="3238"/>
      </w:tblGrid>
      <w:tr>
        <w:trPr>
          <w:tblHeader/>
        </w:trPr>
        <w:tc>
          <w:tcPr>
            <w:tcW w:type="dxa" w:w="2400"/>
            <w:shd w:fill="1F2937" w:val="clear"/>
            <w:tcMar>
              <w:top w:type="dxa" w:w="80"/>
              <w:left w:type="dxa" w:w="110"/>
              <w:bottom w:type="dxa" w:w="80"/>
              <w:right w:type="dxa" w:w="110"/>
            </w:tcMar>
            <w:vAlign w:val="center"/>
          </w:tcPr>
          <w:p>
            <w:pPr>
              <w:jc w:val="left"/>
            </w:pPr>
            <w:r>
              <w:rPr>
                <w:b/>
                <w:bCs/>
                <w:color w:val="FFFFFF"/>
                <w:sz w:val="19"/>
                <w:szCs w:val="19"/>
              </w:rPr>
              <w:t xml:space="preserve">Risque</w:t>
            </w:r>
          </w:p>
        </w:tc>
        <w:tc>
          <w:tcPr>
            <w:tcW w:type="dxa" w:w="1200"/>
            <w:shd w:fill="1F2937" w:val="clear"/>
            <w:tcMar>
              <w:top w:type="dxa" w:w="80"/>
              <w:left w:type="dxa" w:w="110"/>
              <w:bottom w:type="dxa" w:w="80"/>
              <w:right w:type="dxa" w:w="110"/>
            </w:tcMar>
            <w:vAlign w:val="center"/>
          </w:tcPr>
          <w:p>
            <w:pPr>
              <w:jc w:val="left"/>
            </w:pPr>
            <w:r>
              <w:rPr>
                <w:b/>
                <w:bCs/>
                <w:color w:val="FFFFFF"/>
                <w:sz w:val="19"/>
                <w:szCs w:val="19"/>
              </w:rPr>
              <w:t xml:space="preserve">Gravité</w:t>
            </w:r>
          </w:p>
        </w:tc>
        <w:tc>
          <w:tcPr>
            <w:tcW w:type="dxa" w:w="2800"/>
            <w:shd w:fill="1F2937" w:val="clear"/>
            <w:tcMar>
              <w:top w:type="dxa" w:w="80"/>
              <w:left w:type="dxa" w:w="110"/>
              <w:bottom w:type="dxa" w:w="80"/>
              <w:right w:type="dxa" w:w="110"/>
            </w:tcMar>
            <w:vAlign w:val="center"/>
          </w:tcPr>
          <w:p>
            <w:pPr>
              <w:jc w:val="left"/>
            </w:pPr>
            <w:r>
              <w:rPr>
                <w:b/>
                <w:bCs/>
                <w:color w:val="FFFFFF"/>
                <w:sz w:val="19"/>
                <w:szCs w:val="19"/>
              </w:rPr>
              <w:t xml:space="preserve">Stratégie de gestion</w:t>
            </w:r>
          </w:p>
        </w:tc>
        <w:tc>
          <w:tcPr>
            <w:tcW w:type="dxa" w:w="3238"/>
            <w:shd w:fill="1F2937" w:val="clear"/>
            <w:tcMar>
              <w:top w:type="dxa" w:w="80"/>
              <w:left w:type="dxa" w:w="110"/>
              <w:bottom w:type="dxa" w:w="80"/>
              <w:right w:type="dxa" w:w="110"/>
            </w:tcMar>
            <w:vAlign w:val="center"/>
          </w:tcPr>
          <w:p>
            <w:pPr>
              <w:jc w:val="left"/>
            </w:pPr>
            <w:r>
              <w:rPr>
                <w:b/>
                <w:bCs/>
                <w:color w:val="FFFFFF"/>
                <w:sz w:val="19"/>
                <w:szCs w:val="19"/>
              </w:rPr>
              <w:t xml:space="preserve">Plan de contingence</w:t>
            </w:r>
          </w:p>
        </w:tc>
      </w:tr>
      <w:tr>
        <w:tc>
          <w:tcPr>
            <w:tcW w:type="dxa" w:w="2400"/>
            <w:tcMar>
              <w:top w:type="dxa" w:w="80"/>
              <w:left w:type="dxa" w:w="110"/>
              <w:bottom w:type="dxa" w:w="80"/>
              <w:right w:type="dxa" w:w="110"/>
            </w:tcMar>
            <w:vAlign w:val="center"/>
          </w:tcPr>
          <w:p>
            <w:pPr>
              <w:jc w:val="left"/>
            </w:pPr>
            <w:r>
              <w:rPr>
                <w:b w:val="false"/>
                <w:bCs w:val="false"/>
                <w:color w:val="000000"/>
                <w:sz w:val="19"/>
                <w:szCs w:val="19"/>
              </w:rPr>
              <w:t xml:space="preserve">Ré-identification d'une victime</w:t>
            </w:r>
          </w:p>
        </w:tc>
        <w:tc>
          <w:tcPr>
            <w:tcW w:type="dxa" w:w="1200"/>
            <w:tcMar>
              <w:top w:type="dxa" w:w="80"/>
              <w:left w:type="dxa" w:w="110"/>
              <w:bottom w:type="dxa" w:w="80"/>
              <w:right w:type="dxa" w:w="110"/>
            </w:tcMar>
            <w:vAlign w:val="center"/>
          </w:tcPr>
          <w:p>
            <w:pPr>
              <w:jc w:val="left"/>
            </w:pPr>
            <w:r>
              <w:rPr>
                <w:b w:val="false"/>
                <w:bCs w:val="false"/>
                <w:color w:val="000000"/>
                <w:sz w:val="19"/>
                <w:szCs w:val="19"/>
              </w:rPr>
              <w:t xml:space="preserve">Élevée</w:t>
            </w:r>
          </w:p>
        </w:tc>
        <w:tc>
          <w:tcPr>
            <w:tcW w:type="dxa" w:w="2800"/>
            <w:tcMar>
              <w:top w:type="dxa" w:w="80"/>
              <w:left w:type="dxa" w:w="110"/>
              <w:bottom w:type="dxa" w:w="80"/>
              <w:right w:type="dxa" w:w="110"/>
            </w:tcMar>
            <w:vAlign w:val="center"/>
          </w:tcPr>
          <w:p>
            <w:pPr>
              <w:jc w:val="left"/>
            </w:pPr>
            <w:r>
              <w:rPr>
                <w:b w:val="false"/>
                <w:bCs w:val="false"/>
                <w:color w:val="000000"/>
                <w:sz w:val="19"/>
                <w:szCs w:val="19"/>
              </w:rPr>
              <w:t xml:space="preserve">Pseudonymisation, agrégation géo</w:t>
            </w:r>
          </w:p>
        </w:tc>
        <w:tc>
          <w:tcPr>
            <w:tcW w:type="dxa" w:w="3238"/>
            <w:tcMar>
              <w:top w:type="dxa" w:w="80"/>
              <w:left w:type="dxa" w:w="110"/>
              <w:bottom w:type="dxa" w:w="80"/>
              <w:right w:type="dxa" w:w="110"/>
            </w:tcMar>
            <w:vAlign w:val="center"/>
          </w:tcPr>
          <w:p>
            <w:pPr>
              <w:jc w:val="left"/>
            </w:pPr>
            <w:r>
              <w:rPr>
                <w:b w:val="false"/>
                <w:bCs w:val="false"/>
                <w:color w:val="000000"/>
                <w:sz w:val="19"/>
                <w:szCs w:val="19"/>
              </w:rPr>
              <w:t xml:space="preserve">Notification, retrait des données concernées</w:t>
            </w:r>
          </w:p>
        </w:tc>
      </w:tr>
      <w:tr>
        <w:tc>
          <w:tcPr>
            <w:tcW w:type="dxa" w:w="24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Violation de données (fuite)</w:t>
            </w:r>
          </w:p>
        </w:tc>
        <w:tc>
          <w:tcPr>
            <w:tcW w:type="dxa" w:w="12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Élevée</w:t>
            </w:r>
          </w:p>
        </w:tc>
        <w:tc>
          <w:tcPr>
            <w:tcW w:type="dxa" w:w="28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Chiffrement, accès restreint</w:t>
            </w:r>
          </w:p>
        </w:tc>
        <w:tc>
          <w:tcPr>
            <w:tcW w:type="dxa" w:w="32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Procédure §11, notification CNIL</w:t>
            </w:r>
          </w:p>
        </w:tc>
      </w:tr>
      <w:tr>
        <w:tc>
          <w:tcPr>
            <w:tcW w:type="dxa" w:w="2400"/>
            <w:tcMar>
              <w:top w:type="dxa" w:w="80"/>
              <w:left w:type="dxa" w:w="110"/>
              <w:bottom w:type="dxa" w:w="80"/>
              <w:right w:type="dxa" w:w="110"/>
            </w:tcMar>
            <w:vAlign w:val="center"/>
          </w:tcPr>
          <w:p>
            <w:pPr>
              <w:jc w:val="left"/>
            </w:pPr>
            <w:r>
              <w:rPr>
                <w:b w:val="false"/>
                <w:bCs w:val="false"/>
                <w:color w:val="000000"/>
                <w:sz w:val="19"/>
                <w:szCs w:val="19"/>
              </w:rPr>
              <w:t xml:space="preserve">Biais discriminatoire du modèle</w:t>
            </w:r>
          </w:p>
        </w:tc>
        <w:tc>
          <w:tcPr>
            <w:tcW w:type="dxa" w:w="1200"/>
            <w:tcMar>
              <w:top w:type="dxa" w:w="80"/>
              <w:left w:type="dxa" w:w="110"/>
              <w:bottom w:type="dxa" w:w="80"/>
              <w:right w:type="dxa" w:w="110"/>
            </w:tcMar>
            <w:vAlign w:val="center"/>
          </w:tcPr>
          <w:p>
            <w:pPr>
              <w:jc w:val="left"/>
            </w:pPr>
            <w:r>
              <w:rPr>
                <w:b w:val="false"/>
                <w:bCs w:val="false"/>
                <w:color w:val="000000"/>
                <w:sz w:val="19"/>
                <w:szCs w:val="19"/>
              </w:rPr>
              <w:t xml:space="preserve">Élevée</w:t>
            </w:r>
          </w:p>
        </w:tc>
        <w:tc>
          <w:tcPr>
            <w:tcW w:type="dxa" w:w="2800"/>
            <w:tcMar>
              <w:top w:type="dxa" w:w="80"/>
              <w:left w:type="dxa" w:w="110"/>
              <w:bottom w:type="dxa" w:w="80"/>
              <w:right w:type="dxa" w:w="110"/>
            </w:tcMar>
            <w:vAlign w:val="center"/>
          </w:tcPr>
          <w:p>
            <w:pPr>
              <w:jc w:val="left"/>
            </w:pPr>
            <w:r>
              <w:rPr>
                <w:b w:val="false"/>
                <w:bCs w:val="false"/>
                <w:color w:val="000000"/>
                <w:sz w:val="19"/>
                <w:szCs w:val="19"/>
              </w:rPr>
              <w:t xml:space="preserve">Tests d'équité, atténuation, human-in-the-loop</w:t>
            </w:r>
          </w:p>
        </w:tc>
        <w:tc>
          <w:tcPr>
            <w:tcW w:type="dxa" w:w="3238"/>
            <w:tcMar>
              <w:top w:type="dxa" w:w="80"/>
              <w:left w:type="dxa" w:w="110"/>
              <w:bottom w:type="dxa" w:w="80"/>
              <w:right w:type="dxa" w:w="110"/>
            </w:tcMar>
            <w:vAlign w:val="center"/>
          </w:tcPr>
          <w:p>
            <w:pPr>
              <w:jc w:val="left"/>
            </w:pPr>
            <w:r>
              <w:rPr>
                <w:b w:val="false"/>
                <w:bCs w:val="false"/>
                <w:color w:val="000000"/>
                <w:sz w:val="19"/>
                <w:szCs w:val="19"/>
              </w:rPr>
              <w:t xml:space="preserve">Suspension du scoring, réentraînement</w:t>
            </w:r>
          </w:p>
        </w:tc>
      </w:tr>
      <w:tr>
        <w:tc>
          <w:tcPr>
            <w:tcW w:type="dxa" w:w="24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Dérive des données</w:t>
            </w:r>
          </w:p>
        </w:tc>
        <w:tc>
          <w:tcPr>
            <w:tcW w:type="dxa" w:w="12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Moyenne</w:t>
            </w:r>
          </w:p>
        </w:tc>
        <w:tc>
          <w:tcPr>
            <w:tcW w:type="dxa" w:w="28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Monitoring Evidently (lancé à la main)</w:t>
            </w:r>
          </w:p>
        </w:tc>
        <w:tc>
          <w:tcPr>
            <w:tcW w:type="dxa" w:w="32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Réentraînement manuel/calendaire (trimestriel)</w:t>
            </w:r>
          </w:p>
        </w:tc>
      </w:tr>
      <w:tr>
        <w:tc>
          <w:tcPr>
            <w:tcW w:type="dxa" w:w="2400"/>
            <w:tcMar>
              <w:top w:type="dxa" w:w="80"/>
              <w:left w:type="dxa" w:w="110"/>
              <w:bottom w:type="dxa" w:w="80"/>
              <w:right w:type="dxa" w:w="110"/>
            </w:tcMar>
            <w:vAlign w:val="center"/>
          </w:tcPr>
          <w:p>
            <w:pPr>
              <w:jc w:val="left"/>
            </w:pPr>
            <w:r>
              <w:rPr>
                <w:b w:val="false"/>
                <w:bCs w:val="false"/>
                <w:color w:val="000000"/>
                <w:sz w:val="19"/>
                <w:szCs w:val="19"/>
              </w:rPr>
              <w:t xml:space="preserve">Indisponibilité de l'API</w:t>
            </w:r>
          </w:p>
        </w:tc>
        <w:tc>
          <w:tcPr>
            <w:tcW w:type="dxa" w:w="1200"/>
            <w:tcMar>
              <w:top w:type="dxa" w:w="80"/>
              <w:left w:type="dxa" w:w="110"/>
              <w:bottom w:type="dxa" w:w="80"/>
              <w:right w:type="dxa" w:w="110"/>
            </w:tcMar>
            <w:vAlign w:val="center"/>
          </w:tcPr>
          <w:p>
            <w:pPr>
              <w:jc w:val="left"/>
            </w:pPr>
            <w:r>
              <w:rPr>
                <w:b w:val="false"/>
                <w:bCs w:val="false"/>
                <w:color w:val="000000"/>
                <w:sz w:val="19"/>
                <w:szCs w:val="19"/>
              </w:rPr>
              <w:t xml:space="preserve">Moyenne</w:t>
            </w:r>
          </w:p>
        </w:tc>
        <w:tc>
          <w:tcPr>
            <w:tcW w:type="dxa" w:w="2800"/>
            <w:tcMar>
              <w:top w:type="dxa" w:w="80"/>
              <w:left w:type="dxa" w:w="110"/>
              <w:bottom w:type="dxa" w:w="80"/>
              <w:right w:type="dxa" w:w="110"/>
            </w:tcMar>
            <w:vAlign w:val="center"/>
          </w:tcPr>
          <w:p>
            <w:pPr>
              <w:jc w:val="left"/>
            </w:pPr>
            <w:r>
              <w:rPr>
                <w:b w:val="false"/>
                <w:bCs w:val="false"/>
                <w:color w:val="000000"/>
                <w:sz w:val="19"/>
                <w:szCs w:val="19"/>
              </w:rPr>
              <w:t xml:space="preserve">Redondance, supervision</w:t>
            </w:r>
          </w:p>
        </w:tc>
        <w:tc>
          <w:tcPr>
            <w:tcW w:type="dxa" w:w="3238"/>
            <w:tcMar>
              <w:top w:type="dxa" w:w="80"/>
              <w:left w:type="dxa" w:w="110"/>
              <w:bottom w:type="dxa" w:w="80"/>
              <w:right w:type="dxa" w:w="110"/>
            </w:tcMar>
            <w:vAlign w:val="center"/>
          </w:tcPr>
          <w:p>
            <w:pPr>
              <w:jc w:val="left"/>
            </w:pPr>
            <w:r>
              <w:rPr>
                <w:b w:val="false"/>
                <w:bCs w:val="false"/>
                <w:color w:val="000000"/>
                <w:sz w:val="19"/>
                <w:szCs w:val="19"/>
              </w:rPr>
              <w:t xml:space="preserve">Bascule mode dégradé (décision humaine seule)</w:t>
            </w:r>
          </w:p>
        </w:tc>
      </w:tr>
      <w:tr>
        <w:tc>
          <w:tcPr>
            <w:tcW w:type="dxa" w:w="24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Erreur humaine de manipulation</w:t>
            </w:r>
          </w:p>
        </w:tc>
        <w:tc>
          <w:tcPr>
            <w:tcW w:type="dxa" w:w="12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Moyenne</w:t>
            </w:r>
          </w:p>
        </w:tc>
        <w:tc>
          <w:tcPr>
            <w:tcW w:type="dxa" w:w="28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Formation, moindre privilège</w:t>
            </w:r>
          </w:p>
        </w:tc>
        <w:tc>
          <w:tcPr>
            <w:tcW w:type="dxa" w:w="32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Restauration depuis sauvegarde</w:t>
            </w:r>
          </w:p>
        </w:tc>
      </w:tr>
    </w:tbl>
    <w:p>
      <w:pPr>
        <w:pStyle w:val="Heading1"/>
      </w:pPr>
      <w:r>
        <w:t xml:space="preserve">15. Amélioration continue</w:t>
      </w:r>
    </w:p>
    <w:p>
      <w:pPr>
        <w:pStyle w:val="ListParagraph"/>
        <w:numPr>
          <w:ilvl w:val="0"/>
          <w:numId w:val="2"/>
        </w:numPr>
        <w:spacing w:after="80"/>
      </w:pPr>
      <w:r>
        <w:t xml:space="preserve">Révision annuelle de la politique et après toute évolution réglementaire (RGPD, AI Act).</w:t>
      </w:r>
    </w:p>
    <w:p>
      <w:pPr>
        <w:pStyle w:val="ListParagraph"/>
        <w:numPr>
          <w:ilvl w:val="0"/>
          <w:numId w:val="2"/>
        </w:numPr>
        <w:spacing w:after="80"/>
      </w:pPr>
      <w:r>
        <w:t xml:space="preserve">Veille réglementaire portée par le DPO.</w:t>
      </w:r>
    </w:p>
    <w:p>
      <w:pPr>
        <w:pStyle w:val="ListParagraph"/>
        <w:numPr>
          <w:ilvl w:val="0"/>
          <w:numId w:val="2"/>
        </w:numPr>
        <w:spacing w:after="80"/>
      </w:pPr>
      <w:r>
        <w:t xml:space="preserve">Indicateurs de gouvernance suivis (taux de conformité qualité, délais de réponse aux demandes, incidents).</w:t>
      </w:r>
    </w:p>
    <w:p>
      <w:pPr>
        <w:pStyle w:val="Heading1"/>
      </w:pPr>
      <w:r>
        <w:t xml:space="preserve">16. Références</w:t>
      </w:r>
    </w:p>
    <w:p>
      <w:pPr>
        <w:pStyle w:val="ListParagraph"/>
        <w:numPr>
          <w:ilvl w:val="0"/>
          <w:numId w:val="2"/>
        </w:numPr>
        <w:spacing w:after="80"/>
      </w:pPr>
      <w:r>
        <w:t xml:space="preserve">Cahier des charges GRAVIA · Architecture GRAVIA · AIPD GRAVIA</w:t>
      </w:r>
    </w:p>
    <w:p>
      <w:pPr>
        <w:pStyle w:val="ListParagraph"/>
        <w:numPr>
          <w:ilvl w:val="0"/>
          <w:numId w:val="2"/>
        </w:numPr>
        <w:spacing w:after="80"/>
      </w:pPr>
      <w:r>
        <w:t xml:space="preserve">RGPD, Règlement (UE) 2016/679 (art. 6, 9, 22, 33, 34, 35)</w:t>
      </w:r>
    </w:p>
    <w:p>
      <w:pPr>
        <w:pStyle w:val="ListParagraph"/>
        <w:numPr>
          <w:ilvl w:val="0"/>
          <w:numId w:val="2"/>
        </w:numPr>
        <w:spacing w:after="80"/>
      </w:pPr>
      <w:r>
        <w:t xml:space="preserve">Loi n° 78-17 Informatique et Libertés</w:t>
      </w:r>
    </w:p>
    <w:p>
      <w:pPr>
        <w:pStyle w:val="ListParagraph"/>
        <w:numPr>
          <w:ilvl w:val="0"/>
          <w:numId w:val="2"/>
        </w:numPr>
        <w:spacing w:after="80"/>
      </w:pPr>
      <w:r>
        <w:t xml:space="preserve">ISO/IEC 27001 · Recommandations ANSSI · RGAA</w:t>
      </w:r>
    </w:p>
    <w:p>
      <w:pPr>
        <w:pStyle w:val="ListParagraph"/>
        <w:numPr>
          <w:ilvl w:val="0"/>
          <w:numId w:val="2"/>
        </w:numPr>
        <w:spacing w:after="80"/>
      </w:pPr>
      <w:r>
        <w:t xml:space="preserve">Méthodologie AIPD (CNIL)</w:t>
      </w:r>
    </w:p>
    <w:p>
      <w:r>
        <w:br w:type="page"/>
      </w:r>
    </w:p>
    <w:p>
      <w:pPr>
        <w:pStyle w:val="Heading1"/>
      </w:pPr>
      <w:r>
        <w:t xml:space="preserve">Annexe — Correspondance avec le référentiel (Bloc 1)</w:t>
      </w:r>
    </w:p>
    <w:tbl>
      <w:tblPr>
        <w:tblW w:type="dxa" w:w="9638"/>
        <w:tblBorders>
          <w:top w:val="single" w:color="D9D9D9" w:sz="4"/>
          <w:left w:val="single" w:color="D9D9D9" w:sz="4"/>
          <w:bottom w:val="single" w:color="D9D9D9" w:sz="4"/>
          <w:right w:val="single" w:color="D9D9D9" w:sz="4"/>
          <w:insideH w:val="single" w:color="D9D9D9" w:sz="2"/>
          <w:insideV w:val="single" w:color="D9D9D9" w:sz="2"/>
        </w:tblBorders>
      </w:tblPr>
      <w:tblGrid>
        <w:gridCol w:w="4200"/>
        <w:gridCol w:w="5438"/>
      </w:tblGrid>
      <w:tr>
        <w:trPr>
          <w:tblHeader/>
        </w:trPr>
        <w:tc>
          <w:tcPr>
            <w:tcW w:type="dxa" w:w="4200"/>
            <w:shd w:fill="1F2937" w:val="clear"/>
            <w:tcMar>
              <w:top w:type="dxa" w:w="80"/>
              <w:left w:type="dxa" w:w="110"/>
              <w:bottom w:type="dxa" w:w="80"/>
              <w:right w:type="dxa" w:w="110"/>
            </w:tcMar>
            <w:vAlign w:val="center"/>
          </w:tcPr>
          <w:p>
            <w:pPr>
              <w:jc w:val="left"/>
            </w:pPr>
            <w:r>
              <w:rPr>
                <w:b/>
                <w:bCs/>
                <w:color w:val="FFFFFF"/>
                <w:sz w:val="19"/>
                <w:szCs w:val="19"/>
              </w:rPr>
              <w:t xml:space="preserve">Compétence</w:t>
            </w:r>
          </w:p>
        </w:tc>
        <w:tc>
          <w:tcPr>
            <w:tcW w:type="dxa" w:w="5438"/>
            <w:shd w:fill="1F2937" w:val="clear"/>
            <w:tcMar>
              <w:top w:type="dxa" w:w="80"/>
              <w:left w:type="dxa" w:w="110"/>
              <w:bottom w:type="dxa" w:w="80"/>
              <w:right w:type="dxa" w:w="110"/>
            </w:tcMar>
            <w:vAlign w:val="center"/>
          </w:tcPr>
          <w:p>
            <w:pPr>
              <w:jc w:val="left"/>
            </w:pPr>
            <w:r>
              <w:rPr>
                <w:b/>
                <w:bCs/>
                <w:color w:val="FFFFFF"/>
                <w:sz w:val="19"/>
                <w:szCs w:val="19"/>
              </w:rPr>
              <w:t xml:space="preserve">Couverture dans ce document</w:t>
            </w:r>
          </w:p>
        </w:tc>
      </w:tr>
      <w:tr>
        <w:tc>
          <w:tcPr>
            <w:tcW w:type="dxa" w:w="4200"/>
            <w:tcMar>
              <w:top w:type="dxa" w:w="80"/>
              <w:left w:type="dxa" w:w="110"/>
              <w:bottom w:type="dxa" w:w="80"/>
              <w:right w:type="dxa" w:w="110"/>
            </w:tcMar>
            <w:vAlign w:val="center"/>
          </w:tcPr>
          <w:p>
            <w:pPr>
              <w:jc w:val="left"/>
            </w:pPr>
            <w:r>
              <w:rPr>
                <w:b w:val="false"/>
                <w:bCs w:val="false"/>
                <w:color w:val="000000"/>
                <w:sz w:val="19"/>
                <w:szCs w:val="19"/>
              </w:rPr>
              <w:t xml:space="preserve">C1.1 — Concevoir une politique de Data Gouvernance avec les parties prenantes</w:t>
            </w:r>
          </w:p>
        </w:tc>
        <w:tc>
          <w:tcPr>
            <w:tcW w:type="dxa" w:w="5438"/>
            <w:tcMar>
              <w:top w:type="dxa" w:w="80"/>
              <w:left w:type="dxa" w:w="110"/>
              <w:bottom w:type="dxa" w:w="80"/>
              <w:right w:type="dxa" w:w="110"/>
            </w:tcMar>
            <w:vAlign w:val="center"/>
          </w:tcPr>
          <w:p>
            <w:pPr>
              <w:jc w:val="left"/>
            </w:pPr>
            <w:r>
              <w:rPr>
                <w:b w:val="false"/>
                <w:bCs w:val="false"/>
                <w:color w:val="000000"/>
                <w:sz w:val="19"/>
                <w:szCs w:val="19"/>
              </w:rPr>
              <w:t xml:space="preserve">Ce document dans son ensemble ; parties prenantes impliquées §5</w:t>
            </w:r>
          </w:p>
        </w:tc>
      </w:tr>
      <w:tr>
        <w:tc>
          <w:tcPr>
            <w:tcW w:type="dxa" w:w="42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C1.2 — Collaborer avec les parties prenantes pour intégrer la politique</w:t>
            </w:r>
          </w:p>
        </w:tc>
        <w:tc>
          <w:tcPr>
            <w:tcW w:type="dxa" w:w="54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§5 (rôles, matrice RACI)</w:t>
            </w:r>
          </w:p>
        </w:tc>
      </w:tr>
      <w:tr>
        <w:tc>
          <w:tcPr>
            <w:tcW w:type="dxa" w:w="4200"/>
            <w:tcMar>
              <w:top w:type="dxa" w:w="80"/>
              <w:left w:type="dxa" w:w="110"/>
              <w:bottom w:type="dxa" w:w="80"/>
              <w:right w:type="dxa" w:w="110"/>
            </w:tcMar>
            <w:vAlign w:val="center"/>
          </w:tcPr>
          <w:p>
            <w:pPr>
              <w:jc w:val="left"/>
            </w:pPr>
            <w:r>
              <w:rPr>
                <w:b w:val="false"/>
                <w:bCs w:val="false"/>
                <w:color w:val="000000"/>
                <w:sz w:val="19"/>
                <w:szCs w:val="19"/>
              </w:rPr>
              <w:t xml:space="preserve">C1.3 — Former et sensibiliser les collaborateurs, y compris en situation de handicap</w:t>
            </w:r>
          </w:p>
        </w:tc>
        <w:tc>
          <w:tcPr>
            <w:tcW w:type="dxa" w:w="5438"/>
            <w:tcMar>
              <w:top w:type="dxa" w:w="80"/>
              <w:left w:type="dxa" w:w="110"/>
              <w:bottom w:type="dxa" w:w="80"/>
              <w:right w:type="dxa" w:w="110"/>
            </w:tcMar>
            <w:vAlign w:val="center"/>
          </w:tcPr>
          <w:p>
            <w:pPr>
              <w:jc w:val="left"/>
            </w:pPr>
            <w:r>
              <w:rPr>
                <w:b w:val="false"/>
                <w:bCs w:val="false"/>
                <w:color w:val="000000"/>
                <w:sz w:val="19"/>
                <w:szCs w:val="19"/>
              </w:rPr>
              <w:t xml:space="preserve">§13</w:t>
            </w:r>
          </w:p>
        </w:tc>
      </w:tr>
      <w:tr>
        <w:tc>
          <w:tcPr>
            <w:tcW w:type="dxa" w:w="4200"/>
            <w:shd w:fill="F3F4F6" w:val="clear"/>
            <w:tcMar>
              <w:top w:type="dxa" w:w="80"/>
              <w:left w:type="dxa" w:w="110"/>
              <w:bottom w:type="dxa" w:w="80"/>
              <w:right w:type="dxa" w:w="110"/>
            </w:tcMar>
            <w:vAlign w:val="center"/>
          </w:tcPr>
          <w:p>
            <w:pPr>
              <w:jc w:val="left"/>
            </w:pPr>
            <w:r>
              <w:rPr>
                <w:b w:val="false"/>
                <w:bCs w:val="false"/>
                <w:color w:val="000000"/>
                <w:sz w:val="19"/>
                <w:szCs w:val="19"/>
              </w:rPr>
              <w:t xml:space="preserve">C1.4 — Réaliser des audits réguliers de conformité</w:t>
            </w:r>
          </w:p>
        </w:tc>
        <w:tc>
          <w:tcPr>
            <w:tcW w:type="dxa" w:w="5438"/>
            <w:shd w:fill="F3F4F6" w:val="clear"/>
            <w:tcMar>
              <w:top w:type="dxa" w:w="80"/>
              <w:left w:type="dxa" w:w="110"/>
              <w:bottom w:type="dxa" w:w="80"/>
              <w:right w:type="dxa" w:w="110"/>
            </w:tcMar>
            <w:vAlign w:val="center"/>
          </w:tcPr>
          <w:p>
            <w:pPr>
              <w:jc w:val="left"/>
            </w:pPr>
            <w:r>
              <w:rPr>
                <w:b w:val="false"/>
                <w:bCs w:val="false"/>
                <w:color w:val="000000"/>
                <w:sz w:val="19"/>
                <w:szCs w:val="19"/>
              </w:rPr>
              <w:t xml:space="preserve">§12</w:t>
            </w:r>
          </w:p>
        </w:tc>
      </w:tr>
      <w:tr>
        <w:tc>
          <w:tcPr>
            <w:tcW w:type="dxa" w:w="4200"/>
            <w:tcMar>
              <w:top w:type="dxa" w:w="80"/>
              <w:left w:type="dxa" w:w="110"/>
              <w:bottom w:type="dxa" w:w="80"/>
              <w:right w:type="dxa" w:w="110"/>
            </w:tcMar>
            <w:vAlign w:val="center"/>
          </w:tcPr>
          <w:p>
            <w:pPr>
              <w:jc w:val="left"/>
            </w:pPr>
            <w:r>
              <w:rPr>
                <w:b w:val="false"/>
                <w:bCs w:val="false"/>
                <w:color w:val="000000"/>
                <w:sz w:val="19"/>
                <w:szCs w:val="19"/>
              </w:rPr>
              <w:t xml:space="preserve">C1.5 — Évaluer les risques (qualité, sécurité)</w:t>
            </w:r>
          </w:p>
        </w:tc>
        <w:tc>
          <w:tcPr>
            <w:tcW w:type="dxa" w:w="5438"/>
            <w:tcMar>
              <w:top w:type="dxa" w:w="80"/>
              <w:left w:type="dxa" w:w="110"/>
              <w:bottom w:type="dxa" w:w="80"/>
              <w:right w:type="dxa" w:w="110"/>
            </w:tcMar>
            <w:vAlign w:val="center"/>
          </w:tcPr>
          <w:p>
            <w:pPr>
              <w:jc w:val="left"/>
            </w:pPr>
            <w:r>
              <w:rPr>
                <w:b w:val="false"/>
                <w:bCs w:val="false"/>
                <w:color w:val="000000"/>
                <w:sz w:val="19"/>
                <w:szCs w:val="19"/>
              </w:rPr>
              <w:t xml:space="preserve">§14 ; risques spécifiques aux données de santé et à l'IA détaillés dans l'AIPD §4</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VigiRoute — Confidentiel — Page </w:t>
    </w:r>
    <w:r>
      <w:rPr>
        <w:color w:val="595959"/>
        <w:sz w:val="16"/>
        <w:szCs w:val="16"/>
      </w:rPr>
      <w:fldChar w:fldCharType="begin"/>
      <w:instrText xml:space="preserve">PAGE</w:instrText>
      <w:fldChar w:fldCharType="separate"/>
      <w:fldChar w:fldCharType="end"/>
    </w:r>
    <w:r>
      <w:rPr>
        <w:color w:val="595959"/>
        <w:sz w:val="16"/>
        <w:szCs w:val="16"/>
      </w:rPr>
      <w:t xml:space="preserve"> /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GRAVIA — Plan de gouvernance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66534" w:sz="6" w:space="4"/>
      </w:pBdr>
      <w:spacing w:after="160" w:before="360"/>
    </w:pPr>
    <w:rPr>
      <w:b/>
      <w:bCs/>
      <w:color w:val="111827"/>
      <w:sz w:val="30"/>
      <w:szCs w:val="30"/>
    </w:rPr>
  </w:style>
  <w:style w:type="paragraph" w:styleId="Heading2">
    <w:name w:val="Heading 2"/>
    <w:basedOn w:val="Normal"/>
    <w:next w:val="Normal"/>
    <w:qFormat/>
    <w:pPr>
      <w:spacing w:after="120" w:before="240"/>
    </w:pPr>
    <w:rPr>
      <w:b/>
      <w:bCs/>
      <w:color w:val="1F293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2026-09-23T07:25:48.547Z</dcterms:created>
  <dcterms:modified xsi:type="dcterms:W3CDTF">2026-09-23T07:25:48.548Z</dcterms:modified>
</cp:coreProperties>
</file>

<file path=docProps/custom.xml><?xml version="1.0" encoding="utf-8"?>
<Properties xmlns="http://schemas.openxmlformats.org/officeDocument/2006/custom-properties" xmlns:vt="http://schemas.openxmlformats.org/officeDocument/2006/docPropsVTypes"/>
</file>