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areas_internas</w:t>
      </w:r>
    </w:p>
    <w:p>
      <w:pPr>
        <w:spacing w:after="120"/>
      </w:pPr>
      <w:r>
        <w:rPr>
          <w:color w:val="666666"/>
        </w:rPr>
        <w:t xml:space="preserve">Origem: data/areas_internas.js · 34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Estar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Quedas, tombamento, choques, vidros.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Jantar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Queimaduras, cortes.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e Copa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Queimaduras, cortes, gás, intoxicação.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Despensa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Intoxicação, asfixia, pragas.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de Serviço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Afogamento, intoxicação,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do Bebê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Sufocamento,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Criança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Quedas, tombamento.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Adolescente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Elétricos, bagunça.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Adulto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Medicamentos, armas, curiosidade infantil.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Idoso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Quedas, afogamento, choque.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fatais.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Garagem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Atropelamento, CO, Inflamáveis.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Central de Gás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Explosão, vazamento.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Armários Gerais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objetos, acesso indevido.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Varanda / Sacada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altura.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Acessibilidade (PCD)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ARE-0259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areasInternas › riscos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Barreiras, quedas, falta de autonomia.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2026-09-25T22:55:56.769Z</dcterms:created>
  <dcterms:modified xsi:type="dcterms:W3CDTF">2026-09-25T22:55:56.769Z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