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produtos_categorias</w:t>
      </w:r>
    </w:p>
    <w:p>
      <w:pPr>
        <w:spacing w:after="120"/>
      </w:pPr>
      <w:r>
        <w:rPr>
          <w:color w:val="666666"/>
        </w:rPr>
        <w:t xml:space="preserve">Origem: data/produtos_categorias.js · 12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PRO-2490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PRODUTOS_CATEGORIAS_DATA › limpeza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Limpeza Doméstica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PRO-2491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PRODUTOS_CATEGORIAS_DATA › limpeza › subtitulo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Químicos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PRO-2492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PRODUTOS_CATEGORIAS_DATA › limpeza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armazenamento incorreto (embaixo da pia) é a causa nº 1 de intoxicação infantil.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PRO-2493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PRODUTOS_CATEGORIAS_DATA › jardim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Jardinagem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PRO-2494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PRODUTOS_CATEGORIAS_DATA › jardim › subtitulo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Pesticidas e Adubos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PRO-2495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PRODUTOS_CATEGORIAS_DATA › jardim › importancia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ingestão acidental pode causar falência de órgãos.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PRO-2496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PRODUTOS_CATEGORIAS_DATA › manutencao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Manutenção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PRO-2497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PRODUTOS_CATEGORIAS_DATA › manutencao › subtitulo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Tintas e Solventes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PRO-2498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PRODUTOS_CATEGORIAS_DATA › manutencao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duplo: Intoxicação por inalação e Incêndio.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PRO-2499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PRODUTOS_CATEGORIAS_DATA › remedios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PRODUTOS_CATEGORIAS_DATA › remedios › subtitulo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Farmácia Caseira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PRODUTOS_CATEGORIAS_DATA › remedios › importancia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Intoxicação medicamentosa é comum em crianças (curiosas) e idosos (confusão).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2026-09-26T03:21:54.635Z</dcterms:created>
  <dcterms:modified xsi:type="dcterms:W3CDTF">2026-09-26T03:21:54.635Z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