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P"/>
      </w:pPr>
      <w:r>
        <w:t xml:space="preserve">GAF — Implementation Phases</w:t>
      </w:r>
    </w:p>
    <w:p>
      <w:pPr>
        <w:pStyle w:val="Sub"/>
      </w:pPr>
      <w:r>
        <w:t xml:space="preserve">Green Art Factory · Corporate Website &amp; Backend Admin Dashboard</w:t>
      </w:r>
    </w:p>
    <w:p>
      <w:pPr>
        <w:pStyle w:val="Meta"/>
      </w:pPr>
      <w:r>
        <w:t xml:space="preserve">Laravel 13.15 · Filament 5.6 · Spatie Media Library 11 · Cloudinary · MySQL</w:t>
      </w:r>
    </w:p>
    <w:p>
      <w:pPr>
        <w:pStyle w:val="Meta"/>
      </w:pPr>
      <w:r>
        <w:t xml:space="preserve">Working document — supersedes the stack described in the BRD annexes. Generated from the api branch, the BRD, and the Figma design audit.</w:t>
      </w:r>
    </w:p>
    <w:p>
      <w:pPr>
        <w:pStyle w:val="H1"/>
      </w:pPr>
      <w:r>
        <w:t xml:space="preserve">Status at a glance</w:t>
      </w:r>
    </w:p>
    <w:tbl>
      <w:tblPr>
        <w:tblW w:w="9360" w:type="dxa"/>
        <w:tblBorders>
          <w:top w:val="single" w:sz="4" w:space="0" w:color="D6DCD3"/>
          <w:left w:val="single" w:sz="4" w:space="0" w:color="D6DCD3"/>
          <w:bottom w:val="single" w:sz="4" w:space="0" w:color="D6DCD3"/>
          <w:right w:val="single" w:sz="4" w:space="0" w:color="D6DCD3"/>
          <w:insideH w:val="single" w:sz="4" w:space="0" w:color="D6DCD3"/>
          <w:insideV w:val="single" w:sz="4" w:space="0" w:color="D6DCD3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500"/>
        <w:gridCol w:w="6000"/>
        <w:gridCol w:w="1860"/>
      </w:tblGrid>
      <w:tr>
        <w:trPr>
          <w:tblHeader/>
        </w:trPr>
        <w:tc>
          <w:tcPr>
            <w:tcW w:w="1500" w:type="dxa"/>
            <w:shd w:val="clear" w:fill="EFF2ED"/>
          </w:tcPr>
          <w:p>
            <w:pPr>
              <w:pStyle w:val="TblHead"/>
            </w:pPr>
            <w:r>
              <w:t xml:space="preserve">Phase</w:t>
            </w:r>
          </w:p>
        </w:tc>
        <w:tc>
          <w:tcPr>
            <w:tcW w:w="6000" w:type="dxa"/>
            <w:shd w:val="clear" w:fill="EFF2ED"/>
          </w:tcPr>
          <w:p>
            <w:pPr>
              <w:pStyle w:val="TblHead"/>
            </w:pPr>
            <w:r>
              <w:t xml:space="preserve">Scope</w:t>
            </w:r>
          </w:p>
        </w:tc>
        <w:tc>
          <w:tcPr>
            <w:tcW w:w="1860" w:type="dxa"/>
            <w:shd w:val="clear" w:fill="EFF2ED"/>
          </w:tcPr>
          <w:p>
            <w:pPr>
              <w:pStyle w:val="TblHead"/>
            </w:pPr>
            <w:r>
              <w:t xml:space="preserve">Status</w:t>
            </w:r>
          </w:p>
        </w:tc>
      </w:tr>
      <w:tr>
        <w:tc>
          <w:tcPr>
            <w:tcW w:w="1500" w:type="dxa"/>
          </w:tcPr>
          <w:p>
            <w:pPr>
              <w:pStyle w:val="TblCell"/>
            </w:pPr>
            <w:r>
              <w:t xml:space="preserve">Phase 1</w:t>
            </w:r>
          </w:p>
        </w:tc>
        <w:tc>
          <w:tcPr>
            <w:tcW w:w="6000" w:type="dxa"/>
          </w:tcPr>
          <w:p>
            <w:pPr>
              <w:pStyle w:val="TblCell"/>
            </w:pPr>
            <w:r>
              <w:t xml:space="preserve">Rewrite CLAUDE.md against the real codebase</w:t>
            </w:r>
          </w:p>
        </w:tc>
        <w:tc>
          <w:tcPr>
            <w:tcW w:w="1860" w:type="dxa"/>
          </w:tcPr>
          <w:p>
            <w:pPr>
              <w:pStyle w:val="TblCell"/>
            </w:pPr>
            <w:r>
              <w:t xml:space="preserve">Complete</w:t>
            </w:r>
          </w:p>
        </w:tc>
      </w:tr>
      <w:tr>
        <w:tc>
          <w:tcPr>
            <w:tcW w:w="1500" w:type="dxa"/>
          </w:tcPr>
          <w:p>
            <w:pPr>
              <w:pStyle w:val="TblCell"/>
            </w:pPr>
            <w:r>
              <w:t xml:space="preserve">Phase 0</w:t>
            </w:r>
          </w:p>
        </w:tc>
        <w:tc>
          <w:tcPr>
            <w:tcW w:w="6000" w:type="dxa"/>
          </w:tcPr>
          <w:p>
            <w:pPr>
              <w:pStyle w:val="TblCell"/>
            </w:pPr>
            <w:r>
              <w:t xml:space="preserve">Figma MCP access + design audit</w:t>
            </w:r>
          </w:p>
        </w:tc>
        <w:tc>
          <w:tcPr>
            <w:tcW w:w="1860" w:type="dxa"/>
          </w:tcPr>
          <w:p>
            <w:pPr>
              <w:pStyle w:val="TblCell"/>
            </w:pPr>
            <w:r>
              <w:t xml:space="preserve">Complete</w:t>
            </w:r>
          </w:p>
        </w:tc>
      </w:tr>
      <w:tr>
        <w:tc>
          <w:tcPr>
            <w:tcW w:w="1500" w:type="dxa"/>
          </w:tcPr>
          <w:p>
            <w:pPr>
              <w:pStyle w:val="TblCell"/>
            </w:pPr>
            <w:r>
              <w:t xml:space="preserve">Phase 2</w:t>
            </w:r>
          </w:p>
        </w:tc>
        <w:tc>
          <w:tcPr>
            <w:tcW w:w="6000" w:type="dxa"/>
          </w:tcPr>
          <w:p>
            <w:pPr>
              <w:pStyle w:val="TblCell"/>
            </w:pPr>
            <w:r>
              <w:t xml:space="preserve">Correctness fixes in existing CRUD</w:t>
            </w:r>
          </w:p>
        </w:tc>
        <w:tc>
          <w:tcPr>
            <w:tcW w:w="1860" w:type="dxa"/>
          </w:tcPr>
          <w:p>
            <w:pPr>
              <w:pStyle w:val="TblCell"/>
            </w:pPr>
            <w:r>
              <w:t xml:space="preserve">In progress</w:t>
            </w:r>
          </w:p>
        </w:tc>
      </w:tr>
      <w:tr>
        <w:tc>
          <w:tcPr>
            <w:tcW w:w="1500" w:type="dxa"/>
          </w:tcPr>
          <w:p>
            <w:pPr>
              <w:pStyle w:val="TblCell"/>
            </w:pPr>
            <w:r>
              <w:t xml:space="preserve">Phase 3</w:t>
            </w:r>
          </w:p>
        </w:tc>
        <w:tc>
          <w:tcPr>
            <w:tcW w:w="6000" w:type="dxa"/>
          </w:tcPr>
          <w:p>
            <w:pPr>
              <w:pStyle w:val="TblCell"/>
            </w:pPr>
            <w:r>
              <w:t xml:space="preserve">BRD + design module build-out</w:t>
            </w:r>
          </w:p>
        </w:tc>
        <w:tc>
          <w:tcPr>
            <w:tcW w:w="1860" w:type="dxa"/>
          </w:tcPr>
          <w:p>
            <w:pPr>
              <w:pStyle w:val="TblCell"/>
            </w:pPr>
            <w:r>
              <w:t xml:space="preserve">Blocked — needs sign-off</w:t>
            </w:r>
          </w:p>
        </w:tc>
      </w:tr>
      <w:tr>
        <w:tc>
          <w:tcPr>
            <w:tcW w:w="1500" w:type="dxa"/>
          </w:tcPr>
          <w:p>
            <w:pPr>
              <w:pStyle w:val="TblCell"/>
            </w:pPr>
            <w:r>
              <w:t xml:space="preserve">Phase 4</w:t>
            </w:r>
          </w:p>
        </w:tc>
        <w:tc>
          <w:tcPr>
            <w:tcW w:w="6000" w:type="dxa"/>
          </w:tcPr>
          <w:p>
            <w:pPr>
              <w:pStyle w:val="TblCell"/>
            </w:pPr>
            <w:r>
              <w:t xml:space="preserve">Figma content-model reconciliation</w:t>
            </w:r>
          </w:p>
        </w:tc>
        <w:tc>
          <w:tcPr>
            <w:tcW w:w="1860" w:type="dxa"/>
          </w:tcPr>
          <w:p>
            <w:pPr>
              <w:pStyle w:val="TblCell"/>
            </w:pPr>
            <w:r>
              <w:t xml:space="preserve">Folded into Phase 3</w:t>
            </w:r>
          </w:p>
        </w:tc>
      </w:tr>
      <w:tr>
        <w:tc>
          <w:tcPr>
            <w:tcW w:w="1500" w:type="dxa"/>
          </w:tcPr>
          <w:p>
            <w:pPr>
              <w:pStyle w:val="TblCell"/>
            </w:pPr>
            <w:r>
              <w:t xml:space="preserve">Phase 5</w:t>
            </w:r>
          </w:p>
        </w:tc>
        <w:tc>
          <w:tcPr>
            <w:tcW w:w="6000" w:type="dxa"/>
          </w:tcPr>
          <w:p>
            <w:pPr>
              <w:pStyle w:val="TblCell"/>
            </w:pPr>
            <w:r>
              <w:t xml:space="preserve">API consolidation + tests</w:t>
            </w:r>
          </w:p>
        </w:tc>
        <w:tc>
          <w:tcPr>
            <w:tcW w:w="1860" w:type="dxa"/>
          </w:tcPr>
          <w:p>
            <w:pPr>
              <w:pStyle w:val="TblCell"/>
            </w:pPr>
            <w:r>
              <w:t xml:space="preserve">Not started</w:t>
            </w:r>
          </w:p>
        </w:tc>
      </w:tr>
    </w:tbl>
    <w:p>
      <w:pPr>
        <w:pStyle w:val="Gap"/>
      </w:pPr>
    </w:p>
    <w:p>
      <w:pPr>
        <w:pStyle w:val="H1"/>
      </w:pPr>
      <w:r>
        <w:t xml:space="preserve">Two decisions block Phase 3</w:t>
      </w:r>
    </w:p>
    <w:p>
      <w:pPr>
        <w:pStyle w:val="Body"/>
      </w:pPr>
      <w:r>
        <w:t xml:space="preserve">Both are cheaper to make now than after the migrations are written.</w:t>
      </w:r>
    </w:p>
    <w:p>
      <w:pPr>
        <w:pStyle w:val="H2"/>
      </w:pPr>
      <w:r>
        <w:t xml:space="preserve">1. Arabic</w:t>
      </w:r>
    </w:p>
    <w:p>
      <w:pPr>
        <w:pStyle w:val="Body"/>
      </w:pPr>
      <w:r>
        <w:t xml:space="preserve">BRD section 9 states the site will be "primarily in English and Arabic". No translation strategy has been chosen, and the origin/lang branch already carries an unmerged dashboard language switch. If Arabic is in scope, this changes every migration in Phase 3 — JSON columns versus a translations table — and retrofitting translatable content after the fact is substantially more expensive than deciding up front.</w:t>
      </w:r>
    </w:p>
    <w:p>
      <w:pPr>
        <w:pStyle w:val="H2"/>
      </w:pPr>
      <w:r>
        <w:t xml:space="preserve">2. Client sign-off on new tables</w:t>
      </w:r>
    </w:p>
    <w:p>
      <w:pPr>
        <w:pStyle w:val="Body"/>
      </w:pPr>
      <w:r>
        <w:t xml:space="preserve">Phase 3 introduces roughly a dozen tables. The project convention requires client sign-off before new tables or relations are migrated. The Figma schema gap audit is shaped to support this conversation.</w:t>
      </w:r>
    </w:p>
    <w:p>
      <w:pPr>
        <w:pStyle w:val="H1"/>
      </w:pPr>
      <w:r>
        <w:t xml:space="preserve">Phase 1 — Rewrite CLAUDE.md</w:t>
      </w:r>
    </w:p>
    <w:p>
      <w:pPr>
        <w:pStyle w:val="Lede"/>
      </w:pPr>
      <w:r>
        <w:t xml:space="preserve">Complete. One file changed.</w:t>
      </w:r>
    </w:p>
    <w:p>
      <w:pPr>
        <w:pStyle w:val="Body"/>
      </w:pPr>
      <w:r>
        <w:t xml:space="preserve">The file described a different project than the one on disk: it claimed Filament v3 in the header and Filament v4 in a later section, where the lockfile is Filament 5.6.7. It documented Meilisearch, AWS S3, Cloudflare R2, SoftDeletes, app/Actions/, app/Services/, app/Http/Resources/ and /api/v1/ routing — none of which exist in the codebase.</w:t>
      </w:r>
    </w:p>
    <w:p>
      <w:pPr>
        <w:pStyle w:val="Body"/>
      </w:pPr>
      <w:r>
        <w:t xml:space="preserve">Three sections were added carrying information that previously existed nowhere findable:</w:t>
      </w:r>
    </w:p>
    <w:p>
      <w:pPr>
        <w:pStyle w:val="ListP"/>
        <w:numPr>
          <w:ilvl w:val="0"/>
          <w:numId w:val="1"/>
        </w:numPr>
      </w:pPr>
      <w:r>
        <w:t xml:space="preserve">A Filament v5 cheat-sheet. Model training data skews toward v3/v4, and the codebase is already correctly v5 — so the documentation was actively causing regressions.</w:t>
      </w:r>
    </w:p>
    <w:p>
      <w:pPr>
        <w:pStyle w:val="ListP"/>
        <w:numPr>
          <w:ilvl w:val="0"/>
          <w:numId w:val="1"/>
        </w:numPr>
      </w:pPr>
      <w:r>
        <w:t xml:space="preserve">The Cloudinary architecture note. The decision trail lived only in used_cmds.md. It records why cloudinary-labs was rejected as incompatible with Laravel 13, and that the .png.png double extension is deliberate — removing it breaks every image URL on the site.</w:t>
      </w:r>
    </w:p>
    <w:p>
      <w:pPr>
        <w:pStyle w:val="ListP"/>
        <w:numPr>
          <w:ilvl w:val="0"/>
          <w:numId w:val="1"/>
        </w:numPr>
      </w:pPr>
      <w:r>
        <w:t xml:space="preserve">A media collection registry. Model, registered collection name, what Filament writes, what the API reads — with the five current mismatches marked.</w:t>
      </w:r>
    </w:p>
    <w:p>
      <w:pPr>
        <w:pStyle w:val="Note"/>
      </w:pPr>
      <w:r>
        <w:t xml:space="preserve">Note: CLAUDE.md is listed in .gitignore and has never been tracked. That is very likely why it drifted three major Filament versions unnoticed — it is not reviewed in any pull request. Worth deciding whether to track it.</w:t>
      </w:r>
    </w:p>
    <w:p>
      <w:pPr>
        <w:pStyle w:val="H1"/>
      </w:pPr>
      <w:r>
        <w:t xml:space="preserve">Phase 0 — Figma design audit</w:t>
      </w:r>
    </w:p>
    <w:p>
      <w:pPr>
        <w:pStyle w:val="Lede"/>
      </w:pPr>
      <w:r>
        <w:t xml:space="preserve">Complete. 794 text layers across 12 screens, compared against the 20 domain tables.</w:t>
      </w:r>
    </w:p>
    <w:p>
      <w:pPr>
        <w:pStyle w:val="Body"/>
      </w:pPr>
      <w:r>
        <w:t xml:space="preserve">Access required an edit-permission copy of the file; the original was view-only, which the Figma MCP rejects. Findings in brief:</w:t>
      </w:r>
    </w:p>
    <w:p>
      <w:pPr>
        <w:pStyle w:val="ListP"/>
        <w:numPr>
          <w:ilvl w:val="0"/>
          <w:numId w:val="1"/>
        </w:numPr>
      </w:pPr>
      <w:r>
        <w:rPr>
          <w:b/>
        </w:rPr>
        <w:t xml:space="preserve">portfolio_projects stores no descriptive text at all.</w:t>
      </w:r>
      <w:r>
        <w:t xml:space="preserve"> The project detail screen needs six columns the table does not have, including the Challenge and Solution pair named in BRD FR-2.3.</w:t>
      </w:r>
    </w:p>
    <w:p>
      <w:pPr>
        <w:pStyle w:val="ListP"/>
        <w:numPr>
          <w:ilvl w:val="0"/>
          <w:numId w:val="1"/>
        </w:numPr>
      </w:pPr>
      <w:r>
        <w:rPr>
          <w:b/>
        </w:rPr>
        <w:t xml:space="preserve">Contact Us is a fully designed module absent from the BRD.</w:t>
      </w:r>
      <w:r>
        <w:t xml:space="preserve"> Enquiry form, studio locations, per-day business hours. Its enquiry form is reused on four screens.</w:t>
      </w:r>
    </w:p>
    <w:p>
      <w:pPr>
        <w:pStyle w:val="ListP"/>
        <w:numPr>
          <w:ilvl w:val="0"/>
          <w:numId w:val="1"/>
        </w:numPr>
      </w:pPr>
      <w:r>
        <w:rPr>
          <w:b/>
        </w:rPr>
        <w:t xml:space="preserve">Careers exceeds FR-5.</w:t>
      </w:r>
      <w:r>
        <w:t xml:space="preserve"> The application form adds a portfolio URL, a data-processing consent checkbox, and PDF/DOCX resume upload capped at 10MB.</w:t>
      </w:r>
    </w:p>
    <w:p>
      <w:pPr>
        <w:pStyle w:val="ListP"/>
        <w:numPr>
          <w:ilvl w:val="0"/>
          <w:numId w:val="1"/>
        </w:numPr>
      </w:pPr>
      <w:r>
        <w:rPr>
          <w:b/>
        </w:rPr>
        <w:t xml:space="preserve">Nine proposed tables are structurally identical</w:t>
      </w:r>
      <w:r>
        <w:t xml:space="preserve"> — an ordered list of title and description with an optional value. One polymorphic content_blocks table replaces all nine.</w:t>
      </w:r>
    </w:p>
    <w:p>
      <w:pPr>
        <w:pStyle w:val="ListP"/>
        <w:numPr>
          <w:ilvl w:val="0"/>
          <w:numId w:val="1"/>
        </w:numPr>
      </w:pPr>
      <w:r>
        <w:rPr>
          <w:b/>
        </w:rPr>
        <w:t xml:space="preserve">BRD section 6 needs no new tables.</w:t>
      </w:r>
      <w:r>
        <w:t xml:space="preserve"> The Collection chips in the design are exactly the existing portfolio_project_variant join.</w:t>
      </w:r>
    </w:p>
    <w:p>
      <w:pPr>
        <w:pStyle w:val="H1"/>
      </w:pPr>
      <w:r>
        <w:t xml:space="preserve">Phase 2 — Correctness fixes</w:t>
      </w:r>
    </w:p>
    <w:p>
      <w:pPr>
        <w:pStyle w:val="Lede"/>
      </w:pPr>
      <w:r>
        <w:t xml:space="preserve">In progress. No schema changes, no new dependencies. Some of this is live breakage.</w:t>
      </w:r>
    </w:p>
    <w:p>
      <w:pPr>
        <w:pStyle w:val="H2"/>
      </w:pPr>
      <w:r>
        <w:t xml:space="preserve">2a. Media collection name mismatches</w:t>
      </w:r>
    </w:p>
    <w:p>
      <w:pPr>
        <w:pStyle w:val="Body"/>
      </w:pPr>
      <w:r>
        <w:t xml:space="preserve">A Filament upload writing to a collection the model never registered still works — Spatie falls back to the default disk — but the per-collection configuration is silently discarded, and any reader using the registered name receives an empty string.</w:t>
      </w:r>
    </w:p>
    <w:tbl>
      <w:tblPr>
        <w:tblW w:w="9360" w:type="dxa"/>
        <w:tblBorders>
          <w:top w:val="single" w:sz="4" w:space="0" w:color="D6DCD3"/>
          <w:left w:val="single" w:sz="4" w:space="0" w:color="D6DCD3"/>
          <w:bottom w:val="single" w:sz="4" w:space="0" w:color="D6DCD3"/>
          <w:right w:val="single" w:sz="4" w:space="0" w:color="D6DCD3"/>
          <w:insideH w:val="single" w:sz="4" w:space="0" w:color="D6DCD3"/>
          <w:insideV w:val="single" w:sz="4" w:space="0" w:color="D6DCD3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100"/>
        <w:gridCol w:w="2500"/>
        <w:gridCol w:w="2400"/>
        <w:gridCol w:w="2360"/>
      </w:tblGrid>
      <w:tr>
        <w:trPr>
          <w:tblHeader/>
        </w:trPr>
        <w:tc>
          <w:tcPr>
            <w:tcW w:w="2100" w:type="dxa"/>
            <w:shd w:val="clear" w:fill="EFF2ED"/>
          </w:tcPr>
          <w:p>
            <w:pPr>
              <w:pStyle w:val="TblHead"/>
            </w:pPr>
            <w:r>
              <w:t xml:space="preserve">Model</w:t>
            </w:r>
          </w:p>
        </w:tc>
        <w:tc>
          <w:tcPr>
            <w:tcW w:w="2500" w:type="dxa"/>
            <w:shd w:val="clear" w:fill="EFF2ED"/>
          </w:tcPr>
          <w:p>
            <w:pPr>
              <w:pStyle w:val="TblHead"/>
            </w:pPr>
            <w:r>
              <w:t xml:space="preserve">Registered</w:t>
            </w:r>
          </w:p>
        </w:tc>
        <w:tc>
          <w:tcPr>
            <w:tcW w:w="2400" w:type="dxa"/>
            <w:shd w:val="clear" w:fill="EFF2ED"/>
          </w:tcPr>
          <w:p>
            <w:pPr>
              <w:pStyle w:val="TblHead"/>
            </w:pPr>
            <w:r>
              <w:t xml:space="preserve">Filament writes</w:t>
            </w:r>
          </w:p>
        </w:tc>
        <w:tc>
          <w:tcPr>
            <w:tcW w:w="2360" w:type="dxa"/>
            <w:shd w:val="clear" w:fill="EFF2ED"/>
          </w:tcPr>
          <w:p>
            <w:pPr>
              <w:pStyle w:val="TblHead"/>
            </w:pPr>
            <w:r>
              <w:t xml:space="preserve">API reads</w:t>
            </w:r>
          </w:p>
        </w:tc>
      </w:tr>
      <w:tr>
        <w:tc>
          <w:tcPr>
            <w:tcW w:w="2100" w:type="dxa"/>
          </w:tcPr>
          <w:p>
            <w:pPr>
              <w:pStyle w:val="TblCell"/>
            </w:pPr>
            <w:r>
              <w:t xml:space="preserve">Product</w:t>
            </w:r>
          </w:p>
        </w:tc>
        <w:tc>
          <w:tcPr>
            <w:tcW w:w="2500" w:type="dxa"/>
          </w:tcPr>
          <w:p>
            <w:pPr>
              <w:pStyle w:val="TblCell"/>
            </w:pPr>
            <w:r>
              <w:t xml:space="preserve">products</w:t>
            </w:r>
          </w:p>
        </w:tc>
        <w:tc>
          <w:tcPr>
            <w:tcW w:w="2400" w:type="dxa"/>
          </w:tcPr>
          <w:p>
            <w:pPr>
              <w:pStyle w:val="TblCell"/>
            </w:pPr>
            <w:r>
              <w:t xml:space="preserve">cover_image</w:t>
            </w:r>
          </w:p>
        </w:tc>
        <w:tc>
          <w:tcPr>
            <w:tcW w:w="2360" w:type="dxa"/>
          </w:tcPr>
          <w:p>
            <w:pPr>
              <w:pStyle w:val="TblCell"/>
            </w:pPr>
            <w:r>
              <w:t xml:space="preserve">products / cover_image</w:t>
            </w:r>
          </w:p>
        </w:tc>
      </w:tr>
      <w:tr>
        <w:tc>
          <w:tcPr>
            <w:tcW w:w="2100" w:type="dxa"/>
          </w:tcPr>
          <w:p>
            <w:pPr>
              <w:pStyle w:val="TblCell"/>
            </w:pPr>
            <w:r>
              <w:t xml:space="preserve">Testimonials</w:t>
            </w:r>
          </w:p>
        </w:tc>
        <w:tc>
          <w:tcPr>
            <w:tcW w:w="2500" w:type="dxa"/>
          </w:tcPr>
          <w:p>
            <w:pPr>
              <w:pStyle w:val="TblCell"/>
            </w:pPr>
            <w:r>
              <w:t xml:space="preserve">testimonial_image</w:t>
            </w:r>
          </w:p>
        </w:tc>
        <w:tc>
          <w:tcPr>
            <w:tcW w:w="2400" w:type="dxa"/>
          </w:tcPr>
          <w:p>
            <w:pPr>
              <w:pStyle w:val="TblCell"/>
            </w:pPr>
            <w:r>
              <w:t xml:space="preserve">testimonial_images</w:t>
            </w:r>
          </w:p>
        </w:tc>
        <w:tc>
          <w:tcPr>
            <w:tcW w:w="2360" w:type="dxa"/>
          </w:tcPr>
          <w:p>
            <w:pPr>
              <w:pStyle w:val="TblCell"/>
            </w:pPr>
            <w:r>
              <w:t xml:space="preserve">testimonial_images</w:t>
            </w:r>
          </w:p>
        </w:tc>
      </w:tr>
      <w:tr>
        <w:tc>
          <w:tcPr>
            <w:tcW w:w="2100" w:type="dxa"/>
          </w:tcPr>
          <w:p>
            <w:pPr>
              <w:pStyle w:val="TblCell"/>
            </w:pPr>
            <w:r>
              <w:t xml:space="preserve">Partners</w:t>
            </w:r>
          </w:p>
        </w:tc>
        <w:tc>
          <w:tcPr>
            <w:tcW w:w="2500" w:type="dxa"/>
          </w:tcPr>
          <w:p>
            <w:pPr>
              <w:pStyle w:val="TblCell"/>
            </w:pPr>
            <w:r>
              <w:t xml:space="preserve">logo</w:t>
            </w:r>
          </w:p>
        </w:tc>
        <w:tc>
          <w:tcPr>
            <w:tcW w:w="2400" w:type="dxa"/>
          </w:tcPr>
          <w:p>
            <w:pPr>
              <w:pStyle w:val="TblCell"/>
            </w:pPr>
            <w:r>
              <w:t xml:space="preserve">partners</w:t>
            </w:r>
          </w:p>
        </w:tc>
        <w:tc>
          <w:tcPr>
            <w:tcW w:w="2360" w:type="dxa"/>
          </w:tcPr>
          <w:p>
            <w:pPr>
              <w:pStyle w:val="TblCell"/>
            </w:pPr>
            <w:r>
              <w:t xml:space="preserve">partners</w:t>
            </w:r>
          </w:p>
        </w:tc>
      </w:tr>
      <w:tr>
        <w:tc>
          <w:tcPr>
            <w:tcW w:w="2100" w:type="dxa"/>
          </w:tcPr>
          <w:p>
            <w:pPr>
              <w:pStyle w:val="TblCell"/>
            </w:pPr>
            <w:r>
              <w:t xml:space="preserve">BlogPosts</w:t>
            </w:r>
          </w:p>
        </w:tc>
        <w:tc>
          <w:tcPr>
            <w:tcW w:w="2500" w:type="dxa"/>
          </w:tcPr>
          <w:p>
            <w:pPr>
              <w:pStyle w:val="TblCell"/>
            </w:pPr>
            <w:r>
              <w:t xml:space="preserve">Blog_post_image</w:t>
            </w:r>
          </w:p>
        </w:tc>
        <w:tc>
          <w:tcPr>
            <w:tcW w:w="2400" w:type="dxa"/>
          </w:tcPr>
          <w:p>
            <w:pPr>
              <w:pStyle w:val="TblCell"/>
            </w:pPr>
            <w:r>
              <w:t xml:space="preserve">cover_image</w:t>
            </w:r>
          </w:p>
        </w:tc>
        <w:tc>
          <w:tcPr>
            <w:tcW w:w="2360" w:type="dxa"/>
          </w:tcPr>
          <w:p>
            <w:pPr>
              <w:pStyle w:val="TblCell"/>
            </w:pPr>
            <w:r>
              <w:t xml:space="preserve">cover_image</w:t>
            </w:r>
          </w:p>
        </w:tc>
      </w:tr>
      <w:tr>
        <w:tc>
          <w:tcPr>
            <w:tcW w:w="2100" w:type="dxa"/>
          </w:tcPr>
          <w:p>
            <w:pPr>
              <w:pStyle w:val="TblCell"/>
            </w:pPr>
            <w:r>
              <w:t xml:space="preserve">ServiceItem</w:t>
            </w:r>
          </w:p>
        </w:tc>
        <w:tc>
          <w:tcPr>
            <w:tcW w:w="2500" w:type="dxa"/>
          </w:tcPr>
          <w:p>
            <w:pPr>
              <w:pStyle w:val="TblCell"/>
            </w:pPr>
            <w:r>
              <w:t xml:space="preserve">service_item_images</w:t>
            </w:r>
          </w:p>
        </w:tc>
        <w:tc>
          <w:tcPr>
            <w:tcW w:w="2400" w:type="dxa"/>
          </w:tcPr>
          <w:p>
            <w:pPr>
              <w:pStyle w:val="TblCell"/>
            </w:pPr>
            <w:r>
              <w:t xml:space="preserve">cover_image, project_images</w:t>
            </w:r>
          </w:p>
        </w:tc>
        <w:tc>
          <w:tcPr>
            <w:tcW w:w="2360" w:type="dxa"/>
          </w:tcPr>
          <w:p>
            <w:pPr>
              <w:pStyle w:val="TblCell"/>
            </w:pPr>
            <w:r>
              <w:t xml:space="preserve">same</w:t>
            </w:r>
          </w:p>
        </w:tc>
      </w:tr>
    </w:tbl>
    <w:p>
      <w:pPr>
        <w:pStyle w:val="Gap"/>
      </w:pPr>
    </w:p>
    <w:p>
      <w:pPr>
        <w:pStyle w:val="Body"/>
      </w:pPr>
      <w:r>
        <w:t xml:space="preserve">Live symptom: /api/products returns a blank cover_image while /api/homepage/products-preview returns a URL — for the same product. Because media rows already exist, the fix needs a data migration updating media.collection_name alongside the code change.</w:t>
      </w:r>
    </w:p>
    <w:p>
      <w:pPr>
        <w:pStyle w:val="H2"/>
      </w:pPr>
      <w:r>
        <w:t xml:space="preserve">2b. Broken route</w:t>
      </w:r>
    </w:p>
    <w:p>
      <w:pPr>
        <w:pStyle w:val="Body"/>
      </w:pPr>
      <w:r>
        <w:t xml:space="preserve">GET /api/ is routed to HomepageController@index, a method that does not exist. It throws a 500.</w:t>
      </w:r>
    </w:p>
    <w:p>
      <w:pPr>
        <w:pStyle w:val="H2"/>
      </w:pPr>
      <w:r>
        <w:t xml:space="preserve">2c. Data-layer defects</w:t>
      </w:r>
    </w:p>
    <w:p>
      <w:pPr>
        <w:pStyle w:val="ListP"/>
        <w:numPr>
          <w:ilvl w:val="0"/>
          <w:numId w:val="1"/>
        </w:numPr>
      </w:pPr>
      <w:r>
        <w:t xml:space="preserve">ServiceItem $fillable lists order, but the column is sort_order — sort order is silently not mass-assignable.</w:t>
      </w:r>
    </w:p>
    <w:p>
      <w:pPr>
        <w:pStyle w:val="ListP"/>
        <w:numPr>
          <w:ilvl w:val="0"/>
          <w:numId w:val="1"/>
        </w:numPr>
      </w:pPr>
      <w:r>
        <w:t xml:space="preserve">PortfolioProject has no boolean cast on is_featured.</w:t>
      </w:r>
    </w:p>
    <w:p>
      <w:pPr>
        <w:pStyle w:val="ListP"/>
        <w:numPr>
          <w:ilvl w:val="0"/>
          <w:numId w:val="1"/>
        </w:numPr>
      </w:pPr>
      <w:r>
        <w:t xml:space="preserve">Partners stores the status value Archive where every other resource stores archived. BlogCategory has no archived option at all.</w:t>
      </w:r>
    </w:p>
    <w:p>
      <w:pPr>
        <w:pStyle w:val="ListP"/>
        <w:numPr>
          <w:ilvl w:val="0"/>
          <w:numId w:val="1"/>
        </w:numPr>
      </w:pPr>
      <w:r>
        <w:t xml:space="preserve">The add_description_to_products_table down() method drops descripion — a typo that breaks rollback.</w:t>
      </w:r>
    </w:p>
    <w:p>
      <w:pPr>
        <w:pStyle w:val="H2"/>
      </w:pPr>
      <w:r>
        <w:t xml:space="preserve">2d. Dead code</w:t>
      </w:r>
    </w:p>
    <w:p>
      <w:pPr>
        <w:pStyle w:val="ListP"/>
        <w:numPr>
          <w:ilvl w:val="0"/>
          <w:numId w:val="1"/>
        </w:numPr>
      </w:pPr>
      <w:r>
        <w:t xml:space="preserve">app/Models/Media.php is unused and names columns that do not exist; config/media-library.php resolves Spatie's own class.</w:t>
      </w:r>
    </w:p>
    <w:p>
      <w:pPr>
        <w:pStyle w:val="ListP"/>
        <w:numPr>
          <w:ilvl w:val="0"/>
          <w:numId w:val="1"/>
        </w:numPr>
      </w:pPr>
      <w:r>
        <w:t xml:space="preserve">app/Models/create_media_table.php is a make:model typo.</w:t>
      </w:r>
    </w:p>
    <w:p>
      <w:pPr>
        <w:pStyle w:val="ListP"/>
        <w:numPr>
          <w:ilvl w:val="0"/>
          <w:numId w:val="1"/>
        </w:numPr>
      </w:pPr>
      <w:r>
        <w:t xml:space="preserve">PortfolioProjectController imports PortfolioProjectCategory, a class that does not exist.</w:t>
      </w:r>
    </w:p>
    <w:p>
      <w:pPr>
        <w:pStyle w:val="ListP"/>
        <w:numPr>
          <w:ilvl w:val="0"/>
          <w:numId w:val="1"/>
        </w:numPr>
      </w:pPr>
      <w:r>
        <w:t xml:space="preserve">ProductCategoryController@productsCategory is byte-identical to HomepageController@productsPreview.</w:t>
      </w:r>
    </w:p>
    <w:p>
      <w:pPr>
        <w:pStyle w:val="H2"/>
      </w:pPr>
      <w:r>
        <w:t xml:space="preserve">2e. Panel usability</w:t>
      </w:r>
    </w:p>
    <w:p>
      <w:pPr>
        <w:pStyle w:val="ListP"/>
        <w:numPr>
          <w:ilvl w:val="0"/>
          <w:numId w:val="1"/>
        </w:numPr>
      </w:pPr>
      <w:r>
        <w:t xml:space="preserve">Nine of thirteen resources have no navigation group, and navigationGroups() is not declared on the panel — so sidebar ordering is non-deterministic.</w:t>
      </w:r>
    </w:p>
    <w:p>
      <w:pPr>
        <w:pStyle w:val="ListP"/>
        <w:numPr>
          <w:ilvl w:val="0"/>
          <w:numId w:val="1"/>
        </w:numPr>
      </w:pPr>
      <w:r>
        <w:t xml:space="preserve">The portfolio table shows neither is_featured nor featured_order, making the homepage-featuring function invisible and unfilterable.</w:t>
      </w:r>
    </w:p>
    <w:p>
      <w:pPr>
        <w:pStyle w:val="ListP"/>
        <w:numPr>
          <w:ilvl w:val="0"/>
          <w:numId w:val="1"/>
        </w:numPr>
      </w:pPr>
      <w:r>
        <w:t xml:space="preserve">The blog table shows a raw blog_category_id integer instead of the category name.</w:t>
      </w:r>
    </w:p>
    <w:p>
      <w:pPr>
        <w:pStyle w:val="ListP"/>
        <w:numPr>
          <w:ilvl w:val="0"/>
          <w:numId w:val="1"/>
        </w:numPr>
      </w:pPr>
      <w:r>
        <w:t xml:space="preserve">Six models carry sort_order; only HeroSlides has reorderable() on its table.</w:t>
      </w:r>
    </w:p>
    <w:p>
      <w:pPr>
        <w:pStyle w:val="H2"/>
      </w:pPr>
      <w:r>
        <w:t xml:space="preserve">2f. Environment</w:t>
      </w:r>
    </w:p>
    <w:p>
      <w:pPr>
        <w:pStyle w:val="Body"/>
      </w:pPr>
      <w:r>
        <w:t xml:space="preserve">.env.example is missing every Cloudinary key the application requires. A fresh clone running composer setup gets a non-functional media pipeline.</w:t>
      </w:r>
    </w:p>
    <w:p>
      <w:pPr>
        <w:pStyle w:val="H1"/>
      </w:pPr>
      <w:r>
        <w:t xml:space="preserve">Phase 3 — Module build-out</w:t>
      </w:r>
    </w:p>
    <w:p>
      <w:pPr>
        <w:pStyle w:val="Lede"/>
      </w:pPr>
      <w:r>
        <w:t xml:space="preserve">Blocked on the two decisions above. Ordered by BRD priority.</w:t>
      </w:r>
    </w:p>
    <w:tbl>
      <w:tblPr>
        <w:tblW w:w="9360" w:type="dxa"/>
        <w:tblBorders>
          <w:top w:val="single" w:sz="4" w:space="0" w:color="D6DCD3"/>
          <w:left w:val="single" w:sz="4" w:space="0" w:color="D6DCD3"/>
          <w:bottom w:val="single" w:sz="4" w:space="0" w:color="D6DCD3"/>
          <w:right w:val="single" w:sz="4" w:space="0" w:color="D6DCD3"/>
          <w:insideH w:val="single" w:sz="4" w:space="0" w:color="D6DCD3"/>
          <w:insideV w:val="single" w:sz="4" w:space="0" w:color="D6DCD3"/>
        </w:tblBorders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w="2600" w:type="dxa"/>
            <w:shd w:val="clear" w:fill="EFF2ED"/>
          </w:tcPr>
          <w:p>
            <w:pPr>
              <w:pStyle w:val="TblHead"/>
            </w:pPr>
            <w:r>
              <w:t xml:space="preserve">Item</w:t>
            </w:r>
          </w:p>
        </w:tc>
        <w:tc>
          <w:tcPr>
            <w:tcW w:w="2000" w:type="dxa"/>
            <w:shd w:val="clear" w:fill="EFF2ED"/>
          </w:tcPr>
          <w:p>
            <w:pPr>
              <w:pStyle w:val="TblHead"/>
            </w:pPr>
            <w:r>
              <w:t xml:space="preserve">Requirement</w:t>
            </w:r>
          </w:p>
        </w:tc>
        <w:tc>
          <w:tcPr>
            <w:tcW w:w="4760" w:type="dxa"/>
            <w:shd w:val="clear" w:fill="EFF2ED"/>
          </w:tcPr>
          <w:p>
            <w:pPr>
              <w:pStyle w:val="TblHead"/>
            </w:pPr>
            <w:r>
              <w:t xml:space="preserve">Notes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Role-based access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FR-1.1 to 1.3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Launch blocker. User does not implement FilamentUser, so the panel returns 403 outside local.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Project to gallery sync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Section 6, FR-3.2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No new tables. Read-time aggregation over the existing pivot, filtered on published.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portfolio_projects columns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FR-2.2, FR-2.3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Six columns: excerpt, execution, key_stages, key_highlights, challenge, solution.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Careers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FR-5.1 to 5.4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Two tables plus content blocks. First public write endpoint in the codebase.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Contact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Not in BRD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Three tables. Raise as scope with the client.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About Us / Team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FR-4.1 to 4.3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Largely present on origin/about — rebase rather than rebuild.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content_blocks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Design-derived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One polymorphic table replacing nine bespoke ones.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Soft deletes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FR-2.7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deleted_at across content tables, with restore and force-delete actions.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Activity log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FR-1.4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Read-only resource, Super Admin only.</w:t>
            </w:r>
          </w:p>
        </w:tc>
      </w:tr>
      <w:tr>
        <w:tc>
          <w:tcPr>
            <w:tcW w:w="2600" w:type="dxa"/>
          </w:tcPr>
          <w:p>
            <w:pPr>
              <w:pStyle w:val="TblCell"/>
            </w:pPr>
            <w:r>
              <w:t xml:space="preserve">SEO metadata</w:t>
            </w:r>
          </w:p>
        </w:tc>
        <w:tc>
          <w:tcPr>
            <w:tcW w:w="2000" w:type="dxa"/>
          </w:tcPr>
          <w:p>
            <w:pPr>
              <w:pStyle w:val="TblCell"/>
            </w:pPr>
            <w:r>
              <w:t xml:space="preserve">FR-7.1</w:t>
            </w:r>
          </w:p>
        </w:tc>
        <w:tc>
          <w:tcPr>
            <w:tcW w:w="4760" w:type="dxa"/>
          </w:tcPr>
          <w:p>
            <w:pPr>
              <w:pStyle w:val="TblCell"/>
            </w:pPr>
            <w:r>
              <w:t xml:space="preserve">Polymorphic seo_meta rather than columns on nine tables.</w:t>
            </w:r>
          </w:p>
        </w:tc>
      </w:tr>
    </w:tbl>
    <w:p>
      <w:pPr>
        <w:pStyle w:val="Gap"/>
      </w:pPr>
    </w:p>
    <w:p>
      <w:pPr>
        <w:pStyle w:val="Note"/>
      </w:pPr>
      <w:r>
        <w:t xml:space="preserve">Image optimisation (FR-6.2) is already satisfied — the Cloudinary URL generator emits f_auto and q_auto. No conversions need registering.</w:t>
      </w:r>
    </w:p>
    <w:p>
      <w:pPr>
        <w:pStyle w:val="H1"/>
      </w:pPr>
      <w:r>
        <w:t xml:space="preserve">Phase 5 — API consolidation</w:t>
      </w:r>
    </w:p>
    <w:p>
      <w:pPr>
        <w:pStyle w:val="Body"/>
      </w:pPr>
      <w:r>
        <w:t xml:space="preserve">The API returns five different response envelopes across eighteen endpoints: a bare array, a flat object, a data wrapper, data with meta, and success with message, data and meta. A typed frontend client would need five schemas.</w:t>
      </w:r>
    </w:p>
    <w:p>
      <w:pPr>
        <w:pStyle w:val="Body"/>
      </w:pPr>
      <w:r>
        <w:t xml:space="preserve">Also outstanding: /api/portfolio is unpaginated; per_page is unbounded; /api/filters leaks unpublished records into the public payload; /api/blog returns full article bodies in list responses; and no controller eager-loads media, so every list endpoint runs N+1 queries.</w:t>
      </w:r>
    </w:p>
    <w:p>
      <w:pPr>
        <w:pStyle w:val="Body"/>
      </w:pPr>
      <w:r>
        <w:t xml:space="preserve">The test suite is non-functional rather than merely thin. RefreshDatabase is commented out in tests/Pest.php while phpunit.xml forces in-memory SQLite, so the test database has no schema and any database-touching test fails. The one API test targets a route that does not exist.</w:t>
      </w:r>
    </w:p>
    <w:sectPr>
      <w:pgSz w:w="11906" w:h="16838"/>
      <w:pgMar w:top="1200" w:right="1240" w:bottom="1200" w:left="12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—"/>
      <w:lvlJc w:val="left"/>
      <w:pPr>
        <w:ind w:left="360" w:hanging="240"/>
      </w:pPr>
      <w:rPr>
        <w:color w:val="40643F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42E26"/>
      </w:rPr>
    </w:rPrDefault>
  </w:docDefaults>
  <w:style w:type="paragraph" w:styleId="Normal">
    <w:name w:val="Normal"/>
    <w:pPr>
      <w:spacing w:after="140" w:line="276" w:lineRule="auto"/>
    </w:pPr>
  </w:style>
  <w:style w:type="paragraph" w:styleId="TitleP">
    <w:name w:val="Title"/>
    <w:pPr>
      <w:spacing w:after="60"/>
    </w:pPr>
    <w:rPr>
      <w:rFonts w:ascii="Georgia" w:hAnsi="Georgia"/>
      <w:b/>
      <w:sz w:val="48"/>
      <w:color w:val="1B2A1D"/>
    </w:rPr>
  </w:style>
  <w:style w:type="paragraph" w:styleId="Sub">
    <w:name w:val="Subtitle"/>
    <w:pPr>
      <w:spacing w:after="40"/>
    </w:pPr>
    <w:rPr>
      <w:sz w:val="24"/>
      <w:color w:val="40643F"/>
    </w:rPr>
  </w:style>
  <w:style w:type="paragraph" w:styleId="Meta">
    <w:name w:val="Meta"/>
    <w:pPr>
      <w:spacing w:after="60"/>
    </w:pPr>
    <w:rPr>
      <w:sz w:val="18"/>
      <w:color w:val="6B756B"/>
    </w:rPr>
  </w:style>
  <w:style w:type="paragraph" w:styleId="H1">
    <w:name w:val="heading 1"/>
    <w:pPr>
      <w:spacing w:before="420" w:after="140"/>
      <w:pBdr>
        <w:bottom w:val="single" w:sz="8" w:space="4" w:color="40643F"/>
      </w:pBdr>
      <w:outlineLvl w:val="0"/>
    </w:pPr>
    <w:rPr>
      <w:rFonts w:ascii="Georgia" w:hAnsi="Georgia"/>
      <w:b/>
      <w:sz w:val="32"/>
      <w:color w:val="1B2A1D"/>
    </w:rPr>
  </w:style>
  <w:style w:type="paragraph" w:styleId="H2">
    <w:name w:val="heading 2"/>
    <w:pPr>
      <w:spacing w:before="260" w:after="100"/>
      <w:outlineLvl w:val="1"/>
    </w:pPr>
    <w:rPr>
      <w:b/>
      <w:sz w:val="24"/>
      <w:color w:val="2F4F32"/>
    </w:rPr>
  </w:style>
  <w:style w:type="paragraph" w:styleId="Lede">
    <w:name w:val="Lede"/>
    <w:pPr>
      <w:spacing w:after="160"/>
    </w:pPr>
    <w:rPr>
      <w:i/>
      <w:sz w:val="22"/>
      <w:color w:val="4A554C"/>
    </w:rPr>
  </w:style>
  <w:style w:type="paragraph" w:styleId="Body">
    <w:name w:val="Body"/>
    <w:pPr>
      <w:spacing w:after="140" w:line="276" w:lineRule="auto"/>
    </w:pPr>
  </w:style>
  <w:style w:type="paragraph" w:styleId="Note">
    <w:name w:val="Note"/>
    <w:pPr>
      <w:spacing w:before="120" w:after="160"/>
      <w:ind w:left="200"/>
      <w:pBdr>
        <w:left w:val="single" w:sz="18" w:space="8" w:color="C9B98A"/>
      </w:pBdr>
    </w:pPr>
    <w:rPr>
      <w:sz w:val="20"/>
      <w:color w:val="4A554C"/>
    </w:rPr>
  </w:style>
  <w:style w:type="paragraph" w:styleId="ListP">
    <w:name w:val="List Paragraph"/>
    <w:pPr>
      <w:spacing w:after="80"/>
      <w:ind w:left="360"/>
    </w:pPr>
  </w:style>
  <w:style w:type="paragraph" w:styleId="TblHead">
    <w:name w:val="Table Head"/>
    <w:pPr>
      <w:spacing w:after="0"/>
    </w:pPr>
    <w:rPr>
      <w:b/>
      <w:sz w:val="18"/>
      <w:color w:val="2F4F32"/>
    </w:rPr>
  </w:style>
  <w:style w:type="paragraph" w:styleId="TblCell">
    <w:name w:val="Table Cell"/>
    <w:pPr>
      <w:spacing w:after="0"/>
    </w:pPr>
    <w:rPr>
      <w:sz w:val="19"/>
    </w:rPr>
  </w:style>
  <w:style w:type="paragraph" w:styleId="Gap">
    <w:name w:val="Gap"/>
    <w:pPr>
      <w:spacing w:after="0" w:line="120" w:lineRule="exac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