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Employees travelling for business within India receive a daily meal allowance of INR 1,500.</w:t>
      </w:r>
    </w:p>
    <w:p>
      <w:r>
        <w:t>International travel requires approval from a director at least 14 days before departure.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Travel class</w:t>
            </w:r>
          </w:p>
        </w:tc>
        <w:tc>
          <w:tcPr>
            <w:tcW w:type="dxa" w:w="4320"/>
          </w:tcPr>
          <w:p>
            <w:r>
              <w:t>Allowed</w:t>
            </w:r>
          </w:p>
        </w:tc>
      </w:tr>
      <w:tr>
        <w:tc>
          <w:tcPr>
            <w:tcW w:type="dxa" w:w="4320"/>
          </w:tcPr>
          <w:p>
            <w:r>
              <w:t>Flights under 6 hours</w:t>
            </w:r>
          </w:p>
        </w:tc>
        <w:tc>
          <w:tcPr>
            <w:tcW w:type="dxa" w:w="4320"/>
          </w:tcPr>
          <w:p>
            <w:r>
              <w:t>Economy class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