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40"/>
          <w:szCs w:val="40"/>
        </w:rPr>
        <w:t xml:space="preserve">ECABSD: An Explainable Cross-Attention Framework for</w:t>
      </w:r>
    </w:p>
    <w:p>
      <w:pPr>
        <w:spacing w:after="200" w:before="0"/>
        <w:jc w:val="center"/>
      </w:pPr>
      <w:r>
        <w:rPr>
          <w:rFonts w:ascii="Arial" w:cs="Arial" w:eastAsia="Arial" w:hAnsi="Arial"/>
          <w:b/>
          <w:bCs/>
          <w:color w:val="1F3864"/>
          <w:sz w:val="40"/>
          <w:szCs w:val="40"/>
        </w:rPr>
        <w:t xml:space="preserve">Residue-Level Protein-Protein Interaction Binding Site Discovery</w:t>
      </w:r>
    </w:p>
    <w:p>
      <w:pPr>
        <w:spacing w:after="80" w:before="0"/>
        <w:jc w:val="center"/>
      </w:pPr>
      <w:r>
        <w:rPr>
          <w:rFonts w:ascii="Arial" w:cs="Arial" w:eastAsia="Arial" w:hAnsi="Arial"/>
          <w:b/>
          <w:bCs/>
          <w:sz w:val="22"/>
          <w:szCs w:val="22"/>
        </w:rPr>
        <w:t xml:space="preserve">Anumala Manigreeva, D. Nayaneesh, Kantam Pavan Sai Reddy, Kura Vignesh Reddy, Vitta Karthikeya</w:t>
      </w:r>
    </w:p>
    <w:p>
      <w:pPr>
        <w:spacing w:after="40" w:before="0"/>
        <w:jc w:val="center"/>
      </w:pPr>
      <w:r>
        <w:rPr>
          <w:rFonts w:ascii="Arial" w:cs="Arial" w:eastAsia="Arial" w:hAnsi="Arial"/>
          <w:sz w:val="20"/>
          <w:szCs w:val="20"/>
        </w:rPr>
        <w:t xml:space="preserve">Department of Computer Science and Engineering, Keshav Memorial Institute of Technology</w:t>
      </w:r>
    </w:p>
    <w:p>
      <w:pPr>
        <w:spacing w:after="40" w:before="0"/>
        <w:jc w:val="center"/>
      </w:pPr>
      <w:r>
        <w:rPr>
          <w:rFonts w:ascii="Arial" w:cs="Arial" w:eastAsia="Arial" w:hAnsi="Arial"/>
          <w:sz w:val="20"/>
          <w:szCs w:val="20"/>
        </w:rPr>
        <w:t xml:space="preserve">Narayanaguda, Hyderabad, Telangana, India - 500029</w:t>
      </w:r>
    </w:p>
    <w:p>
      <w:pPr>
        <w:spacing w:after="240" w:before="0"/>
        <w:jc w:val="center"/>
      </w:pPr>
      <w:r>
        <w:rPr>
          <w:rFonts w:ascii="Arial" w:cs="Arial" w:eastAsia="Arial" w:hAnsi="Arial"/>
          <w:color w:val="555555"/>
          <w:sz w:val="20"/>
          <w:szCs w:val="20"/>
        </w:rPr>
        <w:t xml:space="preserve">Mentor: Mr. Challa Sundeep Babu, Assistant Professor, Department of CSE, KMIT</w:t>
      </w:r>
    </w:p>
    <w:p>
      <w:pPr>
        <w:pBdr>
          <w:bottom w:val="single" w:color="2B5FA5" w:sz="4" w:space="1"/>
        </w:pBdr>
        <w:spacing w:after="120" w:before="120"/>
      </w:pPr>
    </w:p>
    <w:p>
      <w:pPr>
        <w:pStyle w:val="Heading1"/>
        <w:spacing w:after="120" w:before="240"/>
      </w:pPr>
      <w:r>
        <w:rPr>
          <w:rFonts w:ascii="Arial" w:cs="Arial" w:eastAsia="Arial" w:hAnsi="Arial"/>
          <w:b/>
          <w:bCs/>
          <w:color w:val="1F3864"/>
          <w:sz w:val="36"/>
          <w:szCs w:val="36"/>
        </w:rPr>
        <w:t xml:space="preserve">Abstract</w:t>
      </w:r>
    </w:p>
    <w:p>
      <w:pPr>
        <w:spacing w:after="60" w:before="60" w:line="276"/>
      </w:pPr>
      <w:r>
        <w:rPr>
          <w:rFonts w:ascii="Arial" w:cs="Arial" w:eastAsia="Arial" w:hAnsi="Arial"/>
          <w:b/>
          <w:bCs/>
          <w:sz w:val="22"/>
          <w:szCs w:val="22"/>
        </w:rPr>
        <w:t xml:space="preserve">Background: </w:t>
      </w:r>
      <w:r>
        <w:rPr>
          <w:rFonts w:ascii="Arial" w:cs="Arial" w:eastAsia="Arial" w:hAnsi="Arial"/>
          <w:sz w:val="22"/>
          <w:szCs w:val="22"/>
        </w:rPr>
        <w:t xml:space="preserve">Many biological processes depend on protein-protein interactions (PPIs). Current computational models typically predict binding sites in isolation, neglecting cross-attention mechanisms between target and partner proteins. High class imbalance and lack of interpretability remain significant hurdles. ECABSD is introduced as an interaction-aware framework integrating structural and sequential features of interacting proteins.</w:t>
      </w:r>
    </w:p>
    <w:p>
      <w:pPr>
        <w:spacing w:after="60" w:before="60" w:line="276"/>
      </w:pPr>
      <w:r>
        <w:rPr>
          <w:rFonts w:ascii="Arial" w:cs="Arial" w:eastAsia="Arial" w:hAnsi="Arial"/>
          <w:b/>
          <w:bCs/>
          <w:sz w:val="22"/>
          <w:szCs w:val="22"/>
        </w:rPr>
        <w:t xml:space="preserve">Methods: </w:t>
      </w:r>
      <w:r>
        <w:rPr>
          <w:rFonts w:ascii="Arial" w:cs="Arial" w:eastAsia="Arial" w:hAnsi="Arial"/>
          <w:sz w:val="22"/>
          <w:szCs w:val="22"/>
        </w:rPr>
        <w:t xml:space="preserve">ECABSD uses a bidirectional cross-attention module and GATv2 + ESM-2 protein language models. A hybrid Focal and Soft Dice loss with dynamic thresholding addresses class imbalance. Grad-CAM and Attention Rollout provide transparent visual explanations.</w:t>
      </w:r>
    </w:p>
    <w:p>
      <w:pPr>
        <w:spacing w:after="60" w:before="60" w:line="276"/>
      </w:pPr>
      <w:r>
        <w:rPr>
          <w:rFonts w:ascii="Arial" w:cs="Arial" w:eastAsia="Arial" w:hAnsi="Arial"/>
          <w:b/>
          <w:bCs/>
          <w:sz w:val="22"/>
          <w:szCs w:val="22"/>
        </w:rPr>
        <w:t xml:space="preserve">Results: </w:t>
      </w:r>
      <w:r>
        <w:rPr>
          <w:rFonts w:ascii="Arial" w:cs="Arial" w:eastAsia="Arial" w:hAnsi="Arial"/>
          <w:sz w:val="22"/>
          <w:szCs w:val="22"/>
        </w:rPr>
        <w:t xml:space="preserve">On random splits: F1 = 0.7010, ROC-AUC = 0.9373. On strict homology-aware splits (≤30% identity): F1 = 0.5797, ROC-AUC = 0.8928, outperforming all published baselines on MCC and ROC-AUC. Ablation confirms cross-attention is the single most critical component (−0.169 F1 when removed). On 1AY7 case study: Precision = 0.938, Recall = 1.000, F1 = 0.968.</w:t>
      </w:r>
    </w:p>
    <w:p>
      <w:pPr>
        <w:spacing w:after="60" w:before="60" w:line="276"/>
      </w:pPr>
      <w:r>
        <w:rPr>
          <w:rFonts w:ascii="Arial" w:cs="Arial" w:eastAsia="Arial" w:hAnsi="Arial"/>
          <w:b/>
          <w:bCs/>
          <w:sz w:val="22"/>
          <w:szCs w:val="22"/>
        </w:rPr>
        <w:t xml:space="preserve">Conclusion: </w:t>
      </w:r>
      <w:r>
        <w:rPr>
          <w:rFonts w:ascii="Arial" w:cs="Arial" w:eastAsia="Arial" w:hAnsi="Arial"/>
          <w:sz w:val="22"/>
          <w:szCs w:val="22"/>
        </w:rPr>
        <w:t xml:space="preserve">ECABSD's attention-based integration of sequence and structural features proves effective for PPI site prediction and provides interpretable insights for downstream experimental validation.</w:t>
      </w:r>
    </w:p>
    <w:p>
      <w:pPr>
        <w:spacing w:after="160" w:before="60"/>
      </w:pPr>
      <w:r>
        <w:rPr>
          <w:rFonts w:ascii="Arial" w:cs="Arial" w:eastAsia="Arial" w:hAnsi="Arial"/>
          <w:b/>
          <w:bCs/>
          <w:sz w:val="22"/>
          <w:szCs w:val="22"/>
        </w:rPr>
        <w:t xml:space="preserve">Keywords: </w:t>
      </w:r>
      <w:r>
        <w:rPr>
          <w:rFonts w:ascii="Arial" w:cs="Arial" w:eastAsia="Arial" w:hAnsi="Arial"/>
          <w:sz w:val="22"/>
          <w:szCs w:val="22"/>
        </w:rPr>
        <w:t xml:space="preserve">Protein-Protein Interaction, Binding Site Discovery, Deep Learning, GATv2, ESM-2, Cross-Attention, Explainable AI</w:t>
      </w:r>
    </w:p>
    <w:p>
      <w:pPr>
        <w:pBdr>
          <w:bottom w:val="single" w:color="2B5FA5" w:sz="4" w:space="1"/>
        </w:pBdr>
        <w:spacing w:after="120" w:before="120"/>
      </w:pPr>
    </w:p>
    <w:p>
      <w:pPr>
        <w:pStyle w:val="Heading1"/>
        <w:spacing w:after="120" w:before="240"/>
      </w:pPr>
      <w:r>
        <w:rPr>
          <w:rFonts w:ascii="Arial" w:cs="Arial" w:eastAsia="Arial" w:hAnsi="Arial"/>
          <w:b/>
          <w:bCs/>
          <w:color w:val="1F3864"/>
          <w:sz w:val="36"/>
          <w:szCs w:val="36"/>
        </w:rPr>
        <w:t xml:space="preserve">1. Introduction</w:t>
      </w:r>
    </w:p>
    <w:p>
      <w:pPr>
        <w:spacing w:after="60" w:before="60" w:line="276"/>
        <w:jc w:val="both"/>
      </w:pPr>
      <w:r>
        <w:rPr>
          <w:rFonts w:ascii="Arial" w:cs="Arial" w:eastAsia="Arial" w:hAnsi="Arial"/>
          <w:b w:val="false"/>
          <w:bCs w:val="false"/>
          <w:color w:val="000000"/>
          <w:sz w:val="22"/>
          <w:szCs w:val="22"/>
        </w:rPr>
        <w:t xml:space="preserve">Proteins are involved in major biological processes including signaling, immunological responses, and enzyme-related functions. Protein-protein interactions (PPIs) are essential for protein activity modulation. When PPIs fail, loss of biological function and dysfunctions associated with neurodegenerative diseases and cancer can occur. Experimental methods such as yeast two-hybrid screening, isothermal titration calorimetry, and X-ray crystallography are valuable but expensive and labor-intensive, driving the need for computational approaches.</w:t>
      </w:r>
    </w:p>
    <w:p>
      <w:pPr>
        <w:spacing w:after="60" w:before="60" w:line="276"/>
        <w:jc w:val="both"/>
      </w:pPr>
      <w:r>
        <w:rPr>
          <w:rFonts w:ascii="Arial" w:cs="Arial" w:eastAsia="Arial" w:hAnsi="Arial"/>
          <w:b w:val="false"/>
          <w:bCs w:val="false"/>
          <w:color w:val="000000"/>
          <w:sz w:val="22"/>
          <w:szCs w:val="22"/>
        </w:rPr>
        <w:t xml:space="preserve">A major gap in the literature is the assumption that binding sites can be predicted from a single isolated protein structure, ignoring conformational changes induced by a specific binding partner. Most datasets are severely imbalanced — binding sites make up only a small fraction of the protein surface. Furthermore, deep neural networks often behave as black boxes, limiting biological trust and interpretability.</w:t>
      </w:r>
    </w:p>
    <w:p>
      <w:pPr>
        <w:spacing w:after="60" w:before="60" w:line="276"/>
        <w:jc w:val="both"/>
      </w:pPr>
      <w:r>
        <w:rPr>
          <w:rFonts w:ascii="Arial" w:cs="Arial" w:eastAsia="Arial" w:hAnsi="Arial"/>
          <w:b w:val="false"/>
          <w:bCs w:val="false"/>
          <w:color w:val="000000"/>
          <w:sz w:val="22"/>
          <w:szCs w:val="22"/>
        </w:rPr>
        <w:t xml:space="preserve">ECABSD (Explainable Cross-Attention for Binding Site Discovery) addresses these challenges by using structural and sequence information from both the target protein (Chain A) and the partner protein (Chain B). GATv2 captures residue-level interactions and topological relationships, ESM-2 embeddings capture evolutionary and biochemical patterns, and a cross-attention module enables bidirectional contextual learning for biologically relevant interface representation.</w:t>
      </w:r>
    </w:p>
    <w:p>
      <w:pPr>
        <w:pStyle w:val="Heading1"/>
        <w:spacing w:after="120" w:before="240"/>
      </w:pPr>
      <w:r>
        <w:rPr>
          <w:rFonts w:ascii="Arial" w:cs="Arial" w:eastAsia="Arial" w:hAnsi="Arial"/>
          <w:b/>
          <w:bCs/>
          <w:color w:val="1F3864"/>
          <w:sz w:val="36"/>
          <w:szCs w:val="36"/>
        </w:rPr>
        <w:t xml:space="preserve">2. Related Work</w:t>
      </w:r>
    </w:p>
    <w:p>
      <w:pPr>
        <w:spacing w:after="60" w:before="60" w:line="276"/>
        <w:jc w:val="both"/>
      </w:pPr>
      <w:r>
        <w:rPr>
          <w:rFonts w:ascii="Arial" w:cs="Arial" w:eastAsia="Arial" w:hAnsi="Arial"/>
          <w:b w:val="false"/>
          <w:bCs w:val="false"/>
          <w:color w:val="000000"/>
          <w:sz w:val="22"/>
          <w:szCs w:val="22"/>
        </w:rPr>
        <w:t xml:space="preserve">Early PPI binding site predictors such as SPPIDER [1], ProMate [2], and PSIVER [3] relied on sequence conservation and accessible surface area with SVMs, achieving F1 scores of 0.45–0.50. PAIRpred [4] introduced pairwise residue scoring, and DELPHI [5] added deep learning features, improving F1 to approximately 0.55. MaSIF-site [6] uses geometric deep learning on molecular surfaces, achieving F1 ≈ 0.60, but predicts from single isolated chains without partner context.</w:t>
      </w:r>
    </w:p>
    <w:p>
      <w:pPr>
        <w:spacing w:after="60" w:before="60" w:line="276"/>
        <w:jc w:val="both"/>
      </w:pPr>
      <w:r>
        <w:rPr>
          <w:rFonts w:ascii="Arial" w:cs="Arial" w:eastAsia="Arial" w:hAnsi="Arial"/>
          <w:b w:val="false"/>
          <w:bCs w:val="false"/>
          <w:color w:val="000000"/>
          <w:sz w:val="22"/>
          <w:szCs w:val="22"/>
        </w:rPr>
        <w:t xml:space="preserve">ESM-2 [7] captures evolutionary context but lacks 3D structural reasoning. GATv2 [8] addressed static attention limitations of original GATs. ECABSD is the first method to combine GATv2 structural encoding with partner-aware cross-attention for per-residue PPI binding site prediction, with integrated explainability through Grad-CAM [11] and Attention Rollout [12].</w:t>
      </w:r>
    </w:p>
    <w:p>
      <w:pPr>
        <w:pStyle w:val="Heading1"/>
        <w:spacing w:after="120" w:before="240"/>
      </w:pPr>
      <w:r>
        <w:rPr>
          <w:rFonts w:ascii="Arial" w:cs="Arial" w:eastAsia="Arial" w:hAnsi="Arial"/>
          <w:b/>
          <w:bCs/>
          <w:color w:val="1F3864"/>
          <w:sz w:val="36"/>
          <w:szCs w:val="36"/>
        </w:rPr>
        <w:t xml:space="preserve">3. Method</w:t>
      </w:r>
    </w:p>
    <w:p>
      <w:pPr>
        <w:pStyle w:val="Heading2"/>
        <w:spacing w:after="120" w:before="240"/>
      </w:pPr>
      <w:r>
        <w:rPr>
          <w:rFonts w:ascii="Arial" w:cs="Arial" w:eastAsia="Arial" w:hAnsi="Arial"/>
          <w:b/>
          <w:bCs/>
          <w:color w:val="1F3864"/>
          <w:sz w:val="28"/>
          <w:szCs w:val="28"/>
        </w:rPr>
        <w:t xml:space="preserve">3.1 Model Architecture</w:t>
      </w:r>
    </w:p>
    <w:p>
      <w:pPr>
        <w:spacing w:after="60" w:before="60" w:line="276"/>
        <w:jc w:val="both"/>
      </w:pPr>
      <w:r>
        <w:rPr>
          <w:rFonts w:ascii="Arial" w:cs="Arial" w:eastAsia="Arial" w:hAnsi="Arial"/>
          <w:b w:val="false"/>
          <w:bCs w:val="false"/>
          <w:color w:val="000000"/>
          <w:sz w:val="22"/>
          <w:szCs w:val="22"/>
        </w:rPr>
        <w:t xml:space="preserve">The ECABSD framework processes paired PDB structures through: (1) graph construction with ESM-2 embeddings as node features, (2) GATv2 structural encoding across 6 layers with residual connections and global context pooling, (3) bidirectional cross-attention fusion between Chain A and Chain B, and (4) a 3-layer MLP prediction head with LayerNorm, ReLU, Dropout, and Sigmoid activation generating per-residue binding probabilities.</w:t>
      </w:r>
    </w:p>
    <w:p>
      <w:pPr>
        <w:pStyle w:val="Heading2"/>
        <w:spacing w:after="120" w:before="240"/>
      </w:pPr>
      <w:r>
        <w:rPr>
          <w:rFonts w:ascii="Arial" w:cs="Arial" w:eastAsia="Arial" w:hAnsi="Arial"/>
          <w:b/>
          <w:bCs/>
          <w:color w:val="1F3864"/>
          <w:sz w:val="28"/>
          <w:szCs w:val="28"/>
        </w:rPr>
        <w:t xml:space="preserve">3.2 Protein Feature Extraction</w:t>
      </w:r>
    </w:p>
    <w:p>
      <w:pPr>
        <w:spacing w:after="60" w:before="60" w:line="276"/>
        <w:jc w:val="both"/>
      </w:pPr>
      <w:r>
        <w:rPr>
          <w:rFonts w:ascii="Arial" w:cs="Arial" w:eastAsia="Arial" w:hAnsi="Arial"/>
          <w:b w:val="false"/>
          <w:bCs w:val="false"/>
          <w:color w:val="000000"/>
          <w:sz w:val="22"/>
          <w:szCs w:val="22"/>
        </w:rPr>
        <w:t xml:space="preserve">Protein structures are converted into spatial graphs with a 10.0 Å Cα–Cα distance cutoff. Five-dimensional edge features encode Euclidean distances and geometric angles between Cα atoms. Six GATv2 layers provide dynamic attention weighting jointly conditioned on query and key nodes, overcoming static attention limitations. ESM-2 embeddings (esm2_t6_8M_UR50D) are projected to 33 dimensions as initial node features.</w:t>
      </w:r>
    </w:p>
    <w:p>
      <w:pPr>
        <w:pStyle w:val="Heading2"/>
        <w:spacing w:after="120" w:before="240"/>
      </w:pPr>
      <w:r>
        <w:rPr>
          <w:rFonts w:ascii="Arial" w:cs="Arial" w:eastAsia="Arial" w:hAnsi="Arial"/>
          <w:b/>
          <w:bCs/>
          <w:color w:val="1F3864"/>
          <w:sz w:val="28"/>
          <w:szCs w:val="28"/>
        </w:rPr>
        <w:t xml:space="preserve">3.3 Cross-Fusion Module</w:t>
      </w:r>
    </w:p>
    <w:p>
      <w:pPr>
        <w:spacing w:after="60" w:before="60" w:line="276"/>
        <w:jc w:val="both"/>
      </w:pPr>
      <w:r>
        <w:rPr>
          <w:rFonts w:ascii="Arial" w:cs="Arial" w:eastAsia="Arial" w:hAnsi="Arial"/>
          <w:b w:val="false"/>
          <w:bCs w:val="false"/>
          <w:color w:val="000000"/>
          <w:sz w:val="22"/>
          <w:szCs w:val="22"/>
        </w:rPr>
        <w:t xml:space="preserve">Chain A residues act as Queries (Q) and Chain B residues act as Keys (K) and Values (V) in a 4-head, 256-dimensional cross-attention mechanism. A global mean-pooled chain representation is projected and added to local residue features, providing macro-structural context to local binding predictions.</w:t>
      </w:r>
    </w:p>
    <w:p>
      <w:pPr>
        <w:pStyle w:val="Heading2"/>
        <w:spacing w:after="120" w:before="240"/>
      </w:pPr>
      <w:r>
        <w:rPr>
          <w:rFonts w:ascii="Arial" w:cs="Arial" w:eastAsia="Arial" w:hAnsi="Arial"/>
          <w:b/>
          <w:bCs/>
          <w:color w:val="1F3864"/>
          <w:sz w:val="28"/>
          <w:szCs w:val="28"/>
        </w:rPr>
        <w:t xml:space="preserve">3.4 Loss Function and Training</w:t>
      </w:r>
    </w:p>
    <w:p>
      <w:pPr>
        <w:spacing w:after="60" w:before="60" w:line="276"/>
        <w:jc w:val="both"/>
      </w:pPr>
      <w:r>
        <w:rPr>
          <w:rFonts w:ascii="Arial" w:cs="Arial" w:eastAsia="Arial" w:hAnsi="Arial"/>
          <w:b w:val="false"/>
          <w:bCs w:val="false"/>
          <w:color w:val="000000"/>
          <w:sz w:val="22"/>
          <w:szCs w:val="22"/>
        </w:rPr>
        <w:t xml:space="preserve">The model minimizes a hybrid loss: L = 0.6 × L_Focal + 0.4 × L_Dice. Focal Loss (alpha=0.90, gamma=2.0) down-weights easy non-binding residues; Soft Dice Loss directly optimizes F1-correlated overlap. Training uses AdamW (lr=3e-4, wd=1e-4), Cosine Annealing with 15-epoch Linear Warmup, gradient clipping at 1.0, and dynamic PR thresholding.</w:t>
      </w:r>
    </w:p>
    <w:p>
      <w:pPr>
        <w:pStyle w:val="Heading2"/>
        <w:spacing w:after="120" w:before="240"/>
      </w:pPr>
      <w:r>
        <w:rPr>
          <w:rFonts w:ascii="Arial" w:cs="Arial" w:eastAsia="Arial" w:hAnsi="Arial"/>
          <w:b/>
          <w:bCs/>
          <w:color w:val="1F3864"/>
          <w:sz w:val="28"/>
          <w:szCs w:val="28"/>
        </w:rPr>
        <w:t xml:space="preserve">3.5 Datasets and Splits</w:t>
      </w:r>
    </w:p>
    <w:p>
      <w:pPr>
        <w:spacing w:after="60" w:before="60" w:line="276"/>
        <w:jc w:val="both"/>
      </w:pPr>
      <w:r>
        <w:rPr>
          <w:rFonts w:ascii="Arial" w:cs="Arial" w:eastAsia="Arial" w:hAnsi="Arial"/>
          <w:b w:val="false"/>
          <w:bCs w:val="false"/>
          <w:color w:val="000000"/>
          <w:sz w:val="22"/>
          <w:szCs w:val="22"/>
        </w:rPr>
        <w:t xml:space="preserve">ECABSD is trained on 3,816 protein-protein complexes (PDBbind + DIPS subset), evaluated on Docking Benchmark 5 (DB5). MMseqs2 clustering at ≤30% sequence identity eliminates homology leakage. Chain-swap augmentation (p=0.50) doubles effective training data and encourages permutation invariance. Interfacial residue labels use a 4.5 Å atomic contact cutoff.</w:t>
      </w:r>
    </w:p>
    <w:p>
      <w:pPr>
        <w:pStyle w:val="Heading1"/>
        <w:spacing w:after="120" w:before="240"/>
      </w:pPr>
      <w:r>
        <w:rPr>
          <w:rFonts w:ascii="Arial" w:cs="Arial" w:eastAsia="Arial" w:hAnsi="Arial"/>
          <w:b/>
          <w:bCs/>
          <w:color w:val="1F3864"/>
          <w:sz w:val="36"/>
          <w:szCs w:val="36"/>
        </w:rPr>
        <w:t xml:space="preserve">4. Results and Discussion</w:t>
      </w:r>
    </w:p>
    <w:p>
      <w:pPr>
        <w:pStyle w:val="Heading2"/>
        <w:spacing w:after="120" w:before="240"/>
      </w:pPr>
      <w:r>
        <w:rPr>
          <w:rFonts w:ascii="Arial" w:cs="Arial" w:eastAsia="Arial" w:hAnsi="Arial"/>
          <w:b/>
          <w:bCs/>
          <w:color w:val="1F3864"/>
          <w:sz w:val="28"/>
          <w:szCs w:val="28"/>
        </w:rPr>
        <w:t xml:space="preserve">4.1 Main Results</w:t>
      </w:r>
    </w:p>
    <w:p>
      <w:pPr>
        <w:spacing w:after="60" w:before="60" w:line="276"/>
        <w:jc w:val="both"/>
      </w:pPr>
      <w:r>
        <w:rPr>
          <w:rFonts w:ascii="Arial" w:cs="Arial" w:eastAsia="Arial" w:hAnsi="Arial"/>
          <w:b w:val="false"/>
          <w:bCs w:val="false"/>
          <w:color w:val="000000"/>
          <w:sz w:val="22"/>
          <w:szCs w:val="22"/>
        </w:rPr>
        <w:t xml:space="preserve">Table 1 shows V3 performance on random and homology-filtered splits evaluated on 113,112 total residues.</w:t>
      </w:r>
    </w:p>
    <w:p>
      <w:pPr>
        <w:spacing w:after="60" w:before="120"/>
      </w:pPr>
      <w:r>
        <w:rPr>
          <w:rFonts w:ascii="Arial" w:cs="Arial" w:eastAsia="Arial" w:hAnsi="Arial"/>
          <w:b/>
          <w:bCs/>
          <w:sz w:val="22"/>
          <w:szCs w:val="22"/>
        </w:rPr>
        <w:t xml:space="preserve">Table 1: ECABSD V3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Split</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Homology-Filtered</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Accuracy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0.8989</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0.8828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Overall correct predictions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Precision</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0.6396</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0.5305</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Predicted binding sites correct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Recall</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0.7756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0.6389</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 binding sites detected</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F1-Score</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0.7010</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0.5797</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sz w:val="20"/>
                <w:szCs w:val="20"/>
              </w:rPr>
              <w:t xml:space="preserve">Harmonic mean P/R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MCC</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0.6452</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0.5152</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sz w:val="20"/>
                <w:szCs w:val="20"/>
              </w:rPr>
              <w:t xml:space="preserve">Imbalanced-data correlation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AUC-ROC</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0.9373</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0.8928</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sz w:val="20"/>
                <w:szCs w:val="20"/>
              </w:rPr>
              <w:t xml:space="preserve">Area under ROC curve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AUC-PR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0.7462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0.6077</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Area under PR curve</w:t>
            </w:r>
          </w:p>
        </w:tc>
      </w:tr>
    </w:tbl>
    <w:p>
      <w:pPr>
        <w:pStyle w:val="Heading2"/>
        <w:spacing w:after="120" w:before="240"/>
      </w:pPr>
      <w:r>
        <w:rPr>
          <w:rFonts w:ascii="Arial" w:cs="Arial" w:eastAsia="Arial" w:hAnsi="Arial"/>
          <w:b/>
          <w:bCs/>
          <w:color w:val="1F3864"/>
          <w:sz w:val="28"/>
          <w:szCs w:val="28"/>
        </w:rPr>
        <w:t xml:space="preserve">4.2 Baseline Comparison</w:t>
      </w:r>
    </w:p>
    <w:p>
      <w:pPr>
        <w:spacing w:after="60" w:before="60" w:line="276"/>
        <w:jc w:val="both"/>
      </w:pPr>
      <w:r>
        <w:rPr>
          <w:rFonts w:ascii="Arial" w:cs="Arial" w:eastAsia="Arial" w:hAnsi="Arial"/>
          <w:b w:val="false"/>
          <w:bCs w:val="false"/>
          <w:color w:val="000000"/>
          <w:sz w:val="22"/>
          <w:szCs w:val="22"/>
        </w:rPr>
        <w:t xml:space="preserve">Table 2 compares ECABSD V3 against published methods under homology-filtered evaluation. ECABSD outperforms all baselines on MCC (+0.155 vs MaSIF-site) and ROC-AUC (+0.023 vs MaSIF-site).</w:t>
      </w:r>
    </w:p>
    <w:p>
      <w:pPr>
        <w:spacing w:after="60" w:before="120"/>
      </w:pPr>
      <w:r>
        <w:rPr>
          <w:rFonts w:ascii="Arial" w:cs="Arial" w:eastAsia="Arial" w:hAnsi="Arial"/>
          <w:b/>
          <w:bCs/>
          <w:sz w:val="22"/>
          <w:szCs w:val="22"/>
        </w:rPr>
        <w:t xml:space="preserve">Table 2: Baseline Comparison (Homology-Filtered)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MCC</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SPPIDER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Porollo 2007</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ProMate</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0.45</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0.22</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Neuvirth 2004</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PSIVER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0.47</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Murakami 2010</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PAIRpred</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0.52</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0.30</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Minhas 2014</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DELPHI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 2021</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MaSIF-site</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0.60</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0.36</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0.870</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Gainza 2020</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ECABSD V3 (ours)</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0.5797</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0.5152</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0.8928</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sz w:val="20"/>
                <w:szCs w:val="20"/>
              </w:rPr>
              <w:t xml:space="preserve">This work</w:t>
            </w:r>
          </w:p>
        </w:tc>
      </w:tr>
    </w:tbl>
    <w:p>
      <w:pPr>
        <w:pStyle w:val="Heading2"/>
        <w:spacing w:after="120" w:before="240"/>
      </w:pPr>
      <w:r>
        <w:rPr>
          <w:rFonts w:ascii="Arial" w:cs="Arial" w:eastAsia="Arial" w:hAnsi="Arial"/>
          <w:b/>
          <w:bCs/>
          <w:color w:val="1F3864"/>
          <w:sz w:val="28"/>
          <w:szCs w:val="28"/>
        </w:rPr>
        <w:t xml:space="preserve">4.3 Ablation Study</w:t>
      </w:r>
    </w:p>
    <w:p>
      <w:pPr>
        <w:spacing w:after="60" w:before="60" w:line="276"/>
        <w:jc w:val="both"/>
      </w:pPr>
      <w:r>
        <w:rPr>
          <w:rFonts w:ascii="Arial" w:cs="Arial" w:eastAsia="Arial" w:hAnsi="Arial"/>
          <w:b w:val="false"/>
          <w:bCs w:val="false"/>
          <w:color w:val="000000"/>
          <w:sz w:val="22"/>
          <w:szCs w:val="22"/>
        </w:rPr>
        <w:t xml:space="preserve">Table 3 quantifies the contribution of each architectural component on the homology-filtered test set.</w:t>
      </w:r>
    </w:p>
    <w:p>
      <w:pPr>
        <w:spacing w:after="60" w:before="120"/>
      </w:pPr>
      <w:r>
        <w:rPr>
          <w:rFonts w:ascii="Arial" w:cs="Arial" w:eastAsia="Arial" w:hAnsi="Arial"/>
          <w:b/>
          <w:bCs/>
          <w:sz w:val="22"/>
          <w:szCs w:val="22"/>
        </w:rPr>
        <w:t xml:space="preserve">Table 3: Component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MCC</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auto" w:w="0"/>
            <w:tcBorders>
              <w:top w:val="single" w:color="2B5FA5" w:sz="1"/>
              <w:left w:val="single" w:color="2B5FA5" w:sz="1"/>
              <w:bottom w:val="single" w:color="2B5FA5" w:sz="1"/>
              <w:right w:val="single" w:color="2B5FA5" w:sz="1"/>
            </w:tcBorders>
            <w:shd w:fill="2B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ΔF1</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Full V3 (all components)</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0.5797</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0.5152</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0.8928</w:t>
            </w:r>
          </w:p>
        </w:tc>
        <w:tc>
          <w:tcPr>
            <w:tcW w:type="auto" w:w="0"/>
            <w:gridSpan w:val="1"/>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Cross-Attention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0.4103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0.3541</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0.7812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−0.169</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GCN instead of GATv2</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0.4891</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0.4287</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0.8341</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−0.091</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Global Pooling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0.5412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0.4803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0.8701</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−0.039</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Sequence-only MLP</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0.3847</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0.3102</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0.7405</w:t>
            </w:r>
          </w:p>
        </w:tc>
        <w:tc>
          <w:tcPr>
            <w:tcW w:type="auto" w:w="0"/>
            <w:gridSpan w:val="1"/>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−0.195</w:t>
            </w:r>
          </w:p>
        </w:tc>
      </w:tr>
    </w:tbl>
    <w:p>
      <w:pPr>
        <w:spacing w:after="60" w:before="60" w:line="276"/>
        <w:jc w:val="both"/>
      </w:pPr>
      <w:r>
        <w:rPr>
          <w:rFonts w:ascii="Arial" w:cs="Arial" w:eastAsia="Arial" w:hAnsi="Arial"/>
          <w:b w:val="false"/>
          <w:bCs w:val="false"/>
          <w:color w:val="000000"/>
          <w:sz w:val="22"/>
          <w:szCs w:val="22"/>
        </w:rPr>
        <w:t xml:space="preserve">Cross-attention is the most critical component (−0.169 F1), confirming that partner chain context is essential. GATv2 attention contributes significantly over plain GCN (−0.091 F1). Global pooling provides consistent gains (−0.039 F1). Sequence-only prediction is worst, demonstrating that 3D structural context is irreplaceable.</w:t>
      </w:r>
    </w:p>
    <w:p>
      <w:pPr>
        <w:pStyle w:val="Heading2"/>
        <w:spacing w:after="120" w:before="240"/>
      </w:pPr>
      <w:r>
        <w:rPr>
          <w:rFonts w:ascii="Arial" w:cs="Arial" w:eastAsia="Arial" w:hAnsi="Arial"/>
          <w:b/>
          <w:bCs/>
          <w:color w:val="1F3864"/>
          <w:sz w:val="28"/>
          <w:szCs w:val="28"/>
        </w:rPr>
        <w:t xml:space="preserve">4.4 5-Fold Cross-Validation</w:t>
      </w:r>
    </w:p>
    <w:p>
      <w:pPr>
        <w:spacing w:after="60" w:before="60" w:line="276"/>
        <w:jc w:val="both"/>
      </w:pPr>
      <w:r>
        <w:rPr>
          <w:rFonts w:ascii="Arial" w:cs="Arial" w:eastAsia="Arial" w:hAnsi="Arial"/>
          <w:b w:val="false"/>
          <w:bCs w:val="false"/>
          <w:color w:val="000000"/>
          <w:sz w:val="22"/>
          <w:szCs w:val="22"/>
        </w:rPr>
        <w:t xml:space="preserve">5-fold cross-validation on homology-aware splits produced mean F1 = 0.4673 ± 0.0077 and ROC-AUC = 0.8338 ± 0.0057 (20-epoch budget). Low variance across folds confirms training stability. Full 80-epoch training is expected to yield F1 ≈ 0.58.</w:t>
      </w:r>
    </w:p>
    <w:p>
      <w:pPr>
        <w:pStyle w:val="Heading2"/>
        <w:spacing w:after="120" w:before="240"/>
      </w:pPr>
      <w:r>
        <w:rPr>
          <w:rFonts w:ascii="Arial" w:cs="Arial" w:eastAsia="Arial" w:hAnsi="Arial"/>
          <w:b/>
          <w:bCs/>
          <w:color w:val="1F3864"/>
          <w:sz w:val="28"/>
          <w:szCs w:val="28"/>
        </w:rPr>
        <w:t xml:space="preserve">4.5 Biological Case Study — PDB 1AY7</w:t>
      </w:r>
    </w:p>
    <w:p>
      <w:pPr>
        <w:spacing w:after="60" w:before="60" w:line="276"/>
        <w:jc w:val="both"/>
      </w:pPr>
      <w:r>
        <w:rPr>
          <w:rFonts w:ascii="Arial" w:cs="Arial" w:eastAsia="Arial" w:hAnsi="Arial"/>
          <w:b w:val="false"/>
          <w:bCs w:val="false"/>
          <w:color w:val="000000"/>
          <w:sz w:val="22"/>
          <w:szCs w:val="22"/>
        </w:rPr>
        <w:t xml:space="preserve">ECABSD was applied to 1AY7 (RNase Sa / Barstar complex, 1.8 Å resolution). Of 96 Chain A residues, 16 were predicted as binding (threshold 0.5). All 15 true interface residues (≤4.5 Å contact) were correctly identified: Precision = 0.938, Recall = 1.000, F1 = 0.968. The single false positive (Arg31, probability 0.541) is located 5.1 Å from the nearest Barstar atom — biologically borderline. High-confidence predictions (&gt;0.85) clustered into three known interface patches: the β-strand loop (residues 37–41), the active site loop (residues 64–69), and the C-terminal helix contacts (residues 84–87).</w:t>
      </w:r>
    </w:p>
    <w:p>
      <w:pPr>
        <w:pStyle w:val="Heading1"/>
        <w:spacing w:after="120" w:before="240"/>
      </w:pPr>
      <w:r>
        <w:rPr>
          <w:rFonts w:ascii="Arial" w:cs="Arial" w:eastAsia="Arial" w:hAnsi="Arial"/>
          <w:b/>
          <w:bCs/>
          <w:color w:val="1F3864"/>
          <w:sz w:val="36"/>
          <w:szCs w:val="36"/>
        </w:rPr>
        <w:t xml:space="preserve">5. Explainability and Deployment</w:t>
      </w:r>
    </w:p>
    <w:p>
      <w:pPr>
        <w:spacing w:after="60" w:before="60" w:line="276"/>
        <w:jc w:val="both"/>
      </w:pPr>
      <w:r>
        <w:rPr>
          <w:rFonts w:ascii="Arial" w:cs="Arial" w:eastAsia="Arial" w:hAnsi="Arial"/>
          <w:b w:val="false"/>
          <w:bCs w:val="false"/>
          <w:color w:val="000000"/>
          <w:sz w:val="22"/>
          <w:szCs w:val="22"/>
        </w:rPr>
        <w:t xml:space="preserve">Grad-CAM Saliency computes gradients of the binding score with respect to input node features, highlighting biochemical and structural regions driving each prediction. Attention Rollout extracts weights from the cross-fusion module, showing how Chain A residues attend to Chain B residues. Both outputs are returned by the FastAPI web application (web/app.py), which accepts raw .pdb files or RCSB PDB IDs and generates heatmaps alongside per-residue predictions. PyMOL export scripts enable direct 3D visualization.</w:t>
      </w:r>
    </w:p>
    <w:p>
      <w:pPr>
        <w:pStyle w:val="Heading1"/>
        <w:spacing w:after="120" w:before="240"/>
      </w:pPr>
      <w:r>
        <w:rPr>
          <w:rFonts w:ascii="Arial" w:cs="Arial" w:eastAsia="Arial" w:hAnsi="Arial"/>
          <w:b/>
          <w:bCs/>
          <w:color w:val="1F3864"/>
          <w:sz w:val="36"/>
          <w:szCs w:val="36"/>
        </w:rPr>
        <w:t xml:space="preserve">6. Limitations and Future Work</w:t>
      </w:r>
    </w:p>
    <w:p>
      <w:pPr>
        <w:spacing w:after="60" w:before="60" w:line="276"/>
        <w:jc w:val="both"/>
      </w:pPr>
      <w:r>
        <w:rPr>
          <w:rFonts w:ascii="Arial" w:cs="Arial" w:eastAsia="Arial" w:hAnsi="Arial"/>
          <w:b w:val="false"/>
          <w:bCs w:val="false"/>
          <w:color w:val="000000"/>
          <w:sz w:val="22"/>
          <w:szCs w:val="22"/>
        </w:rPr>
        <w:t xml:space="preserve">ECABSD has been evaluated primarily on DB5, which is smaller than large-scale interaction datasets. Precision remains moderate at the current threshold. Future work includes:</w:t>
      </w:r>
    </w:p>
    <w:p>
      <w:pPr>
        <w:pStyle w:val="ListParagraph"/>
        <w:numPr>
          <w:ilvl w:val="0"/>
          <w:numId w:val="2"/>
        </w:numPr>
        <w:spacing w:after="40" w:before="40" w:line="276"/>
      </w:pPr>
      <w:r>
        <w:rPr>
          <w:rFonts w:ascii="Arial" w:cs="Arial" w:eastAsia="Arial" w:hAnsi="Arial"/>
          <w:sz w:val="22"/>
          <w:szCs w:val="22"/>
        </w:rPr>
        <w:t xml:space="preserve">Extending training to larger datasets (DIPS, PINDER)</w:t>
      </w:r>
    </w:p>
    <w:p>
      <w:pPr>
        <w:pStyle w:val="ListParagraph"/>
        <w:numPr>
          <w:ilvl w:val="0"/>
          <w:numId w:val="2"/>
        </w:numPr>
        <w:spacing w:after="40" w:before="40" w:line="276"/>
      </w:pPr>
      <w:r>
        <w:rPr>
          <w:rFonts w:ascii="Arial" w:cs="Arial" w:eastAsia="Arial" w:hAnsi="Arial"/>
          <w:sz w:val="22"/>
          <w:szCs w:val="22"/>
        </w:rPr>
        <w:t xml:space="preserve">Adding precision-focused and recall-focused threshold modes</w:t>
      </w:r>
    </w:p>
    <w:p>
      <w:pPr>
        <w:pStyle w:val="ListParagraph"/>
        <w:numPr>
          <w:ilvl w:val="0"/>
          <w:numId w:val="2"/>
        </w:numPr>
        <w:spacing w:after="40" w:before="40" w:line="276"/>
      </w:pPr>
      <w:r>
        <w:rPr>
          <w:rFonts w:ascii="Arial" w:cs="Arial" w:eastAsia="Arial" w:hAnsi="Arial"/>
          <w:sz w:val="22"/>
          <w:szCs w:val="22"/>
        </w:rPr>
        <w:t xml:space="preserve">Implementing Top-K precision evaluation</w:t>
      </w:r>
    </w:p>
    <w:p>
      <w:pPr>
        <w:pStyle w:val="ListParagraph"/>
        <w:numPr>
          <w:ilvl w:val="0"/>
          <w:numId w:val="2"/>
        </w:numPr>
        <w:spacing w:after="40" w:before="40" w:line="276"/>
      </w:pPr>
      <w:r>
        <w:rPr>
          <w:rFonts w:ascii="Arial" w:cs="Arial" w:eastAsia="Arial" w:hAnsi="Arial"/>
          <w:sz w:val="22"/>
          <w:szCs w:val="22"/>
        </w:rPr>
        <w:t xml:space="preserve">Ensemble prediction combining V2 baseline and V3 cross-attention</w:t>
      </w:r>
    </w:p>
    <w:p>
      <w:pPr>
        <w:pStyle w:val="ListParagraph"/>
        <w:numPr>
          <w:ilvl w:val="0"/>
          <w:numId w:val="2"/>
        </w:numPr>
        <w:spacing w:after="40" w:before="40" w:line="276"/>
      </w:pPr>
      <w:r>
        <w:rPr>
          <w:rFonts w:ascii="Arial" w:cs="Arial" w:eastAsia="Arial" w:hAnsi="Arial"/>
          <w:sz w:val="22"/>
          <w:szCs w:val="22"/>
        </w:rPr>
        <w:t xml:space="preserve">Full 80-epoch cross-validation and external DB5 blind test set evaluation</w:t>
      </w:r>
    </w:p>
    <w:p>
      <w:pPr>
        <w:pStyle w:val="Heading1"/>
        <w:spacing w:after="120" w:before="240"/>
      </w:pPr>
      <w:r>
        <w:rPr>
          <w:rFonts w:ascii="Arial" w:cs="Arial" w:eastAsia="Arial" w:hAnsi="Arial"/>
          <w:b/>
          <w:bCs/>
          <w:color w:val="1F3864"/>
          <w:sz w:val="36"/>
          <w:szCs w:val="36"/>
        </w:rPr>
        <w:t xml:space="preserve">7. Conclusion</w:t>
      </w:r>
    </w:p>
    <w:p>
      <w:pPr>
        <w:spacing w:after="60" w:before="60" w:line="276"/>
        <w:jc w:val="both"/>
      </w:pPr>
      <w:r>
        <w:rPr>
          <w:rFonts w:ascii="Arial" w:cs="Arial" w:eastAsia="Arial" w:hAnsi="Arial"/>
          <w:b w:val="false"/>
          <w:bCs w:val="false"/>
          <w:color w:val="000000"/>
          <w:sz w:val="22"/>
          <w:szCs w:val="22"/>
        </w:rPr>
        <w:t xml:space="preserve">ECABSD presents an interaction-aware framework for per-residue protein-protein binding site prediction. By integrating ESM-2 sequence embeddings with GATv2 structural representations and partner-aware cross-attention, ECABSD addresses extreme class imbalance and outperforms all published baselines on MCC and ROC-AUC under homology-filtered evaluation. The biological case study on 1AY7 demonstrates near-perfect interface recovery (F1 = 0.968). Integrated Grad-CAM and Attention Rollout add interpretability supporting downstream biological validation. ECABSD is a promising foundation for virtual screening, protein design, and drug discovery.</w:t>
      </w:r>
    </w:p>
    <w:p>
      <w:pPr>
        <w:pBdr>
          <w:bottom w:val="single" w:color="2B5FA5" w:sz="4" w:space="1"/>
        </w:pBdr>
        <w:spacing w:after="120" w:before="120"/>
      </w:pPr>
    </w:p>
    <w:p>
      <w:pPr>
        <w:pStyle w:val="Heading1"/>
        <w:spacing w:after="120" w:before="240"/>
      </w:pPr>
      <w:r>
        <w:rPr>
          <w:rFonts w:ascii="Arial" w:cs="Arial" w:eastAsia="Arial" w:hAnsi="Arial"/>
          <w:b/>
          <w:bCs/>
          <w:color w:val="1F3864"/>
          <w:sz w:val="36"/>
          <w:szCs w:val="36"/>
        </w:rPr>
        <w:t xml:space="preserve">References</w:t>
      </w:r>
    </w:p>
    <w:p>
      <w:pPr>
        <w:spacing w:after="60" w:before="60" w:line="276"/>
        <w:jc w:val="both"/>
      </w:pPr>
      <w:r>
        <w:rPr>
          <w:rFonts w:ascii="Arial" w:cs="Arial" w:eastAsia="Arial" w:hAnsi="Arial"/>
          <w:b w:val="false"/>
          <w:bCs w:val="false"/>
          <w:color w:val="000000"/>
          <w:sz w:val="22"/>
          <w:szCs w:val="22"/>
        </w:rPr>
        <w:t xml:space="preserve">[1] Porollo, A. &amp; Meller, J. (2007). Prediction-based fingerprints of protein-protein interactions. Proteins, 66(3), 630–645.</w:t>
      </w:r>
    </w:p>
    <w:p>
      <w:pPr>
        <w:spacing w:after="60" w:before="60" w:line="276"/>
        <w:jc w:val="both"/>
      </w:pPr>
      <w:r>
        <w:rPr>
          <w:rFonts w:ascii="Arial" w:cs="Arial" w:eastAsia="Arial" w:hAnsi="Arial"/>
          <w:b w:val="false"/>
          <w:bCs w:val="false"/>
          <w:color w:val="000000"/>
          <w:sz w:val="22"/>
          <w:szCs w:val="22"/>
        </w:rPr>
        <w:t xml:space="preserve">[2] Neuvirth, H., Raz, R. &amp; Schreiber, G. (2004). ProMate: a structure based prediction program to identify protein-protein binding sites. J Mol Biol, 338(1), 181–199.</w:t>
      </w:r>
    </w:p>
    <w:p>
      <w:pPr>
        <w:spacing w:after="60" w:before="60" w:line="276"/>
        <w:jc w:val="both"/>
      </w:pPr>
      <w:r>
        <w:rPr>
          <w:rFonts w:ascii="Arial" w:cs="Arial" w:eastAsia="Arial" w:hAnsi="Arial"/>
          <w:b w:val="false"/>
          <w:bCs w:val="false"/>
          <w:color w:val="000000"/>
          <w:sz w:val="22"/>
          <w:szCs w:val="22"/>
        </w:rPr>
        <w:t xml:space="preserve">[3] Murakami, Y. &amp; Mizuguchi, K. (2010). Applying the Naive Bayes classifier to the prediction of protein-protein interaction sites. Bioinformatics, 26(15), 1841–1848.</w:t>
      </w:r>
    </w:p>
    <w:p>
      <w:pPr>
        <w:spacing w:after="60" w:before="60" w:line="276"/>
        <w:jc w:val="both"/>
      </w:pPr>
      <w:r>
        <w:rPr>
          <w:rFonts w:ascii="Arial" w:cs="Arial" w:eastAsia="Arial" w:hAnsi="Arial"/>
          <w:b w:val="false"/>
          <w:bCs w:val="false"/>
          <w:color w:val="000000"/>
          <w:sz w:val="22"/>
          <w:szCs w:val="22"/>
        </w:rPr>
        <w:t xml:space="preserve">[4] Minhas, F. et al. (2014). PAIRpred: partner-specific prediction of interacting residues from sequence and structure. Proteins, 82(7), 1509–1522.</w:t>
      </w:r>
    </w:p>
    <w:p>
      <w:pPr>
        <w:spacing w:after="60" w:before="60" w:line="276"/>
        <w:jc w:val="both"/>
      </w:pPr>
      <w:r>
        <w:rPr>
          <w:rFonts w:ascii="Arial" w:cs="Arial" w:eastAsia="Arial" w:hAnsi="Arial"/>
          <w:b w:val="false"/>
          <w:bCs w:val="false"/>
          <w:color w:val="000000"/>
          <w:sz w:val="22"/>
          <w:szCs w:val="22"/>
        </w:rPr>
        <w:t xml:space="preserve">[5] Li, S. et al. (2021). DELPHI: accurate deep ensemble model for protein interaction sites prediction. Bioinformatics, 37(7), 896–904.</w:t>
      </w:r>
    </w:p>
    <w:p>
      <w:pPr>
        <w:spacing w:after="60" w:before="60" w:line="276"/>
        <w:jc w:val="both"/>
      </w:pPr>
      <w:r>
        <w:rPr>
          <w:rFonts w:ascii="Arial" w:cs="Arial" w:eastAsia="Arial" w:hAnsi="Arial"/>
          <w:b w:val="false"/>
          <w:bCs w:val="false"/>
          <w:color w:val="000000"/>
          <w:sz w:val="22"/>
          <w:szCs w:val="22"/>
        </w:rPr>
        <w:t xml:space="preserve">[6] Gainza, P. et al. (2020). Deciphering interaction fingerprints from protein molecular surfaces using geometric deep learning. Nature Methods, 17(2), 184–192.</w:t>
      </w:r>
    </w:p>
    <w:p>
      <w:pPr>
        <w:spacing w:after="60" w:before="60" w:line="276"/>
        <w:jc w:val="both"/>
      </w:pPr>
      <w:r>
        <w:rPr>
          <w:rFonts w:ascii="Arial" w:cs="Arial" w:eastAsia="Arial" w:hAnsi="Arial"/>
          <w:b w:val="false"/>
          <w:bCs w:val="false"/>
          <w:color w:val="000000"/>
          <w:sz w:val="22"/>
          <w:szCs w:val="22"/>
        </w:rPr>
        <w:t xml:space="preserve">[7] Lin, Z. et al. (2023). Evolutionary-scale prediction of atomic-level protein structure with a language model. Science, 379(6637), 1123–1130.</w:t>
      </w:r>
    </w:p>
    <w:p>
      <w:pPr>
        <w:spacing w:after="60" w:before="60" w:line="276"/>
        <w:jc w:val="both"/>
      </w:pPr>
      <w:r>
        <w:rPr>
          <w:rFonts w:ascii="Arial" w:cs="Arial" w:eastAsia="Arial" w:hAnsi="Arial"/>
          <w:b w:val="false"/>
          <w:bCs w:val="false"/>
          <w:color w:val="000000"/>
          <w:sz w:val="22"/>
          <w:szCs w:val="22"/>
        </w:rPr>
        <w:t xml:space="preserve">[8] Brody, S., Alon, U. &amp; Yahav, E. (2022). How attentive are graph attention networks? ICLR 2022.</w:t>
      </w:r>
    </w:p>
    <w:p>
      <w:pPr>
        <w:spacing w:after="60" w:before="60" w:line="276"/>
        <w:jc w:val="both"/>
      </w:pPr>
      <w:r>
        <w:rPr>
          <w:rFonts w:ascii="Arial" w:cs="Arial" w:eastAsia="Arial" w:hAnsi="Arial"/>
          <w:b w:val="false"/>
          <w:bCs w:val="false"/>
          <w:color w:val="000000"/>
          <w:sz w:val="22"/>
          <w:szCs w:val="22"/>
        </w:rPr>
        <w:t xml:space="preserve">[9] Lin, T.Y. et al. (2017). Focal loss for dense object detection. ICCV 2017, 2980–2988.</w:t>
      </w:r>
    </w:p>
    <w:p>
      <w:pPr>
        <w:spacing w:after="60" w:before="60" w:line="276"/>
        <w:jc w:val="both"/>
      </w:pPr>
      <w:r>
        <w:rPr>
          <w:rFonts w:ascii="Arial" w:cs="Arial" w:eastAsia="Arial" w:hAnsi="Arial"/>
          <w:b w:val="false"/>
          <w:bCs w:val="false"/>
          <w:color w:val="000000"/>
          <w:sz w:val="22"/>
          <w:szCs w:val="22"/>
        </w:rPr>
        <w:t xml:space="preserve">[10] Milletari, F., Navab, N. &amp; Ahmadi, S.A. (2016). V-Net: Fully convolutional neural networks for volumetric medical image segmentation. 3DV 2016.</w:t>
      </w:r>
    </w:p>
    <w:p>
      <w:pPr>
        <w:spacing w:after="60" w:before="60" w:line="276"/>
        <w:jc w:val="both"/>
      </w:pPr>
      <w:r>
        <w:rPr>
          <w:rFonts w:ascii="Arial" w:cs="Arial" w:eastAsia="Arial" w:hAnsi="Arial"/>
          <w:b w:val="false"/>
          <w:bCs w:val="false"/>
          <w:color w:val="000000"/>
          <w:sz w:val="22"/>
          <w:szCs w:val="22"/>
        </w:rPr>
        <w:t xml:space="preserve">[11] Selvaraju, R.R. et al. (2017). Grad-CAM: Visual explanations from deep networks via gradient-based localization. ICCV 2017, 618–626.</w:t>
      </w:r>
    </w:p>
    <w:p>
      <w:pPr>
        <w:spacing w:after="60" w:before="60" w:line="276"/>
        <w:jc w:val="both"/>
      </w:pPr>
      <w:r>
        <w:rPr>
          <w:rFonts w:ascii="Arial" w:cs="Arial" w:eastAsia="Arial" w:hAnsi="Arial"/>
          <w:b w:val="false"/>
          <w:bCs w:val="false"/>
          <w:color w:val="000000"/>
          <w:sz w:val="22"/>
          <w:szCs w:val="22"/>
        </w:rPr>
        <w:t xml:space="preserve">[12] Abnar, S. &amp; Zuidema, W. (2020). Quantifying attention flow in transformers. ACL 2020, 4190–4197.</w:t>
      </w:r>
    </w:p>
    <w:p>
      <w:pPr>
        <w:pBdr>
          <w:bottom w:val="single" w:color="2B5FA5" w:sz="4" w:space="1"/>
        </w:pBdr>
        <w:spacing w:after="120" w:before="120"/>
      </w:pPr>
    </w:p>
    <w:p>
      <w:pPr>
        <w:pStyle w:val="Heading1"/>
        <w:spacing w:after="120" w:before="240"/>
      </w:pPr>
      <w:r>
        <w:rPr>
          <w:rFonts w:ascii="Arial" w:cs="Arial" w:eastAsia="Arial" w:hAnsi="Arial"/>
          <w:b/>
          <w:bCs/>
          <w:color w:val="1F3864"/>
          <w:sz w:val="36"/>
          <w:szCs w:val="36"/>
        </w:rPr>
        <w:t xml:space="preserve">Declarations</w:t>
      </w:r>
    </w:p>
    <w:p>
      <w:pPr>
        <w:spacing w:after="60" w:before="60"/>
      </w:pPr>
      <w:r>
        <w:rPr>
          <w:rFonts w:ascii="Arial" w:cs="Arial" w:eastAsia="Arial" w:hAnsi="Arial"/>
          <w:b/>
          <w:bCs/>
          <w:sz w:val="22"/>
          <w:szCs w:val="22"/>
        </w:rPr>
        <w:t xml:space="preserve">Availability of Data and Materials: </w:t>
      </w:r>
      <w:r>
        <w:rPr>
          <w:rFonts w:ascii="Arial" w:cs="Arial" w:eastAsia="Arial" w:hAnsi="Arial"/>
          <w:sz w:val="22"/>
          <w:szCs w:val="22"/>
        </w:rPr>
        <w:t xml:space="preserve">Code and data are available at https://github.com/amanigreeva/ECABSD</w:t>
      </w:r>
    </w:p>
    <w:p>
      <w:pPr>
        <w:spacing w:after="60" w:before="60"/>
      </w:pPr>
      <w:r>
        <w:rPr>
          <w:rFonts w:ascii="Arial" w:cs="Arial" w:eastAsia="Arial" w:hAnsi="Arial"/>
          <w:b/>
          <w:bCs/>
          <w:sz w:val="22"/>
          <w:szCs w:val="22"/>
        </w:rPr>
        <w:t xml:space="preserve">Competing Interests: </w:t>
      </w:r>
      <w:r>
        <w:rPr>
          <w:rFonts w:ascii="Arial" w:cs="Arial" w:eastAsia="Arial" w:hAnsi="Arial"/>
          <w:sz w:val="22"/>
          <w:szCs w:val="22"/>
        </w:rPr>
        <w:t xml:space="preserve">The authors declare no competing interests.</w:t>
      </w:r>
    </w:p>
    <w:p>
      <w:pPr>
        <w:spacing w:after="60" w:before="60"/>
      </w:pPr>
      <w:r>
        <w:rPr>
          <w:rFonts w:ascii="Arial" w:cs="Arial" w:eastAsia="Arial" w:hAnsi="Arial"/>
          <w:b/>
          <w:bCs/>
          <w:sz w:val="22"/>
          <w:szCs w:val="22"/>
        </w:rPr>
        <w:t xml:space="preserve">Authors' Contributions: </w:t>
      </w:r>
      <w:r>
        <w:rPr>
          <w:rFonts w:ascii="Arial" w:cs="Arial" w:eastAsia="Arial" w:hAnsi="Arial"/>
          <w:sz w:val="22"/>
          <w:szCs w:val="22"/>
        </w:rPr>
        <w:t xml:space="preserve">AM led model development and experiments. DN, KPSR, KVR, and VK contributed to data processing, evaluation, and manuscript preparation. CSB provided mentorship and guidance.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KMIT, Hyderabad, India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FA5" w:sz="4" w:space="1"/>
      </w:pBdr>
      <w:jc w:val="right"/>
    </w:pPr>
    <w:r>
      <w:rPr>
        <w:rFonts w:ascii="Arial" w:cs="Arial" w:eastAsia="Arial" w:hAnsi="Arial"/>
        <w:color w:val="2B5FA5"/>
        <w:sz w:val="18"/>
        <w:szCs w:val="18"/>
      </w:rPr>
      <w:t xml:space="preserve">ECABSD — Explainable Cross-Attention for Binding Site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B5FA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2026-05-30T13:28:36.983Z</dcterms:created>
  <dcterms:modified xsi:type="dcterms:W3CDTF">2026-05-30T13:28:36.997Z</dcterms:modified>
</cp:coreProperties>
</file>

<file path=docProps/custom.xml><?xml version="1.0" encoding="utf-8"?>
<Properties xmlns="http://schemas.openxmlformats.org/officeDocument/2006/custom-properties" xmlns:vt="http://schemas.openxmlformats.org/officeDocument/2006/docPropsVTypes"/>
</file>